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1F17" w14:textId="77777777" w:rsidR="003478B4" w:rsidRDefault="009637F8" w:rsidP="00F864C8">
      <w:pPr>
        <w:spacing w:before="120" w:after="0" w:line="320" w:lineRule="exact"/>
        <w:jc w:val="center"/>
        <w:rPr>
          <w:rFonts w:ascii="Times New Roman" w:hAnsi="Times New Roman" w:cs="Times New Roman"/>
          <w:b/>
          <w:sz w:val="28"/>
          <w:szCs w:val="28"/>
        </w:rPr>
      </w:pPr>
      <w:r w:rsidRPr="00650A4F">
        <w:rPr>
          <w:rFonts w:ascii="Times New Roman" w:hAnsi="Times New Roman" w:cs="Times New Roman"/>
          <w:b/>
          <w:sz w:val="28"/>
          <w:szCs w:val="28"/>
        </w:rPr>
        <w:t>BẢN THUYẾ</w:t>
      </w:r>
      <w:r w:rsidR="003478B4">
        <w:rPr>
          <w:rFonts w:ascii="Times New Roman" w:hAnsi="Times New Roman" w:cs="Times New Roman"/>
          <w:b/>
          <w:sz w:val="28"/>
          <w:szCs w:val="28"/>
        </w:rPr>
        <w:t>T MINH</w:t>
      </w:r>
      <w:r w:rsidR="00D30433">
        <w:rPr>
          <w:rFonts w:ascii="Times New Roman" w:hAnsi="Times New Roman" w:cs="Times New Roman"/>
          <w:b/>
          <w:sz w:val="28"/>
          <w:szCs w:val="28"/>
        </w:rPr>
        <w:t>, GIẢI TRÌNH</w:t>
      </w:r>
    </w:p>
    <w:p w14:paraId="5E287724" w14:textId="77777777" w:rsidR="007C67ED" w:rsidRPr="00650A4F" w:rsidRDefault="003478B4" w:rsidP="00F864C8">
      <w:pPr>
        <w:spacing w:before="120" w:after="0" w:line="320" w:lineRule="exact"/>
        <w:jc w:val="center"/>
        <w:rPr>
          <w:rFonts w:ascii="Times New Roman" w:hAnsi="Times New Roman" w:cs="Times New Roman"/>
          <w:b/>
          <w:sz w:val="28"/>
          <w:szCs w:val="28"/>
        </w:rPr>
      </w:pPr>
      <w:r>
        <w:rPr>
          <w:rFonts w:ascii="Times New Roman" w:hAnsi="Times New Roman" w:cs="Times New Roman"/>
          <w:b/>
          <w:sz w:val="28"/>
          <w:szCs w:val="28"/>
        </w:rPr>
        <w:t>Dự thảo Thông tư qu</w:t>
      </w:r>
      <w:r w:rsidRPr="00876B63">
        <w:rPr>
          <w:rFonts w:ascii="Times New Roman" w:hAnsi="Times New Roman" w:cs="Times New Roman"/>
          <w:b/>
          <w:sz w:val="28"/>
          <w:szCs w:val="28"/>
        </w:rPr>
        <w:t xml:space="preserve">y định về </w:t>
      </w:r>
      <w:r w:rsidR="00D30433">
        <w:rPr>
          <w:rFonts w:ascii="Times New Roman" w:hAnsi="Times New Roman" w:cs="Times New Roman"/>
          <w:b/>
          <w:sz w:val="28"/>
          <w:szCs w:val="28"/>
        </w:rPr>
        <w:t>hoạt động giao đại lý thanh toán</w:t>
      </w:r>
    </w:p>
    <w:p w14:paraId="516F8C59" w14:textId="77777777" w:rsidR="00F864C8" w:rsidRDefault="00000000" w:rsidP="006467F2">
      <w:pPr>
        <w:spacing w:before="120" w:after="0" w:line="320" w:lineRule="exact"/>
        <w:ind w:firstLine="720"/>
        <w:jc w:val="both"/>
        <w:rPr>
          <w:rFonts w:ascii="Times New Roman" w:eastAsia="Calibri" w:hAnsi="Times New Roman" w:cs="Times New Roman"/>
          <w:b/>
          <w:sz w:val="28"/>
          <w:szCs w:val="28"/>
        </w:rPr>
      </w:pPr>
      <w:r>
        <w:rPr>
          <w:rFonts w:ascii="Times New Roman" w:eastAsia="Calibri" w:hAnsi="Times New Roman" w:cs="Times New Roman"/>
          <w:b/>
          <w:noProof/>
          <w:sz w:val="28"/>
          <w:szCs w:val="28"/>
        </w:rPr>
        <w:pict w14:anchorId="286773ED">
          <v:line id="_x0000_s1027" style="position:absolute;left:0;text-align:left;z-index:251659264" from="107.7pt,3.1pt" to="346.2pt,3.1pt"/>
        </w:pict>
      </w:r>
    </w:p>
    <w:p w14:paraId="3F681E3B" w14:textId="77777777" w:rsidR="00CA6227" w:rsidRPr="00A46EAA" w:rsidRDefault="00CA6227" w:rsidP="00A46EAA">
      <w:pPr>
        <w:spacing w:before="120" w:after="120" w:line="266" w:lineRule="auto"/>
        <w:ind w:firstLine="720"/>
        <w:jc w:val="both"/>
        <w:rPr>
          <w:rFonts w:ascii="Times New Roman" w:hAnsi="Times New Roman" w:cs="Times New Roman"/>
          <w:b/>
          <w:sz w:val="28"/>
          <w:szCs w:val="28"/>
        </w:rPr>
      </w:pPr>
      <w:r w:rsidRPr="00A46EAA">
        <w:rPr>
          <w:rFonts w:ascii="Times New Roman" w:eastAsia="Calibri" w:hAnsi="Times New Roman" w:cs="Times New Roman"/>
          <w:b/>
          <w:sz w:val="28"/>
          <w:szCs w:val="28"/>
        </w:rPr>
        <w:t>I. Sự cần thiết ban hành Thông tư</w:t>
      </w:r>
    </w:p>
    <w:p w14:paraId="185C867E" w14:textId="77777777" w:rsidR="0064106E" w:rsidRPr="00A46EAA" w:rsidRDefault="00D765BD" w:rsidP="00A46EAA">
      <w:pPr>
        <w:spacing w:before="120" w:after="120" w:line="266" w:lineRule="auto"/>
        <w:ind w:firstLine="720"/>
        <w:jc w:val="both"/>
        <w:rPr>
          <w:rFonts w:ascii="Times New Roman" w:hAnsi="Times New Roman" w:cs="Times New Roman"/>
          <w:b/>
          <w:i/>
          <w:sz w:val="28"/>
          <w:szCs w:val="28"/>
        </w:rPr>
      </w:pPr>
      <w:r w:rsidRPr="00A46EAA">
        <w:rPr>
          <w:rFonts w:ascii="Times New Roman" w:hAnsi="Times New Roman" w:cs="Times New Roman"/>
          <w:b/>
          <w:i/>
          <w:sz w:val="28"/>
          <w:szCs w:val="28"/>
        </w:rPr>
        <w:t xml:space="preserve">1. </w:t>
      </w:r>
      <w:r w:rsidR="00D30433" w:rsidRPr="00A46EAA">
        <w:rPr>
          <w:rFonts w:ascii="Times New Roman" w:hAnsi="Times New Roman" w:cs="Times New Roman"/>
          <w:b/>
          <w:i/>
          <w:sz w:val="28"/>
          <w:szCs w:val="28"/>
        </w:rPr>
        <w:t>Văn bản pháp luật mới ban hành</w:t>
      </w:r>
    </w:p>
    <w:p w14:paraId="30A04712" w14:textId="77777777" w:rsidR="005E2782" w:rsidRPr="00A46EAA" w:rsidRDefault="00D30433" w:rsidP="00A46EAA">
      <w:pPr>
        <w:spacing w:before="120" w:after="120" w:line="266" w:lineRule="auto"/>
        <w:ind w:firstLine="720"/>
        <w:jc w:val="both"/>
        <w:rPr>
          <w:rFonts w:ascii="Times New Roman" w:hAnsi="Times New Roman" w:cs="Times New Roman"/>
          <w:sz w:val="28"/>
          <w:szCs w:val="28"/>
        </w:rPr>
      </w:pPr>
      <w:r w:rsidRPr="00A46EAA">
        <w:rPr>
          <w:rFonts w:ascii="Times New Roman" w:hAnsi="Times New Roman" w:cs="Times New Roman"/>
          <w:sz w:val="28"/>
          <w:szCs w:val="28"/>
        </w:rPr>
        <w:t>Ngày 18/01/2024, Quốc hội đã thông qua Luật Các tổ chức tín dụng số 32/2024/QH15 (Luật Các TCTD năm 2024) có hiệu lự</w:t>
      </w:r>
      <w:r w:rsidR="00366759" w:rsidRPr="00A46EAA">
        <w:rPr>
          <w:rFonts w:ascii="Times New Roman" w:hAnsi="Times New Roman" w:cs="Times New Roman"/>
          <w:sz w:val="28"/>
          <w:szCs w:val="28"/>
        </w:rPr>
        <w:t xml:space="preserve">c thi hành vào ngày 01/7/2024. Luật Các TCTD năm 2024 </w:t>
      </w:r>
      <w:r w:rsidR="005E2782" w:rsidRPr="00A46EAA">
        <w:rPr>
          <w:rFonts w:ascii="Times New Roman" w:hAnsi="Times New Roman" w:cs="Times New Roman"/>
          <w:sz w:val="28"/>
          <w:szCs w:val="28"/>
        </w:rPr>
        <w:t xml:space="preserve">đã bổ sung quy định về </w:t>
      </w:r>
      <w:r w:rsidR="005E2782" w:rsidRPr="00A46EAA">
        <w:rPr>
          <w:rFonts w:ascii="Times New Roman" w:hAnsi="Times New Roman" w:cs="Times New Roman"/>
          <w:sz w:val="28"/>
          <w:szCs w:val="28"/>
          <w:u w:val="single"/>
        </w:rPr>
        <w:t>hoạt động giao đại lý thanh toán</w:t>
      </w:r>
      <w:r w:rsidR="005E2782" w:rsidRPr="00A46EAA">
        <w:rPr>
          <w:rFonts w:ascii="Times New Roman" w:hAnsi="Times New Roman" w:cs="Times New Roman"/>
          <w:sz w:val="28"/>
          <w:szCs w:val="28"/>
        </w:rPr>
        <w:t xml:space="preserve"> như sau:</w:t>
      </w:r>
    </w:p>
    <w:p w14:paraId="0FD35954" w14:textId="77777777" w:rsidR="005E2782" w:rsidRPr="00A46EAA" w:rsidRDefault="007A35F4" w:rsidP="00A46EAA">
      <w:pPr>
        <w:spacing w:before="120" w:after="120" w:line="266" w:lineRule="auto"/>
        <w:ind w:firstLine="720"/>
        <w:jc w:val="both"/>
        <w:rPr>
          <w:rFonts w:ascii="Times New Roman" w:hAnsi="Times New Roman" w:cs="Times New Roman"/>
          <w:i/>
          <w:sz w:val="28"/>
          <w:szCs w:val="28"/>
          <w:lang w:val="sv-SE"/>
        </w:rPr>
      </w:pPr>
      <w:r w:rsidRPr="00A46EAA">
        <w:rPr>
          <w:rFonts w:ascii="Times New Roman" w:hAnsi="Times New Roman" w:cs="Times New Roman"/>
          <w:b/>
          <w:i/>
          <w:sz w:val="28"/>
          <w:szCs w:val="28"/>
        </w:rPr>
        <w:t>(1)</w:t>
      </w:r>
      <w:r w:rsidR="000201C4" w:rsidRPr="00A46EAA">
        <w:rPr>
          <w:rFonts w:ascii="Times New Roman" w:hAnsi="Times New Roman" w:cs="Times New Roman"/>
          <w:sz w:val="28"/>
          <w:szCs w:val="28"/>
        </w:rPr>
        <w:t xml:space="preserve"> </w:t>
      </w:r>
      <w:r w:rsidR="00AB1442" w:rsidRPr="00A46EAA">
        <w:rPr>
          <w:rFonts w:ascii="Times New Roman" w:hAnsi="Times New Roman" w:cs="Times New Roman"/>
          <w:sz w:val="28"/>
          <w:szCs w:val="28"/>
          <w:u w:val="single"/>
        </w:rPr>
        <w:t xml:space="preserve">Đối với </w:t>
      </w:r>
      <w:r w:rsidR="000201C4" w:rsidRPr="00A46EAA">
        <w:rPr>
          <w:rFonts w:ascii="Times New Roman" w:hAnsi="Times New Roman" w:cs="Times New Roman"/>
          <w:sz w:val="28"/>
          <w:szCs w:val="28"/>
          <w:u w:val="single"/>
        </w:rPr>
        <w:t>ngân hàng thương mại</w:t>
      </w:r>
      <w:r w:rsidR="000201C4" w:rsidRPr="00A46EAA">
        <w:rPr>
          <w:rFonts w:ascii="Times New Roman" w:hAnsi="Times New Roman" w:cs="Times New Roman"/>
          <w:sz w:val="28"/>
          <w:szCs w:val="28"/>
        </w:rPr>
        <w:t xml:space="preserve"> (NHTM)</w:t>
      </w:r>
      <w:r w:rsidR="00FB2241" w:rsidRPr="00A46EAA">
        <w:rPr>
          <w:rFonts w:ascii="Times New Roman" w:hAnsi="Times New Roman" w:cs="Times New Roman"/>
          <w:sz w:val="28"/>
          <w:szCs w:val="28"/>
        </w:rPr>
        <w:t>,</w:t>
      </w:r>
      <w:r w:rsidR="00AB1442" w:rsidRPr="00A46EAA">
        <w:rPr>
          <w:rFonts w:ascii="Times New Roman" w:hAnsi="Times New Roman" w:cs="Times New Roman"/>
          <w:sz w:val="28"/>
          <w:szCs w:val="28"/>
        </w:rPr>
        <w:t xml:space="preserve"> </w:t>
      </w:r>
      <w:r w:rsidR="005E2782" w:rsidRPr="00A46EAA">
        <w:rPr>
          <w:rFonts w:ascii="Times New Roman" w:hAnsi="Times New Roman" w:cs="Times New Roman"/>
          <w:b/>
          <w:sz w:val="28"/>
          <w:szCs w:val="28"/>
        </w:rPr>
        <w:t xml:space="preserve">khoản 1 </w:t>
      </w:r>
      <w:r w:rsidR="004374D7" w:rsidRPr="00A46EAA">
        <w:rPr>
          <w:rFonts w:ascii="Times New Roman" w:hAnsi="Times New Roman" w:cs="Times New Roman"/>
          <w:b/>
          <w:sz w:val="28"/>
          <w:szCs w:val="28"/>
          <w:lang w:val="sv-SE"/>
        </w:rPr>
        <w:t>Điều 1</w:t>
      </w:r>
      <w:r w:rsidR="005E2782" w:rsidRPr="00A46EAA">
        <w:rPr>
          <w:rFonts w:ascii="Times New Roman" w:hAnsi="Times New Roman" w:cs="Times New Roman"/>
          <w:b/>
          <w:sz w:val="28"/>
          <w:szCs w:val="28"/>
          <w:lang w:val="sv-SE"/>
        </w:rPr>
        <w:t>13</w:t>
      </w:r>
      <w:r w:rsidR="004374D7" w:rsidRPr="00A46EAA">
        <w:rPr>
          <w:rFonts w:ascii="Times New Roman" w:hAnsi="Times New Roman" w:cs="Times New Roman"/>
          <w:sz w:val="28"/>
          <w:szCs w:val="28"/>
        </w:rPr>
        <w:t xml:space="preserve"> Luật </w:t>
      </w:r>
      <w:r w:rsidR="005E2782" w:rsidRPr="00A46EAA">
        <w:rPr>
          <w:rFonts w:ascii="Times New Roman" w:hAnsi="Times New Roman" w:cs="Times New Roman"/>
          <w:sz w:val="28"/>
          <w:szCs w:val="28"/>
        </w:rPr>
        <w:t>C</w:t>
      </w:r>
      <w:r w:rsidR="004374D7" w:rsidRPr="00A46EAA">
        <w:rPr>
          <w:rFonts w:ascii="Times New Roman" w:hAnsi="Times New Roman" w:cs="Times New Roman"/>
          <w:sz w:val="28"/>
          <w:szCs w:val="28"/>
        </w:rPr>
        <w:t xml:space="preserve">ác </w:t>
      </w:r>
      <w:r w:rsidR="005E2782" w:rsidRPr="00A46EAA">
        <w:rPr>
          <w:rFonts w:ascii="Times New Roman" w:hAnsi="Times New Roman" w:cs="Times New Roman"/>
          <w:sz w:val="28"/>
          <w:szCs w:val="28"/>
        </w:rPr>
        <w:t>TCTD</w:t>
      </w:r>
      <w:r w:rsidR="004374D7" w:rsidRPr="00A46EAA">
        <w:rPr>
          <w:rFonts w:ascii="Times New Roman" w:hAnsi="Times New Roman" w:cs="Times New Roman"/>
          <w:sz w:val="28"/>
          <w:szCs w:val="28"/>
        </w:rPr>
        <w:t xml:space="preserve"> năm 20</w:t>
      </w:r>
      <w:r w:rsidR="005E2782" w:rsidRPr="00A46EAA">
        <w:rPr>
          <w:rFonts w:ascii="Times New Roman" w:hAnsi="Times New Roman" w:cs="Times New Roman"/>
          <w:sz w:val="28"/>
          <w:szCs w:val="28"/>
        </w:rPr>
        <w:t>24</w:t>
      </w:r>
      <w:r w:rsidR="00FB2241" w:rsidRPr="00A46EAA">
        <w:rPr>
          <w:rFonts w:ascii="Times New Roman" w:hAnsi="Times New Roman" w:cs="Times New Roman"/>
          <w:sz w:val="28"/>
          <w:szCs w:val="28"/>
        </w:rPr>
        <w:t xml:space="preserve"> quy định</w:t>
      </w:r>
      <w:r w:rsidR="000201C4" w:rsidRPr="00A46EAA">
        <w:rPr>
          <w:rFonts w:ascii="Times New Roman" w:hAnsi="Times New Roman" w:cs="Times New Roman"/>
          <w:sz w:val="28"/>
          <w:szCs w:val="28"/>
        </w:rPr>
        <w:t xml:space="preserve">: </w:t>
      </w:r>
      <w:r w:rsidR="005E2782" w:rsidRPr="00A46EAA">
        <w:rPr>
          <w:rFonts w:ascii="Times New Roman" w:hAnsi="Times New Roman" w:cs="Times New Roman"/>
          <w:sz w:val="28"/>
          <w:szCs w:val="28"/>
        </w:rPr>
        <w:t>“</w:t>
      </w:r>
      <w:r w:rsidR="005E2782" w:rsidRPr="00A46EAA">
        <w:rPr>
          <w:rFonts w:ascii="Times New Roman" w:hAnsi="Times New Roman" w:cs="Times New Roman"/>
          <w:i/>
          <w:sz w:val="28"/>
          <w:szCs w:val="28"/>
        </w:rPr>
        <w:t xml:space="preserve">1. </w:t>
      </w:r>
      <w:r w:rsidR="005E2782" w:rsidRPr="00A46EAA">
        <w:rPr>
          <w:rFonts w:ascii="Times New Roman" w:hAnsi="Times New Roman" w:cs="Times New Roman"/>
          <w:i/>
          <w:sz w:val="28"/>
          <w:szCs w:val="28"/>
          <w:lang w:val="vi-VN"/>
        </w:rPr>
        <w:t xml:space="preserve">Ngân hàng thương mại được quyền ủy thác, nhận ủy thác, đại lý trong hoạt động ngân hàng, </w:t>
      </w:r>
      <w:r w:rsidR="005E2782" w:rsidRPr="00A46EAA">
        <w:rPr>
          <w:rFonts w:ascii="Times New Roman" w:hAnsi="Times New Roman" w:cs="Times New Roman"/>
          <w:i/>
          <w:sz w:val="28"/>
          <w:szCs w:val="28"/>
          <w:u w:val="single"/>
          <w:lang w:val="vi-VN"/>
        </w:rPr>
        <w:t>giao đại lý thanh toán theo quy định của Thống đốc Ngân hàng Nhà nước</w:t>
      </w:r>
      <w:r w:rsidR="005E2782" w:rsidRPr="00A46EAA">
        <w:rPr>
          <w:rFonts w:ascii="Times New Roman" w:hAnsi="Times New Roman" w:cs="Times New Roman"/>
          <w:i/>
          <w:sz w:val="28"/>
          <w:szCs w:val="28"/>
        </w:rPr>
        <w:t>”</w:t>
      </w:r>
      <w:r w:rsidR="004A79C4" w:rsidRPr="00A46EAA">
        <w:rPr>
          <w:rFonts w:ascii="Times New Roman" w:hAnsi="Times New Roman" w:cs="Times New Roman"/>
          <w:i/>
          <w:sz w:val="28"/>
          <w:szCs w:val="28"/>
          <w:lang w:val="sv-SE"/>
        </w:rPr>
        <w:t>.</w:t>
      </w:r>
      <w:r w:rsidR="005E2782" w:rsidRPr="00A46EAA">
        <w:rPr>
          <w:rFonts w:ascii="Times New Roman" w:hAnsi="Times New Roman" w:cs="Times New Roman"/>
          <w:i/>
          <w:sz w:val="28"/>
          <w:szCs w:val="28"/>
          <w:lang w:val="sv-SE"/>
        </w:rPr>
        <w:t xml:space="preserve"> </w:t>
      </w:r>
    </w:p>
    <w:p w14:paraId="3A16B28C" w14:textId="77777777" w:rsidR="005E2782" w:rsidRPr="00A46EAA" w:rsidRDefault="007A35F4" w:rsidP="00A46EAA">
      <w:pPr>
        <w:spacing w:before="120" w:after="120" w:line="266" w:lineRule="auto"/>
        <w:ind w:firstLine="720"/>
        <w:jc w:val="both"/>
        <w:rPr>
          <w:rFonts w:ascii="Times New Roman" w:hAnsi="Times New Roman" w:cs="Times New Roman"/>
          <w:i/>
          <w:sz w:val="28"/>
          <w:szCs w:val="28"/>
        </w:rPr>
      </w:pPr>
      <w:r w:rsidRPr="00A46EAA">
        <w:rPr>
          <w:rFonts w:ascii="Times New Roman" w:hAnsi="Times New Roman" w:cs="Times New Roman"/>
          <w:b/>
          <w:i/>
          <w:sz w:val="28"/>
          <w:szCs w:val="28"/>
          <w:lang w:val="sv-SE"/>
        </w:rPr>
        <w:t>(</w:t>
      </w:r>
      <w:r w:rsidR="00D373CE" w:rsidRPr="00A46EAA">
        <w:rPr>
          <w:rFonts w:ascii="Times New Roman" w:hAnsi="Times New Roman" w:cs="Times New Roman"/>
          <w:b/>
          <w:i/>
          <w:sz w:val="28"/>
          <w:szCs w:val="28"/>
          <w:lang w:val="sv-SE"/>
        </w:rPr>
        <w:t>2</w:t>
      </w:r>
      <w:r w:rsidRPr="00A46EAA">
        <w:rPr>
          <w:rFonts w:ascii="Times New Roman" w:hAnsi="Times New Roman" w:cs="Times New Roman"/>
          <w:b/>
          <w:i/>
          <w:sz w:val="28"/>
          <w:szCs w:val="28"/>
          <w:lang w:val="sv-SE"/>
        </w:rPr>
        <w:t>)</w:t>
      </w:r>
      <w:r w:rsidR="005E2782" w:rsidRPr="00A46EAA">
        <w:rPr>
          <w:rFonts w:ascii="Times New Roman" w:hAnsi="Times New Roman" w:cs="Times New Roman"/>
          <w:b/>
          <w:sz w:val="28"/>
          <w:szCs w:val="28"/>
          <w:lang w:val="sv-SE"/>
        </w:rPr>
        <w:t xml:space="preserve"> </w:t>
      </w:r>
      <w:r w:rsidR="005E2782" w:rsidRPr="00A46EAA">
        <w:rPr>
          <w:rFonts w:ascii="Times New Roman" w:hAnsi="Times New Roman" w:cs="Times New Roman"/>
          <w:sz w:val="28"/>
          <w:szCs w:val="28"/>
          <w:u w:val="single"/>
          <w:lang w:val="sv-SE"/>
        </w:rPr>
        <w:t>Đối với ngân hàng chính sách</w:t>
      </w:r>
      <w:r w:rsidR="005E2782" w:rsidRPr="00A46EAA">
        <w:rPr>
          <w:rFonts w:ascii="Times New Roman" w:hAnsi="Times New Roman" w:cs="Times New Roman"/>
          <w:sz w:val="28"/>
          <w:szCs w:val="28"/>
          <w:lang w:val="sv-SE"/>
        </w:rPr>
        <w:t xml:space="preserve">, </w:t>
      </w:r>
      <w:r w:rsidRPr="00A46EAA">
        <w:rPr>
          <w:rFonts w:ascii="Times New Roman" w:hAnsi="Times New Roman" w:cs="Times New Roman"/>
          <w:b/>
          <w:sz w:val="28"/>
          <w:szCs w:val="28"/>
          <w:lang w:val="sv-SE"/>
        </w:rPr>
        <w:t>khoản 2 Điều 16</w:t>
      </w:r>
      <w:r w:rsidRPr="00A46EAA">
        <w:rPr>
          <w:rFonts w:ascii="Times New Roman" w:hAnsi="Times New Roman" w:cs="Times New Roman"/>
          <w:sz w:val="28"/>
          <w:szCs w:val="28"/>
          <w:lang w:val="sv-SE"/>
        </w:rPr>
        <w:t xml:space="preserve"> Luật Các TCTD năm 2024 quy định: </w:t>
      </w:r>
      <w:r w:rsidRPr="00A46EAA">
        <w:rPr>
          <w:rFonts w:ascii="Times New Roman" w:hAnsi="Times New Roman" w:cs="Times New Roman"/>
          <w:i/>
          <w:sz w:val="28"/>
          <w:szCs w:val="28"/>
        </w:rPr>
        <w:t xml:space="preserve">“2. </w:t>
      </w:r>
      <w:r w:rsidRPr="00A46EAA">
        <w:rPr>
          <w:rFonts w:ascii="Times New Roman" w:hAnsi="Times New Roman" w:cs="Times New Roman"/>
          <w:i/>
          <w:sz w:val="28"/>
          <w:szCs w:val="28"/>
          <w:u w:val="single"/>
          <w:lang w:val="vi-VN"/>
        </w:rPr>
        <w:t>Chính phủ quy định</w:t>
      </w:r>
      <w:r w:rsidRPr="00A46EAA">
        <w:rPr>
          <w:rFonts w:ascii="Times New Roman" w:hAnsi="Times New Roman" w:cs="Times New Roman"/>
          <w:i/>
          <w:sz w:val="28"/>
          <w:szCs w:val="28"/>
          <w:lang w:val="vi-VN"/>
        </w:rPr>
        <w:t xml:space="preserve"> </w:t>
      </w:r>
      <w:r w:rsidRPr="00A46EAA">
        <w:rPr>
          <w:rFonts w:ascii="Times New Roman" w:hAnsi="Times New Roman" w:cs="Times New Roman"/>
          <w:i/>
          <w:sz w:val="28"/>
          <w:szCs w:val="28"/>
        </w:rPr>
        <w:t>n</w:t>
      </w:r>
      <w:r w:rsidRPr="00A46EAA">
        <w:rPr>
          <w:rFonts w:ascii="Times New Roman" w:hAnsi="Times New Roman" w:cs="Times New Roman"/>
          <w:i/>
          <w:sz w:val="28"/>
          <w:szCs w:val="28"/>
          <w:lang w:val="vi-VN"/>
        </w:rPr>
        <w:t>ội dung hoạt động của ngân hàng chính sách</w:t>
      </w:r>
      <w:r w:rsidRPr="00A46EAA">
        <w:rPr>
          <w:rFonts w:ascii="Times New Roman" w:hAnsi="Times New Roman" w:cs="Times New Roman"/>
          <w:i/>
          <w:sz w:val="28"/>
          <w:szCs w:val="28"/>
        </w:rPr>
        <w:t>”</w:t>
      </w:r>
      <w:r w:rsidRPr="00A46EAA">
        <w:rPr>
          <w:rFonts w:ascii="Times New Roman" w:hAnsi="Times New Roman" w:cs="Times New Roman"/>
          <w:i/>
          <w:sz w:val="28"/>
          <w:szCs w:val="28"/>
          <w:lang w:val="vi-VN"/>
        </w:rPr>
        <w:t>.</w:t>
      </w:r>
    </w:p>
    <w:p w14:paraId="13CC8632" w14:textId="77777777" w:rsidR="007A35F4" w:rsidRPr="00A46EAA" w:rsidRDefault="007A35F4" w:rsidP="00A46EAA">
      <w:pPr>
        <w:spacing w:before="120" w:after="120" w:line="266" w:lineRule="auto"/>
        <w:ind w:firstLine="720"/>
        <w:jc w:val="both"/>
        <w:rPr>
          <w:rFonts w:ascii="Times New Roman" w:hAnsi="Times New Roman" w:cs="Times New Roman"/>
          <w:b/>
          <w:sz w:val="28"/>
          <w:szCs w:val="28"/>
        </w:rPr>
      </w:pPr>
      <w:r w:rsidRPr="00A46EAA">
        <w:rPr>
          <w:rFonts w:ascii="Times New Roman" w:hAnsi="Times New Roman" w:cs="Times New Roman"/>
          <w:b/>
          <w:i/>
          <w:sz w:val="28"/>
          <w:szCs w:val="28"/>
        </w:rPr>
        <w:t>(</w:t>
      </w:r>
      <w:r w:rsidR="00D373CE" w:rsidRPr="00A46EAA">
        <w:rPr>
          <w:rFonts w:ascii="Times New Roman" w:hAnsi="Times New Roman" w:cs="Times New Roman"/>
          <w:b/>
          <w:i/>
          <w:sz w:val="28"/>
          <w:szCs w:val="28"/>
        </w:rPr>
        <w:t>3</w:t>
      </w:r>
      <w:r w:rsidRPr="00A46EAA">
        <w:rPr>
          <w:rFonts w:ascii="Times New Roman" w:hAnsi="Times New Roman" w:cs="Times New Roman"/>
          <w:b/>
          <w:i/>
          <w:sz w:val="28"/>
          <w:szCs w:val="28"/>
        </w:rPr>
        <w:t>)</w:t>
      </w:r>
      <w:r w:rsidRPr="00A46EAA">
        <w:rPr>
          <w:rFonts w:ascii="Times New Roman" w:hAnsi="Times New Roman" w:cs="Times New Roman"/>
          <w:sz w:val="28"/>
          <w:szCs w:val="28"/>
        </w:rPr>
        <w:t xml:space="preserve"> </w:t>
      </w:r>
      <w:r w:rsidRPr="00A46EAA">
        <w:rPr>
          <w:rFonts w:ascii="Times New Roman" w:hAnsi="Times New Roman" w:cs="Times New Roman"/>
          <w:sz w:val="28"/>
          <w:szCs w:val="28"/>
          <w:u w:val="single"/>
        </w:rPr>
        <w:t>Đối với Ngân hàng hợp tác xã</w:t>
      </w:r>
      <w:r w:rsidRPr="00A46EAA">
        <w:rPr>
          <w:rFonts w:ascii="Times New Roman" w:hAnsi="Times New Roman" w:cs="Times New Roman"/>
          <w:sz w:val="28"/>
          <w:szCs w:val="28"/>
        </w:rPr>
        <w:t xml:space="preserve">, </w:t>
      </w:r>
      <w:r w:rsidR="000E3151" w:rsidRPr="00A46EAA">
        <w:rPr>
          <w:rFonts w:ascii="Times New Roman" w:hAnsi="Times New Roman" w:cs="Times New Roman"/>
          <w:b/>
          <w:sz w:val="28"/>
          <w:szCs w:val="28"/>
        </w:rPr>
        <w:t>điểm b khoản 1 Điều 125</w:t>
      </w:r>
      <w:r w:rsidR="000E3151" w:rsidRPr="00A46EAA">
        <w:rPr>
          <w:rFonts w:ascii="Times New Roman" w:hAnsi="Times New Roman" w:cs="Times New Roman"/>
          <w:sz w:val="28"/>
          <w:szCs w:val="28"/>
        </w:rPr>
        <w:t xml:space="preserve"> quy định Ngân hàng hợp tác xã được thực hiện hoạt động sau đây </w:t>
      </w:r>
      <w:r w:rsidR="000E3151" w:rsidRPr="00A46EAA">
        <w:rPr>
          <w:rFonts w:ascii="Times New Roman" w:hAnsi="Times New Roman" w:cs="Times New Roman"/>
          <w:i/>
          <w:sz w:val="28"/>
          <w:szCs w:val="28"/>
        </w:rPr>
        <w:t>“</w:t>
      </w:r>
      <w:r w:rsidR="000E3151" w:rsidRPr="00A46EAA">
        <w:rPr>
          <w:rFonts w:ascii="Times New Roman" w:hAnsi="Times New Roman" w:cs="Times New Roman"/>
          <w:i/>
          <w:sz w:val="28"/>
          <w:szCs w:val="28"/>
          <w:lang w:val="vi-VN"/>
        </w:rPr>
        <w:t xml:space="preserve">b) Một số hoạt động ngân hàng, hoạt động kinh doanh khác quy định tại </w:t>
      </w:r>
      <w:r w:rsidR="000E3151" w:rsidRPr="00A46EAA">
        <w:rPr>
          <w:rFonts w:ascii="Times New Roman" w:hAnsi="Times New Roman" w:cs="Times New Roman"/>
          <w:i/>
          <w:sz w:val="28"/>
          <w:szCs w:val="28"/>
          <w:u w:val="single"/>
        </w:rPr>
        <w:t>M</w:t>
      </w:r>
      <w:r w:rsidR="000E3151" w:rsidRPr="00A46EAA">
        <w:rPr>
          <w:rFonts w:ascii="Times New Roman" w:hAnsi="Times New Roman" w:cs="Times New Roman"/>
          <w:i/>
          <w:sz w:val="28"/>
          <w:szCs w:val="28"/>
          <w:u w:val="single"/>
          <w:lang w:val="vi-VN"/>
        </w:rPr>
        <w:t>ục 2 Chương này</w:t>
      </w:r>
      <w:r w:rsidR="000E3151" w:rsidRPr="00A46EAA">
        <w:rPr>
          <w:rFonts w:ascii="Times New Roman" w:hAnsi="Times New Roman" w:cs="Times New Roman"/>
          <w:i/>
          <w:sz w:val="28"/>
          <w:szCs w:val="28"/>
        </w:rPr>
        <w:t>”</w:t>
      </w:r>
      <w:r w:rsidR="000E3151" w:rsidRPr="00A46EAA">
        <w:rPr>
          <w:rFonts w:ascii="Times New Roman" w:hAnsi="Times New Roman" w:cs="Times New Roman"/>
          <w:sz w:val="28"/>
          <w:szCs w:val="28"/>
        </w:rPr>
        <w:t xml:space="preserve"> </w:t>
      </w:r>
      <w:r w:rsidR="000E3151" w:rsidRPr="00A46EAA">
        <w:rPr>
          <w:rFonts w:ascii="Times New Roman" w:hAnsi="Times New Roman" w:cs="Times New Roman"/>
          <w:b/>
          <w:sz w:val="28"/>
          <w:szCs w:val="28"/>
        </w:rPr>
        <w:t>(trong đó có hoạt động giao đại lý thanh toán)</w:t>
      </w:r>
      <w:r w:rsidR="000E3151" w:rsidRPr="00A46EAA">
        <w:rPr>
          <w:rFonts w:ascii="Times New Roman" w:hAnsi="Times New Roman" w:cs="Times New Roman"/>
          <w:b/>
          <w:sz w:val="28"/>
          <w:szCs w:val="28"/>
          <w:lang w:val="vi-VN"/>
        </w:rPr>
        <w:t>;</w:t>
      </w:r>
    </w:p>
    <w:p w14:paraId="2844DDC5" w14:textId="77777777" w:rsidR="000E3151" w:rsidRPr="00A46EAA" w:rsidRDefault="000E3151" w:rsidP="00A46EAA">
      <w:pPr>
        <w:spacing w:before="120" w:after="120" w:line="266" w:lineRule="auto"/>
        <w:ind w:firstLine="720"/>
        <w:jc w:val="both"/>
        <w:rPr>
          <w:rFonts w:ascii="Times New Roman" w:hAnsi="Times New Roman" w:cs="Times New Roman"/>
          <w:sz w:val="28"/>
          <w:szCs w:val="28"/>
        </w:rPr>
      </w:pPr>
      <w:r w:rsidRPr="00A46EAA">
        <w:rPr>
          <w:rFonts w:ascii="Times New Roman" w:hAnsi="Times New Roman" w:cs="Times New Roman"/>
          <w:b/>
          <w:sz w:val="28"/>
          <w:szCs w:val="28"/>
        </w:rPr>
        <w:t>Khoản 3 Điều 125</w:t>
      </w:r>
      <w:r w:rsidRPr="00A46EAA">
        <w:rPr>
          <w:rFonts w:ascii="Times New Roman" w:hAnsi="Times New Roman" w:cs="Times New Roman"/>
          <w:sz w:val="28"/>
          <w:szCs w:val="28"/>
        </w:rPr>
        <w:t xml:space="preserve"> Luật Các TCTD năm 2024 quy định như sau: “</w:t>
      </w:r>
      <w:r w:rsidRPr="00A46EAA">
        <w:rPr>
          <w:rFonts w:ascii="Times New Roman" w:hAnsi="Times New Roman" w:cs="Times New Roman"/>
          <w:i/>
          <w:sz w:val="28"/>
          <w:szCs w:val="28"/>
          <w:u w:val="single"/>
          <w:lang w:val="vi-VN"/>
        </w:rPr>
        <w:t>3. Thống đốc Ngân hàng Nhà nước quy định chi tiết khoản 1 Điều này</w:t>
      </w:r>
      <w:r w:rsidRPr="00A46EAA">
        <w:rPr>
          <w:rFonts w:ascii="Times New Roman" w:hAnsi="Times New Roman" w:cs="Times New Roman"/>
          <w:i/>
          <w:sz w:val="28"/>
          <w:szCs w:val="28"/>
          <w:lang w:val="vi-VN"/>
        </w:rPr>
        <w:t xml:space="preserve"> và việc trích nộp, quản lý, sử dụng </w:t>
      </w:r>
      <w:r w:rsidRPr="00A46EAA">
        <w:rPr>
          <w:rFonts w:ascii="Times New Roman" w:hAnsi="Times New Roman" w:cs="Times New Roman"/>
          <w:i/>
          <w:sz w:val="28"/>
          <w:szCs w:val="28"/>
        </w:rPr>
        <w:t>q</w:t>
      </w:r>
      <w:r w:rsidRPr="00A46EAA">
        <w:rPr>
          <w:rFonts w:ascii="Times New Roman" w:hAnsi="Times New Roman" w:cs="Times New Roman"/>
          <w:i/>
          <w:sz w:val="28"/>
          <w:szCs w:val="28"/>
          <w:lang w:val="vi-VN"/>
        </w:rPr>
        <w:t>uỹ bảo đảm an toàn hệ thống quỹ tín dụng nhân dân</w:t>
      </w:r>
      <w:r w:rsidRPr="00A46EAA">
        <w:rPr>
          <w:rFonts w:ascii="Times New Roman" w:hAnsi="Times New Roman" w:cs="Times New Roman"/>
          <w:i/>
          <w:sz w:val="28"/>
          <w:szCs w:val="28"/>
        </w:rPr>
        <w:t>”</w:t>
      </w:r>
      <w:r w:rsidRPr="00A46EAA">
        <w:rPr>
          <w:rFonts w:ascii="Times New Roman" w:hAnsi="Times New Roman" w:cs="Times New Roman"/>
          <w:i/>
          <w:sz w:val="28"/>
          <w:szCs w:val="28"/>
          <w:lang w:val="vi-VN"/>
        </w:rPr>
        <w:t>.</w:t>
      </w:r>
    </w:p>
    <w:p w14:paraId="74FC8B7B" w14:textId="77777777" w:rsidR="00D373CE" w:rsidRPr="00A46EAA" w:rsidRDefault="00D373CE" w:rsidP="00A46EAA">
      <w:pPr>
        <w:spacing w:before="120" w:after="120" w:line="266" w:lineRule="auto"/>
        <w:ind w:firstLine="720"/>
        <w:jc w:val="both"/>
        <w:rPr>
          <w:rFonts w:ascii="Times New Roman" w:hAnsi="Times New Roman" w:cs="Times New Roman"/>
          <w:i/>
          <w:sz w:val="28"/>
          <w:szCs w:val="28"/>
        </w:rPr>
      </w:pPr>
      <w:r w:rsidRPr="00A46EAA">
        <w:rPr>
          <w:rFonts w:ascii="Times New Roman" w:hAnsi="Times New Roman" w:cs="Times New Roman"/>
          <w:b/>
          <w:i/>
          <w:sz w:val="28"/>
          <w:szCs w:val="28"/>
          <w:lang w:val="sv-SE"/>
        </w:rPr>
        <w:t>(4)</w:t>
      </w:r>
      <w:r w:rsidRPr="00A46EAA">
        <w:rPr>
          <w:rFonts w:ascii="Times New Roman" w:hAnsi="Times New Roman" w:cs="Times New Roman"/>
          <w:sz w:val="28"/>
          <w:szCs w:val="28"/>
          <w:lang w:val="sv-SE"/>
        </w:rPr>
        <w:t xml:space="preserve"> </w:t>
      </w:r>
      <w:r w:rsidRPr="00A46EAA">
        <w:rPr>
          <w:rFonts w:ascii="Times New Roman" w:hAnsi="Times New Roman" w:cs="Times New Roman"/>
          <w:sz w:val="28"/>
          <w:szCs w:val="28"/>
          <w:u w:val="single"/>
          <w:lang w:val="sv-SE"/>
        </w:rPr>
        <w:t>Đối với chi nhánh ngân hàng nước ngoài</w:t>
      </w:r>
      <w:r w:rsidRPr="00A46EAA">
        <w:rPr>
          <w:rFonts w:ascii="Times New Roman" w:hAnsi="Times New Roman" w:cs="Times New Roman"/>
          <w:sz w:val="28"/>
          <w:szCs w:val="28"/>
          <w:lang w:val="sv-SE"/>
        </w:rPr>
        <w:t xml:space="preserve">, </w:t>
      </w:r>
      <w:r w:rsidR="00D1507E" w:rsidRPr="00A46EAA">
        <w:rPr>
          <w:rFonts w:ascii="Times New Roman" w:hAnsi="Times New Roman" w:cs="Times New Roman"/>
          <w:b/>
          <w:sz w:val="28"/>
          <w:szCs w:val="28"/>
          <w:lang w:val="sv-SE"/>
        </w:rPr>
        <w:t xml:space="preserve">khoản 1 </w:t>
      </w:r>
      <w:r w:rsidRPr="00A46EAA">
        <w:rPr>
          <w:rFonts w:ascii="Times New Roman" w:hAnsi="Times New Roman" w:cs="Times New Roman"/>
          <w:b/>
          <w:sz w:val="28"/>
          <w:szCs w:val="28"/>
          <w:lang w:val="sv-SE"/>
        </w:rPr>
        <w:t>Điều 131</w:t>
      </w:r>
      <w:r w:rsidRPr="00A46EAA">
        <w:rPr>
          <w:rFonts w:ascii="Times New Roman" w:hAnsi="Times New Roman" w:cs="Times New Roman"/>
          <w:sz w:val="28"/>
          <w:szCs w:val="28"/>
          <w:lang w:val="sv-SE"/>
        </w:rPr>
        <w:t xml:space="preserve"> Luật Các TCTD năm 2024 quy định: </w:t>
      </w:r>
      <w:r w:rsidRPr="00A46EAA">
        <w:rPr>
          <w:rFonts w:ascii="Times New Roman" w:hAnsi="Times New Roman" w:cs="Times New Roman"/>
          <w:sz w:val="28"/>
          <w:szCs w:val="28"/>
        </w:rPr>
        <w:t>“</w:t>
      </w:r>
      <w:r w:rsidRPr="00A46EAA">
        <w:rPr>
          <w:rFonts w:ascii="Times New Roman" w:hAnsi="Times New Roman" w:cs="Times New Roman"/>
          <w:i/>
          <w:sz w:val="28"/>
          <w:szCs w:val="28"/>
          <w:lang w:val="vi-VN"/>
        </w:rPr>
        <w:t xml:space="preserve">1. Chi nhánh ngân hàng nước ngoài được thực hiện các hoạt động theo quy định tại </w:t>
      </w:r>
      <w:r w:rsidRPr="00A46EAA">
        <w:rPr>
          <w:rFonts w:ascii="Times New Roman" w:hAnsi="Times New Roman" w:cs="Times New Roman"/>
          <w:i/>
          <w:sz w:val="28"/>
          <w:szCs w:val="28"/>
          <w:u w:val="single"/>
          <w:lang w:val="vi-VN"/>
        </w:rPr>
        <w:t>Mục 1 và Mục 2 Chương này</w:t>
      </w:r>
      <w:r w:rsidRPr="00A46EAA">
        <w:rPr>
          <w:rFonts w:ascii="Times New Roman" w:hAnsi="Times New Roman" w:cs="Times New Roman"/>
          <w:i/>
          <w:sz w:val="28"/>
          <w:szCs w:val="28"/>
          <w:u w:val="single"/>
        </w:rPr>
        <w:t xml:space="preserve"> </w:t>
      </w:r>
      <w:r w:rsidRPr="00A46EAA">
        <w:rPr>
          <w:rFonts w:ascii="Times New Roman" w:hAnsi="Times New Roman" w:cs="Times New Roman"/>
          <w:i/>
          <w:sz w:val="28"/>
          <w:szCs w:val="28"/>
          <w:lang w:val="vi-VN"/>
        </w:rPr>
        <w:t>, trừ các hoạt động sau đây:</w:t>
      </w:r>
    </w:p>
    <w:p w14:paraId="177FE160" w14:textId="77777777" w:rsidR="00D373CE" w:rsidRPr="00A46EAA" w:rsidRDefault="00D373CE" w:rsidP="00A46EAA">
      <w:pPr>
        <w:spacing w:before="120" w:after="120" w:line="266" w:lineRule="auto"/>
        <w:ind w:firstLine="720"/>
        <w:jc w:val="both"/>
        <w:rPr>
          <w:rFonts w:ascii="Times New Roman" w:hAnsi="Times New Roman" w:cs="Times New Roman"/>
          <w:i/>
          <w:sz w:val="28"/>
          <w:szCs w:val="28"/>
        </w:rPr>
      </w:pPr>
      <w:r w:rsidRPr="00A46EAA">
        <w:rPr>
          <w:rFonts w:ascii="Times New Roman" w:hAnsi="Times New Roman" w:cs="Times New Roman"/>
          <w:i/>
          <w:sz w:val="28"/>
          <w:szCs w:val="28"/>
          <w:lang w:val="vi-VN"/>
        </w:rPr>
        <w:t>a) Hoạt động quy định tại Điều 111 của Luật này;</w:t>
      </w:r>
      <w:r w:rsidRPr="00A46EAA">
        <w:rPr>
          <w:rFonts w:ascii="Times New Roman" w:hAnsi="Times New Roman" w:cs="Times New Roman"/>
          <w:i/>
          <w:sz w:val="28"/>
          <w:szCs w:val="28"/>
        </w:rPr>
        <w:t xml:space="preserve"> </w:t>
      </w:r>
      <w:r w:rsidRPr="00A46EAA">
        <w:rPr>
          <w:rFonts w:ascii="Times New Roman" w:hAnsi="Times New Roman" w:cs="Times New Roman"/>
          <w:b/>
          <w:sz w:val="28"/>
          <w:szCs w:val="28"/>
        </w:rPr>
        <w:t>(hoạt động Góp vốn, mua cổ phần của ngân hàng thương mại)</w:t>
      </w:r>
    </w:p>
    <w:p w14:paraId="1FF5E4BD" w14:textId="77777777" w:rsidR="00D373CE" w:rsidRPr="00A46EAA" w:rsidRDefault="00D373CE" w:rsidP="00A46EAA">
      <w:pPr>
        <w:spacing w:before="120" w:after="120" w:line="266" w:lineRule="auto"/>
        <w:ind w:firstLine="720"/>
        <w:jc w:val="both"/>
        <w:rPr>
          <w:rFonts w:ascii="Times New Roman" w:hAnsi="Times New Roman" w:cs="Times New Roman"/>
          <w:i/>
          <w:sz w:val="28"/>
          <w:szCs w:val="28"/>
        </w:rPr>
      </w:pPr>
      <w:r w:rsidRPr="00A46EAA">
        <w:rPr>
          <w:rFonts w:ascii="Times New Roman" w:hAnsi="Times New Roman" w:cs="Times New Roman"/>
          <w:i/>
          <w:sz w:val="28"/>
          <w:szCs w:val="28"/>
          <w:lang w:val="vi-VN"/>
        </w:rPr>
        <w:t>b) Hoạt động mà ngân hàng mẹ của chi nhánh ngân hàng nước ngoài không được phép thực hiện tại nước nơi ngân hàng đó đặt trụ sở chính</w:t>
      </w:r>
      <w:r w:rsidRPr="00A46EAA">
        <w:rPr>
          <w:rFonts w:ascii="Times New Roman" w:hAnsi="Times New Roman" w:cs="Times New Roman"/>
          <w:i/>
          <w:sz w:val="28"/>
          <w:szCs w:val="28"/>
        </w:rPr>
        <w:t>”</w:t>
      </w:r>
      <w:r w:rsidRPr="00A46EAA">
        <w:rPr>
          <w:rFonts w:ascii="Times New Roman" w:hAnsi="Times New Roman" w:cs="Times New Roman"/>
          <w:i/>
          <w:sz w:val="28"/>
          <w:szCs w:val="28"/>
          <w:lang w:val="vi-VN"/>
        </w:rPr>
        <w:t>.</w:t>
      </w:r>
    </w:p>
    <w:p w14:paraId="3754D75D" w14:textId="77777777" w:rsidR="00D373CE" w:rsidRPr="00A46EAA" w:rsidRDefault="00D373CE" w:rsidP="00A46EAA">
      <w:pPr>
        <w:spacing w:before="120" w:after="120" w:line="266" w:lineRule="auto"/>
        <w:ind w:firstLine="720"/>
        <w:jc w:val="both"/>
        <w:rPr>
          <w:rFonts w:ascii="Times New Roman" w:hAnsi="Times New Roman" w:cs="Times New Roman"/>
          <w:b/>
          <w:sz w:val="28"/>
          <w:szCs w:val="28"/>
        </w:rPr>
      </w:pPr>
      <w:r w:rsidRPr="00A46EAA">
        <w:rPr>
          <w:rFonts w:ascii="Times New Roman" w:hAnsi="Times New Roman" w:cs="Times New Roman"/>
          <w:b/>
          <w:sz w:val="28"/>
          <w:szCs w:val="28"/>
        </w:rPr>
        <w:t>(Hoạt động quy định tại Mục 1 và Mục 2 tại khoản 1 Điều 131 Luật Các TCTD năm 2024 tương tự như hoạt động của NHTM)</w:t>
      </w:r>
    </w:p>
    <w:p w14:paraId="4CD6E72C" w14:textId="77777777" w:rsidR="006B3397" w:rsidRPr="00A46EAA" w:rsidRDefault="00AB0AC5" w:rsidP="00A46EAA">
      <w:pPr>
        <w:spacing w:before="120" w:after="120" w:line="266" w:lineRule="auto"/>
        <w:ind w:firstLine="720"/>
        <w:jc w:val="both"/>
        <w:rPr>
          <w:rFonts w:ascii="Times New Roman" w:hAnsi="Times New Roman" w:cs="Times New Roman"/>
          <w:i/>
          <w:sz w:val="28"/>
          <w:szCs w:val="28"/>
          <w:lang w:val="sv-SE"/>
        </w:rPr>
      </w:pPr>
      <w:r w:rsidRPr="00A46EAA">
        <w:rPr>
          <w:rFonts w:ascii="Times New Roman" w:hAnsi="Times New Roman" w:cs="Times New Roman"/>
          <w:b/>
          <w:i/>
          <w:sz w:val="28"/>
          <w:szCs w:val="28"/>
          <w:lang w:val="sv-SE"/>
        </w:rPr>
        <w:t>(5)</w:t>
      </w:r>
      <w:r w:rsidR="004374D7" w:rsidRPr="00A46EAA">
        <w:rPr>
          <w:rFonts w:ascii="Times New Roman" w:hAnsi="Times New Roman" w:cs="Times New Roman"/>
          <w:sz w:val="28"/>
          <w:szCs w:val="28"/>
          <w:lang w:val="sv-SE"/>
        </w:rPr>
        <w:t xml:space="preserve"> </w:t>
      </w:r>
      <w:r w:rsidR="004374D7" w:rsidRPr="00A46EAA">
        <w:rPr>
          <w:rFonts w:ascii="Times New Roman" w:hAnsi="Times New Roman" w:cs="Times New Roman"/>
          <w:sz w:val="28"/>
          <w:szCs w:val="28"/>
          <w:u w:val="single"/>
          <w:lang w:val="sv-SE"/>
        </w:rPr>
        <w:t>Đối với quỹ tín dụng nhân dân</w:t>
      </w:r>
      <w:r w:rsidR="00FB2241" w:rsidRPr="00A46EAA">
        <w:rPr>
          <w:rFonts w:ascii="Times New Roman" w:hAnsi="Times New Roman" w:cs="Times New Roman"/>
          <w:sz w:val="28"/>
          <w:szCs w:val="28"/>
          <w:lang w:val="sv-SE"/>
        </w:rPr>
        <w:t>,</w:t>
      </w:r>
      <w:r w:rsidR="004374D7" w:rsidRPr="00A46EAA">
        <w:rPr>
          <w:rFonts w:ascii="Times New Roman" w:hAnsi="Times New Roman" w:cs="Times New Roman"/>
          <w:sz w:val="28"/>
          <w:szCs w:val="28"/>
          <w:lang w:val="sv-SE"/>
        </w:rPr>
        <w:t xml:space="preserve"> </w:t>
      </w:r>
      <w:r w:rsidRPr="00A46EAA">
        <w:rPr>
          <w:rFonts w:ascii="Times New Roman" w:hAnsi="Times New Roman" w:cs="Times New Roman"/>
          <w:b/>
          <w:sz w:val="28"/>
          <w:szCs w:val="28"/>
          <w:lang w:val="sv-SE"/>
        </w:rPr>
        <w:t>điểm b khoản 4 Điều 1</w:t>
      </w:r>
      <w:r w:rsidR="00010E0A" w:rsidRPr="00A46EAA">
        <w:rPr>
          <w:rFonts w:ascii="Times New Roman" w:hAnsi="Times New Roman" w:cs="Times New Roman"/>
          <w:b/>
          <w:sz w:val="28"/>
          <w:szCs w:val="28"/>
          <w:lang w:val="sv-SE"/>
        </w:rPr>
        <w:t>26</w:t>
      </w:r>
      <w:r w:rsidR="004374D7" w:rsidRPr="00A46EAA">
        <w:rPr>
          <w:rFonts w:ascii="Times New Roman" w:hAnsi="Times New Roman" w:cs="Times New Roman"/>
          <w:sz w:val="28"/>
          <w:szCs w:val="28"/>
          <w:lang w:val="sv-SE"/>
        </w:rPr>
        <w:t xml:space="preserve"> Luật </w:t>
      </w:r>
      <w:r w:rsidR="00010E0A" w:rsidRPr="00A46EAA">
        <w:rPr>
          <w:rFonts w:ascii="Times New Roman" w:hAnsi="Times New Roman" w:cs="Times New Roman"/>
          <w:sz w:val="28"/>
          <w:szCs w:val="28"/>
          <w:lang w:val="sv-SE"/>
        </w:rPr>
        <w:t>C</w:t>
      </w:r>
      <w:r w:rsidR="004374D7" w:rsidRPr="00A46EAA">
        <w:rPr>
          <w:rFonts w:ascii="Times New Roman" w:hAnsi="Times New Roman" w:cs="Times New Roman"/>
          <w:sz w:val="28"/>
          <w:szCs w:val="28"/>
          <w:lang w:val="sv-SE"/>
        </w:rPr>
        <w:t xml:space="preserve">ác TCTD </w:t>
      </w:r>
      <w:r w:rsidR="00010E0A" w:rsidRPr="00A46EAA">
        <w:rPr>
          <w:rFonts w:ascii="Times New Roman" w:hAnsi="Times New Roman" w:cs="Times New Roman"/>
          <w:sz w:val="28"/>
          <w:szCs w:val="28"/>
          <w:lang w:val="sv-SE"/>
        </w:rPr>
        <w:t xml:space="preserve">năm 2024 (Hoạt động của quỹ tín dụng nhân dân) </w:t>
      </w:r>
      <w:r w:rsidR="004374D7" w:rsidRPr="00A46EAA">
        <w:rPr>
          <w:rFonts w:ascii="Times New Roman" w:hAnsi="Times New Roman" w:cs="Times New Roman"/>
          <w:sz w:val="28"/>
          <w:szCs w:val="28"/>
          <w:lang w:val="sv-SE"/>
        </w:rPr>
        <w:t xml:space="preserve">quy định: </w:t>
      </w:r>
      <w:r w:rsidR="004374D7" w:rsidRPr="00A46EAA">
        <w:rPr>
          <w:rFonts w:ascii="Times New Roman" w:hAnsi="Times New Roman" w:cs="Times New Roman"/>
          <w:sz w:val="28"/>
          <w:szCs w:val="28"/>
          <w:lang w:val="nl-NL"/>
        </w:rPr>
        <w:t>“</w:t>
      </w:r>
      <w:r w:rsidR="004374D7" w:rsidRPr="00A46EAA">
        <w:rPr>
          <w:rFonts w:ascii="Times New Roman" w:hAnsi="Times New Roman" w:cs="Times New Roman"/>
          <w:i/>
          <w:sz w:val="28"/>
          <w:szCs w:val="28"/>
          <w:lang w:val="sv-SE"/>
        </w:rPr>
        <w:t>4. Các hoạt động khác,</w:t>
      </w:r>
      <w:r w:rsidR="009D45D3" w:rsidRPr="00A46EAA">
        <w:rPr>
          <w:rFonts w:ascii="Times New Roman" w:hAnsi="Times New Roman" w:cs="Times New Roman"/>
          <w:i/>
          <w:sz w:val="28"/>
          <w:szCs w:val="28"/>
          <w:lang w:val="sv-SE"/>
        </w:rPr>
        <w:t xml:space="preserve"> ...</w:t>
      </w:r>
      <w:r w:rsidR="00953FAB" w:rsidRPr="00A46EAA">
        <w:rPr>
          <w:rFonts w:ascii="Times New Roman" w:hAnsi="Times New Roman" w:cs="Times New Roman"/>
          <w:i/>
          <w:sz w:val="28"/>
          <w:szCs w:val="28"/>
          <w:lang w:val="sv-SE"/>
        </w:rPr>
        <w:t xml:space="preserve"> bao gồm:</w:t>
      </w:r>
    </w:p>
    <w:p w14:paraId="6B6F5B66" w14:textId="77777777" w:rsidR="00953FAB" w:rsidRPr="00A46EAA" w:rsidRDefault="00D1507E" w:rsidP="00A46EAA">
      <w:pPr>
        <w:spacing w:before="120" w:after="120" w:line="266" w:lineRule="auto"/>
        <w:ind w:firstLine="720"/>
        <w:jc w:val="both"/>
        <w:rPr>
          <w:rFonts w:ascii="Times New Roman" w:hAnsi="Times New Roman" w:cs="Times New Roman"/>
          <w:i/>
          <w:sz w:val="28"/>
          <w:szCs w:val="28"/>
          <w:lang w:val="sv-SE"/>
        </w:rPr>
      </w:pPr>
      <w:r w:rsidRPr="00A46EAA">
        <w:rPr>
          <w:rFonts w:ascii="Times New Roman" w:hAnsi="Times New Roman" w:cs="Times New Roman"/>
          <w:i/>
          <w:sz w:val="28"/>
          <w:szCs w:val="28"/>
          <w:lang w:val="vi-VN"/>
        </w:rPr>
        <w:lastRenderedPageBreak/>
        <w:t xml:space="preserve">b) </w:t>
      </w:r>
      <w:r w:rsidRPr="00A46EAA">
        <w:rPr>
          <w:rFonts w:ascii="Times New Roman" w:hAnsi="Times New Roman" w:cs="Times New Roman"/>
          <w:i/>
          <w:sz w:val="28"/>
          <w:szCs w:val="28"/>
          <w:u w:val="single"/>
        </w:rPr>
        <w:t>Đ</w:t>
      </w:r>
      <w:r w:rsidRPr="00A46EAA">
        <w:rPr>
          <w:rFonts w:ascii="Times New Roman" w:hAnsi="Times New Roman" w:cs="Times New Roman"/>
          <w:i/>
          <w:sz w:val="28"/>
          <w:szCs w:val="28"/>
          <w:u w:val="single"/>
          <w:lang w:val="vi-VN"/>
        </w:rPr>
        <w:t>ại lý cung ứng dịch vụ thanh toán cho ngân hàng hợp tác xã</w:t>
      </w:r>
      <w:r w:rsidRPr="00A46EAA">
        <w:rPr>
          <w:rFonts w:ascii="Times New Roman" w:hAnsi="Times New Roman" w:cs="Times New Roman"/>
          <w:i/>
          <w:sz w:val="28"/>
          <w:szCs w:val="28"/>
          <w:lang w:val="vi-VN"/>
        </w:rPr>
        <w:t xml:space="preserve"> đối với thành viên, khách hàng của quỹ tín dụng nhân dân đó;</w:t>
      </w:r>
      <w:r w:rsidR="004374D7" w:rsidRPr="00A46EAA">
        <w:rPr>
          <w:rFonts w:ascii="Times New Roman" w:hAnsi="Times New Roman" w:cs="Times New Roman"/>
          <w:i/>
          <w:sz w:val="28"/>
          <w:szCs w:val="28"/>
          <w:lang w:val="sv-SE"/>
        </w:rPr>
        <w:t>”.</w:t>
      </w:r>
    </w:p>
    <w:p w14:paraId="2A123EC8" w14:textId="77777777" w:rsidR="00953FAB" w:rsidRPr="00A46EAA" w:rsidRDefault="00953FAB" w:rsidP="00A46EAA">
      <w:pPr>
        <w:spacing w:before="120" w:after="120" w:line="266" w:lineRule="auto"/>
        <w:ind w:firstLine="720"/>
        <w:jc w:val="both"/>
        <w:rPr>
          <w:rFonts w:ascii="Times New Roman" w:hAnsi="Times New Roman" w:cs="Times New Roman"/>
          <w:i/>
          <w:sz w:val="28"/>
          <w:szCs w:val="28"/>
        </w:rPr>
      </w:pPr>
      <w:r w:rsidRPr="00A46EAA">
        <w:rPr>
          <w:rFonts w:ascii="Times New Roman" w:hAnsi="Times New Roman" w:cs="Times New Roman"/>
          <w:b/>
          <w:i/>
          <w:color w:val="000000"/>
          <w:sz w:val="28"/>
          <w:szCs w:val="28"/>
          <w:lang w:val="sv-SE"/>
        </w:rPr>
        <w:t>(6)</w:t>
      </w:r>
      <w:r w:rsidRPr="00A46EAA">
        <w:rPr>
          <w:rFonts w:ascii="Times New Roman" w:hAnsi="Times New Roman" w:cs="Times New Roman"/>
          <w:color w:val="000000"/>
          <w:sz w:val="28"/>
          <w:szCs w:val="28"/>
          <w:lang w:val="sv-SE"/>
        </w:rPr>
        <w:t xml:space="preserve"> </w:t>
      </w:r>
      <w:r w:rsidRPr="00A46EAA">
        <w:rPr>
          <w:rFonts w:ascii="Times New Roman" w:hAnsi="Times New Roman" w:cs="Times New Roman"/>
          <w:color w:val="000000"/>
          <w:sz w:val="28"/>
          <w:szCs w:val="28"/>
          <w:u w:val="single"/>
          <w:lang w:val="sv-SE"/>
        </w:rPr>
        <w:t>Đối với tổ chức tài chính vi mô</w:t>
      </w:r>
      <w:r w:rsidRPr="00A46EAA">
        <w:rPr>
          <w:rFonts w:ascii="Times New Roman" w:hAnsi="Times New Roman" w:cs="Times New Roman"/>
          <w:color w:val="000000"/>
          <w:sz w:val="28"/>
          <w:szCs w:val="28"/>
          <w:lang w:val="sv-SE"/>
        </w:rPr>
        <w:t xml:space="preserve">, </w:t>
      </w:r>
      <w:r w:rsidRPr="00A46EAA">
        <w:rPr>
          <w:rFonts w:ascii="Times New Roman" w:hAnsi="Times New Roman" w:cs="Times New Roman"/>
          <w:b/>
          <w:color w:val="000000"/>
          <w:sz w:val="28"/>
          <w:szCs w:val="28"/>
          <w:lang w:val="sv-SE"/>
        </w:rPr>
        <w:t>điểm b khoản 1 Điều 130</w:t>
      </w:r>
      <w:r w:rsidRPr="00A46EAA">
        <w:rPr>
          <w:rFonts w:ascii="Times New Roman" w:hAnsi="Times New Roman" w:cs="Times New Roman"/>
          <w:color w:val="000000"/>
          <w:sz w:val="28"/>
          <w:szCs w:val="28"/>
          <w:lang w:val="sv-SE"/>
        </w:rPr>
        <w:t xml:space="preserve"> Luật Các TCTD năm 2024 (hoạt động kinh doanh khác của tổ chức tài chính vi mô) quy định: </w:t>
      </w:r>
      <w:r w:rsidRPr="00A46EAA">
        <w:rPr>
          <w:rFonts w:ascii="Times New Roman" w:hAnsi="Times New Roman" w:cs="Times New Roman"/>
          <w:i/>
          <w:sz w:val="28"/>
          <w:szCs w:val="28"/>
          <w:lang w:val="nl-NL"/>
        </w:rPr>
        <w:t>“</w:t>
      </w:r>
      <w:r w:rsidRPr="00A46EAA">
        <w:rPr>
          <w:rFonts w:ascii="Times New Roman" w:hAnsi="Times New Roman" w:cs="Times New Roman"/>
          <w:i/>
          <w:sz w:val="28"/>
          <w:szCs w:val="28"/>
        </w:rPr>
        <w:t>1. Hoạt động kinh doanh khác … bao gồm:</w:t>
      </w:r>
    </w:p>
    <w:p w14:paraId="18FF59B2" w14:textId="77777777" w:rsidR="00953FAB" w:rsidRPr="00A46EAA" w:rsidRDefault="00953FAB" w:rsidP="00A46EAA">
      <w:pPr>
        <w:spacing w:before="120" w:after="120" w:line="266" w:lineRule="auto"/>
        <w:ind w:firstLine="720"/>
        <w:jc w:val="both"/>
        <w:rPr>
          <w:rFonts w:ascii="Times New Roman" w:hAnsi="Times New Roman" w:cs="Times New Roman"/>
          <w:i/>
          <w:sz w:val="28"/>
          <w:szCs w:val="28"/>
        </w:rPr>
      </w:pPr>
      <w:r w:rsidRPr="00A46EAA">
        <w:rPr>
          <w:rFonts w:ascii="Times New Roman" w:hAnsi="Times New Roman" w:cs="Times New Roman"/>
          <w:i/>
          <w:sz w:val="28"/>
          <w:szCs w:val="28"/>
        </w:rPr>
        <w:t>b)</w:t>
      </w:r>
      <w:r w:rsidRPr="00A46EAA">
        <w:rPr>
          <w:rFonts w:ascii="Times New Roman" w:hAnsi="Times New Roman" w:cs="Times New Roman"/>
          <w:i/>
          <w:sz w:val="28"/>
          <w:szCs w:val="28"/>
          <w:lang w:val="vi-VN"/>
        </w:rPr>
        <w:t xml:space="preserve"> </w:t>
      </w:r>
      <w:r w:rsidRPr="00A46EAA">
        <w:rPr>
          <w:rFonts w:ascii="Times New Roman" w:hAnsi="Times New Roman" w:cs="Times New Roman"/>
          <w:i/>
          <w:sz w:val="28"/>
          <w:szCs w:val="28"/>
          <w:u w:val="single"/>
        </w:rPr>
        <w:t>Đ</w:t>
      </w:r>
      <w:r w:rsidRPr="00A46EAA">
        <w:rPr>
          <w:rFonts w:ascii="Times New Roman" w:hAnsi="Times New Roman" w:cs="Times New Roman"/>
          <w:i/>
          <w:sz w:val="28"/>
          <w:szCs w:val="28"/>
          <w:u w:val="single"/>
          <w:lang w:val="vi-VN"/>
        </w:rPr>
        <w:t>ại lý cung ứng dịch vụ thanh toán cho ngân hàng</w:t>
      </w:r>
      <w:r w:rsidRPr="00A46EAA">
        <w:rPr>
          <w:rFonts w:ascii="Times New Roman" w:hAnsi="Times New Roman" w:cs="Times New Roman"/>
          <w:i/>
          <w:sz w:val="28"/>
          <w:szCs w:val="28"/>
          <w:lang w:val="vi-VN"/>
        </w:rPr>
        <w:t xml:space="preserve"> đối với khách hàng của tổ chức tài chính vi mô đó</w:t>
      </w:r>
      <w:r w:rsidRPr="00A46EAA">
        <w:rPr>
          <w:rFonts w:ascii="Times New Roman" w:hAnsi="Times New Roman" w:cs="Times New Roman"/>
          <w:i/>
          <w:sz w:val="28"/>
          <w:szCs w:val="28"/>
        </w:rPr>
        <w:t>;”.</w:t>
      </w:r>
    </w:p>
    <w:p w14:paraId="1720CFBE" w14:textId="77777777" w:rsidR="00AD6E75" w:rsidRPr="00A46EAA" w:rsidRDefault="00D765BD" w:rsidP="00A46EAA">
      <w:pPr>
        <w:spacing w:before="120" w:after="120" w:line="266" w:lineRule="auto"/>
        <w:ind w:firstLine="720"/>
        <w:jc w:val="both"/>
        <w:rPr>
          <w:rFonts w:ascii="Times New Roman" w:eastAsia="Calibri" w:hAnsi="Times New Roman" w:cs="Times New Roman"/>
          <w:b/>
          <w:i/>
          <w:sz w:val="28"/>
          <w:szCs w:val="28"/>
        </w:rPr>
      </w:pPr>
      <w:r w:rsidRPr="00A46EAA">
        <w:rPr>
          <w:rFonts w:ascii="Times New Roman" w:hAnsi="Times New Roman" w:cs="Times New Roman"/>
          <w:b/>
          <w:i/>
          <w:sz w:val="28"/>
          <w:szCs w:val="28"/>
        </w:rPr>
        <w:t>2. Về mặt</w:t>
      </w:r>
      <w:r w:rsidR="00AD6E75" w:rsidRPr="00A46EAA">
        <w:rPr>
          <w:rFonts w:ascii="Times New Roman" w:hAnsi="Times New Roman" w:cs="Times New Roman"/>
          <w:b/>
          <w:i/>
          <w:sz w:val="28"/>
          <w:szCs w:val="28"/>
        </w:rPr>
        <w:t xml:space="preserve"> thực tiễn</w:t>
      </w:r>
    </w:p>
    <w:p w14:paraId="60CE69D6" w14:textId="77777777" w:rsidR="00160130" w:rsidRPr="00A46EAA" w:rsidRDefault="005C2479" w:rsidP="00A46EAA">
      <w:pPr>
        <w:tabs>
          <w:tab w:val="left" w:pos="720"/>
        </w:tabs>
        <w:spacing w:before="120" w:after="120" w:line="266" w:lineRule="auto"/>
        <w:ind w:firstLine="709"/>
        <w:jc w:val="both"/>
        <w:rPr>
          <w:rFonts w:ascii="Times New Roman" w:eastAsia="Calibri" w:hAnsi="Times New Roman" w:cs="Times New Roman"/>
          <w:sz w:val="28"/>
          <w:szCs w:val="28"/>
          <w:lang w:val="sv-SE"/>
        </w:rPr>
      </w:pPr>
      <w:r w:rsidRPr="00A46EAA">
        <w:rPr>
          <w:rFonts w:ascii="Times New Roman" w:hAnsi="Times New Roman" w:cs="Times New Roman"/>
          <w:color w:val="000000"/>
          <w:sz w:val="28"/>
          <w:szCs w:val="28"/>
          <w:lang w:val="sv-SE"/>
        </w:rPr>
        <w:t xml:space="preserve">- </w:t>
      </w:r>
      <w:r w:rsidR="006611DB" w:rsidRPr="00A46EAA">
        <w:rPr>
          <w:rFonts w:ascii="Times New Roman" w:hAnsi="Times New Roman" w:cs="Times New Roman"/>
          <w:color w:val="000000"/>
          <w:sz w:val="28"/>
          <w:szCs w:val="28"/>
          <w:lang w:val="sv-SE"/>
        </w:rPr>
        <w:t>Đ</w:t>
      </w:r>
      <w:r w:rsidR="006611DB" w:rsidRPr="00A46EAA">
        <w:rPr>
          <w:rFonts w:ascii="Times New Roman" w:eastAsia="Calibri" w:hAnsi="Times New Roman" w:cs="Times New Roman"/>
          <w:color w:val="000000"/>
          <w:sz w:val="28"/>
          <w:szCs w:val="28"/>
          <w:lang w:val="sv-SE"/>
        </w:rPr>
        <w:t>ể tạo nguồn lực, xã hội hóa hoạt động thanh toán, thời gian qua (từ năm 2014</w:t>
      </w:r>
      <w:r w:rsidRPr="00A46EAA">
        <w:rPr>
          <w:rFonts w:ascii="Times New Roman" w:eastAsia="Calibri" w:hAnsi="Times New Roman" w:cs="Times New Roman"/>
          <w:color w:val="000000"/>
          <w:sz w:val="28"/>
          <w:szCs w:val="28"/>
          <w:lang w:val="sv-SE"/>
        </w:rPr>
        <w:t xml:space="preserve"> đến cuối năm 2023</w:t>
      </w:r>
      <w:r w:rsidR="006611DB" w:rsidRPr="00A46EAA">
        <w:rPr>
          <w:rFonts w:ascii="Times New Roman" w:eastAsia="Calibri" w:hAnsi="Times New Roman" w:cs="Times New Roman"/>
          <w:color w:val="000000"/>
          <w:sz w:val="28"/>
          <w:szCs w:val="28"/>
          <w:lang w:val="sv-SE"/>
        </w:rPr>
        <w:t>)</w:t>
      </w:r>
      <w:r w:rsidR="00BA7B77" w:rsidRPr="00A46EAA">
        <w:rPr>
          <w:rFonts w:ascii="Times New Roman" w:eastAsia="Calibri" w:hAnsi="Times New Roman" w:cs="Times New Roman"/>
          <w:color w:val="000000"/>
          <w:sz w:val="28"/>
          <w:szCs w:val="28"/>
          <w:lang w:val="sv-SE"/>
        </w:rPr>
        <w:t xml:space="preserve">, NHNN đã cho phép thực hiện thí điểm 03 mô hình dịch vụ thanh toán của </w:t>
      </w:r>
      <w:r w:rsidR="00BA7B77" w:rsidRPr="00A46EAA">
        <w:rPr>
          <w:rFonts w:ascii="Times New Roman" w:hAnsi="Times New Roman" w:cs="Times New Roman"/>
          <w:sz w:val="28"/>
          <w:szCs w:val="28"/>
          <w:lang w:val="da-DK"/>
        </w:rPr>
        <w:t xml:space="preserve">NHTMCP Ngoại thương Việt Nam (Vietcombank) </w:t>
      </w:r>
      <w:r w:rsidR="00BA7B77" w:rsidRPr="00A46EAA">
        <w:rPr>
          <w:rFonts w:ascii="Times New Roman" w:eastAsia="Calibri" w:hAnsi="Times New Roman" w:cs="Times New Roman"/>
          <w:color w:val="000000"/>
          <w:sz w:val="28"/>
          <w:szCs w:val="28"/>
          <w:lang w:val="sv-SE"/>
        </w:rPr>
        <w:t xml:space="preserve">và </w:t>
      </w:r>
      <w:r w:rsidR="00BA7B77" w:rsidRPr="00A46EAA">
        <w:rPr>
          <w:rFonts w:ascii="Times New Roman" w:hAnsi="Times New Roman" w:cs="Times New Roman"/>
          <w:sz w:val="28"/>
          <w:szCs w:val="28"/>
          <w:lang w:val="da-DK"/>
        </w:rPr>
        <w:t>Công ty cổ phần Dịch vụ Di động Trực tuyến (</w:t>
      </w:r>
      <w:r w:rsidR="00BA7B77" w:rsidRPr="00A46EAA">
        <w:rPr>
          <w:rFonts w:ascii="Times New Roman" w:hAnsi="Times New Roman" w:cs="Times New Roman"/>
          <w:noProof/>
          <w:sz w:val="28"/>
          <w:szCs w:val="28"/>
          <w:lang w:val="da-DK"/>
        </w:rPr>
        <w:t>M_Service)</w:t>
      </w:r>
      <w:r w:rsidR="00BA7B77" w:rsidRPr="00A46EAA">
        <w:rPr>
          <w:rFonts w:ascii="Times New Roman" w:eastAsia="Calibri" w:hAnsi="Times New Roman" w:cs="Times New Roman"/>
          <w:color w:val="000000"/>
          <w:sz w:val="28"/>
          <w:szCs w:val="28"/>
          <w:lang w:val="sv-SE"/>
        </w:rPr>
        <w:t xml:space="preserve">, </w:t>
      </w:r>
      <w:r w:rsidR="00BA7B77" w:rsidRPr="00A46EAA">
        <w:rPr>
          <w:rFonts w:ascii="Times New Roman" w:hAnsi="Times New Roman" w:cs="Times New Roman"/>
          <w:sz w:val="28"/>
          <w:szCs w:val="28"/>
          <w:lang w:val="da-DK"/>
        </w:rPr>
        <w:t>Ngân hàng TMCP Quân đội (MB)</w:t>
      </w:r>
      <w:r w:rsidR="00BA7B77" w:rsidRPr="00A46EAA">
        <w:rPr>
          <w:rFonts w:ascii="Times New Roman" w:eastAsia="Calibri" w:hAnsi="Times New Roman" w:cs="Times New Roman"/>
          <w:color w:val="000000"/>
          <w:sz w:val="28"/>
          <w:szCs w:val="28"/>
          <w:lang w:val="sv-SE"/>
        </w:rPr>
        <w:t xml:space="preserve"> và </w:t>
      </w:r>
      <w:r w:rsidR="00BA7B77" w:rsidRPr="00A46EAA">
        <w:rPr>
          <w:rFonts w:ascii="Times New Roman" w:hAnsi="Times New Roman" w:cs="Times New Roman"/>
          <w:sz w:val="28"/>
          <w:szCs w:val="28"/>
          <w:lang w:val="da-DK"/>
        </w:rPr>
        <w:t>Tập đoàn Viễn thông Quân đội (Viettel)</w:t>
      </w:r>
      <w:r w:rsidR="00BA7B77" w:rsidRPr="00A46EAA">
        <w:rPr>
          <w:rFonts w:ascii="Times New Roman" w:eastAsia="Calibri" w:hAnsi="Times New Roman" w:cs="Times New Roman"/>
          <w:color w:val="000000"/>
          <w:sz w:val="28"/>
          <w:szCs w:val="28"/>
          <w:lang w:val="sv-SE"/>
        </w:rPr>
        <w:t xml:space="preserve">, </w:t>
      </w:r>
      <w:r w:rsidR="00BA7B77" w:rsidRPr="00A46EAA">
        <w:rPr>
          <w:rFonts w:ascii="Times New Roman" w:hAnsi="Times New Roman" w:cs="Times New Roman"/>
          <w:sz w:val="28"/>
          <w:szCs w:val="28"/>
          <w:lang w:val="da-DK"/>
        </w:rPr>
        <w:t xml:space="preserve">NHTMCP Xăng dầu Petrolimex (PG Bank) </w:t>
      </w:r>
      <w:r w:rsidR="00BA7B77" w:rsidRPr="00A46EAA">
        <w:rPr>
          <w:rFonts w:ascii="Times New Roman" w:eastAsia="Calibri" w:hAnsi="Times New Roman" w:cs="Times New Roman"/>
          <w:color w:val="000000"/>
          <w:sz w:val="28"/>
          <w:szCs w:val="28"/>
          <w:lang w:val="sv-SE"/>
        </w:rPr>
        <w:t xml:space="preserve">và </w:t>
      </w:r>
      <w:r w:rsidR="00BA7B77" w:rsidRPr="00A46EAA">
        <w:rPr>
          <w:rFonts w:ascii="Times New Roman" w:hAnsi="Times New Roman" w:cs="Times New Roman"/>
          <w:sz w:val="28"/>
          <w:szCs w:val="28"/>
          <w:lang w:val="vi-VN"/>
        </w:rPr>
        <w:t>Tổng công ty Xăng dầu Việt Nam (</w:t>
      </w:r>
      <w:r w:rsidR="00BA7B77" w:rsidRPr="00A46EAA">
        <w:rPr>
          <w:rFonts w:ascii="Times New Roman" w:hAnsi="Times New Roman" w:cs="Times New Roman"/>
          <w:noProof/>
          <w:sz w:val="28"/>
          <w:szCs w:val="28"/>
          <w:lang w:val="da-DK"/>
        </w:rPr>
        <w:t>Petrolimex)</w:t>
      </w:r>
      <w:r w:rsidR="00BA7B77" w:rsidRPr="00A46EAA">
        <w:rPr>
          <w:rFonts w:ascii="Times New Roman" w:eastAsia="Calibri" w:hAnsi="Times New Roman" w:cs="Times New Roman"/>
          <w:color w:val="000000"/>
          <w:sz w:val="28"/>
          <w:szCs w:val="28"/>
          <w:lang w:val="sv-SE"/>
        </w:rPr>
        <w:t>.</w:t>
      </w:r>
      <w:r w:rsidR="00BA7B77" w:rsidRPr="00A46EAA">
        <w:rPr>
          <w:rFonts w:ascii="Times New Roman" w:eastAsia="Calibri" w:hAnsi="Times New Roman" w:cs="Times New Roman"/>
          <w:sz w:val="28"/>
          <w:szCs w:val="28"/>
          <w:lang w:val="sv-SE"/>
        </w:rPr>
        <w:t xml:space="preserve"> </w:t>
      </w:r>
      <w:r w:rsidR="006611DB" w:rsidRPr="00A46EAA">
        <w:rPr>
          <w:rFonts w:ascii="Times New Roman" w:eastAsia="Calibri" w:hAnsi="Times New Roman" w:cs="Times New Roman"/>
          <w:sz w:val="28"/>
          <w:szCs w:val="28"/>
          <w:lang w:val="sv-SE"/>
        </w:rPr>
        <w:t>Trong đó, các tổ chức không phải là ngân hàng</w:t>
      </w:r>
      <w:r w:rsidR="00086EFC" w:rsidRPr="00A46EAA">
        <w:rPr>
          <w:rFonts w:ascii="Times New Roman" w:eastAsia="Calibri" w:hAnsi="Times New Roman" w:cs="Times New Roman"/>
          <w:sz w:val="28"/>
          <w:szCs w:val="28"/>
          <w:lang w:val="sv-SE"/>
        </w:rPr>
        <w:t xml:space="preserve"> (gồm Viettel, M_Service, Petrolimex)</w:t>
      </w:r>
      <w:r w:rsidR="006611DB" w:rsidRPr="00A46EAA">
        <w:rPr>
          <w:rFonts w:ascii="Times New Roman" w:eastAsia="Calibri" w:hAnsi="Times New Roman" w:cs="Times New Roman"/>
          <w:sz w:val="28"/>
          <w:szCs w:val="28"/>
          <w:lang w:val="sv-SE"/>
        </w:rPr>
        <w:t xml:space="preserve"> - đóng vai trò là đối tác, là </w:t>
      </w:r>
      <w:r w:rsidR="00EF6AF4" w:rsidRPr="00A46EAA">
        <w:rPr>
          <w:rFonts w:ascii="Times New Roman" w:hAnsi="Times New Roman" w:cs="Times New Roman"/>
          <w:bCs/>
          <w:sz w:val="28"/>
          <w:szCs w:val="28"/>
        </w:rPr>
        <w:t>“</w:t>
      </w:r>
      <w:r w:rsidR="006611DB" w:rsidRPr="00A46EAA">
        <w:rPr>
          <w:rFonts w:ascii="Times New Roman" w:eastAsia="Calibri" w:hAnsi="Times New Roman" w:cs="Times New Roman"/>
          <w:sz w:val="28"/>
          <w:szCs w:val="28"/>
          <w:lang w:val="sv-SE"/>
        </w:rPr>
        <w:t>cánh tay nối dài</w:t>
      </w:r>
      <w:r w:rsidR="00127FBB" w:rsidRPr="00A46EAA">
        <w:rPr>
          <w:rFonts w:ascii="Times New Roman" w:eastAsia="Calibri" w:hAnsi="Times New Roman" w:cs="Times New Roman"/>
          <w:sz w:val="28"/>
          <w:szCs w:val="28"/>
          <w:lang w:val="sv-SE"/>
        </w:rPr>
        <w:t>”</w:t>
      </w:r>
      <w:r w:rsidR="006611DB" w:rsidRPr="00A46EAA">
        <w:rPr>
          <w:rFonts w:ascii="Times New Roman" w:eastAsia="Calibri" w:hAnsi="Times New Roman" w:cs="Times New Roman"/>
          <w:sz w:val="28"/>
          <w:szCs w:val="28"/>
          <w:lang w:val="sv-SE"/>
        </w:rPr>
        <w:t xml:space="preserve"> của ngân hàng, dựa trên cơ sở ứng dụng công nghệ thông tin, viễn thông và tận dụng hệ thống mạng lưới sẵn có của mình để </w:t>
      </w:r>
      <w:r w:rsidR="00BC6EFF" w:rsidRPr="00A46EAA">
        <w:rPr>
          <w:rFonts w:ascii="Times New Roman" w:eastAsia="Calibri" w:hAnsi="Times New Roman" w:cs="Times New Roman"/>
          <w:sz w:val="28"/>
          <w:szCs w:val="28"/>
          <w:lang w:val="sv-SE"/>
        </w:rPr>
        <w:t>đưa</w:t>
      </w:r>
      <w:r w:rsidR="006611DB" w:rsidRPr="00A46EAA">
        <w:rPr>
          <w:rFonts w:ascii="Times New Roman" w:eastAsia="Calibri" w:hAnsi="Times New Roman" w:cs="Times New Roman"/>
          <w:sz w:val="28"/>
          <w:szCs w:val="28"/>
          <w:lang w:val="sv-SE"/>
        </w:rPr>
        <w:t xml:space="preserve"> dịch vụ thanh toán đến những địa bàn, những đối tượng người dân mà ngân hàng không thuận lợi trong việc tiếp cận và cung ứng dịch vụ. Việc triển khai các mô hình thí điểm này góp phần thúc đẩy dịch vụ thanh toán ở khu vực nông thôn, vùng sâu, vùng xa cũng như góp phần phổ cập tài chính (Financial Inclusion) nói chung.</w:t>
      </w:r>
    </w:p>
    <w:p w14:paraId="69BF3153" w14:textId="77777777" w:rsidR="00C768B9" w:rsidRPr="00A46EAA" w:rsidRDefault="00CA2212" w:rsidP="00A46EAA">
      <w:pPr>
        <w:tabs>
          <w:tab w:val="left" w:pos="720"/>
        </w:tabs>
        <w:spacing w:before="120" w:after="120" w:line="266" w:lineRule="auto"/>
        <w:ind w:firstLine="709"/>
        <w:jc w:val="both"/>
        <w:rPr>
          <w:rFonts w:ascii="Times New Roman" w:eastAsia="Calibri" w:hAnsi="Times New Roman" w:cs="Times New Roman"/>
          <w:sz w:val="28"/>
          <w:szCs w:val="28"/>
        </w:rPr>
      </w:pPr>
      <w:r w:rsidRPr="00A46EAA">
        <w:rPr>
          <w:rFonts w:ascii="Times New Roman" w:eastAsia="Calibri" w:hAnsi="Times New Roman" w:cs="Times New Roman"/>
          <w:sz w:val="28"/>
          <w:szCs w:val="28"/>
          <w:lang w:val="sv-SE"/>
        </w:rPr>
        <w:t xml:space="preserve">- </w:t>
      </w:r>
      <w:r w:rsidR="001D77BC" w:rsidRPr="00A46EAA">
        <w:rPr>
          <w:rFonts w:ascii="Times New Roman" w:eastAsia="Calibri" w:hAnsi="Times New Roman" w:cs="Times New Roman"/>
          <w:sz w:val="28"/>
          <w:szCs w:val="28"/>
          <w:lang w:val="sv-SE"/>
        </w:rPr>
        <w:t xml:space="preserve">Về bản chất, </w:t>
      </w:r>
      <w:r w:rsidR="001D77BC" w:rsidRPr="00A46EAA">
        <w:rPr>
          <w:rFonts w:ascii="Times New Roman" w:eastAsia="Calibri" w:hAnsi="Times New Roman" w:cs="Times New Roman"/>
          <w:sz w:val="28"/>
          <w:szCs w:val="28"/>
          <w:lang w:val="da-DK"/>
        </w:rPr>
        <w:t>các mô hình dịch vụ thanh toán mà NHNN đang cho phép 03 NHTM phối hợp với các đối tác triển khai thí điểm là dịch vụ thanh toán của các NHTM (chuyển tiền, thu hộ, chi hộ qua tài khoản hoặc không qua tài khoản của khách hàng mở tại ngân hàng) được các NHTM ủy thác cho các đối tác không phải là ngân hàng trong một số khâu nghiệp vụ (tiếp nhận thông tin và yêu cầu dịch vụ từ khách hàng, thu nhận tiền mặt/chi trả tiền mặt cho khách hàng tại các địa điểm kinh doanh của các đối tác (nhân viên của cửa hàng</w:t>
      </w:r>
      <w:r w:rsidR="00003741" w:rsidRPr="00A46EAA">
        <w:rPr>
          <w:rFonts w:ascii="Times New Roman" w:hAnsi="Times New Roman" w:cs="Times New Roman"/>
          <w:sz w:val="28"/>
          <w:szCs w:val="28"/>
          <w:lang w:val="da-DK"/>
        </w:rPr>
        <w:t xml:space="preserve">, </w:t>
      </w:r>
      <w:r w:rsidR="00003741" w:rsidRPr="00A46EAA">
        <w:rPr>
          <w:rFonts w:ascii="Times New Roman" w:eastAsia="Calibri" w:hAnsi="Times New Roman" w:cs="Times New Roman"/>
          <w:sz w:val="28"/>
          <w:szCs w:val="28"/>
          <w:lang w:val="da-DK"/>
        </w:rPr>
        <w:t xml:space="preserve">đại lý, </w:t>
      </w:r>
      <w:r w:rsidR="001D77BC" w:rsidRPr="00A46EAA">
        <w:rPr>
          <w:rFonts w:ascii="Times New Roman" w:eastAsia="Calibri" w:hAnsi="Times New Roman" w:cs="Times New Roman"/>
          <w:sz w:val="28"/>
          <w:szCs w:val="28"/>
          <w:lang w:val="da-DK"/>
        </w:rPr>
        <w:t xml:space="preserve"> </w:t>
      </w:r>
      <w:r w:rsidR="00003741" w:rsidRPr="00A46EAA">
        <w:rPr>
          <w:rFonts w:ascii="Times New Roman" w:hAnsi="Times New Roman" w:cs="Times New Roman"/>
          <w:sz w:val="28"/>
          <w:szCs w:val="28"/>
          <w:lang w:val="da-DK"/>
        </w:rPr>
        <w:t xml:space="preserve">điểm giao dịch </w:t>
      </w:r>
      <w:r w:rsidR="001D77BC" w:rsidRPr="00A46EAA">
        <w:rPr>
          <w:rFonts w:ascii="Times New Roman" w:eastAsia="Calibri" w:hAnsi="Times New Roman" w:cs="Times New Roman"/>
          <w:sz w:val="28"/>
          <w:szCs w:val="28"/>
          <w:lang w:val="da-DK"/>
        </w:rPr>
        <w:t>của các đối tác trực tiếp thực hiện thao tác phục vụ khách hàng).</w:t>
      </w:r>
      <w:r w:rsidR="003C7C04" w:rsidRPr="00A46EAA">
        <w:rPr>
          <w:rFonts w:ascii="Times New Roman" w:hAnsi="Times New Roman" w:cs="Times New Roman"/>
          <w:sz w:val="28"/>
          <w:szCs w:val="28"/>
          <w:lang w:val="da-DK"/>
        </w:rPr>
        <w:t xml:space="preserve"> </w:t>
      </w:r>
      <w:r w:rsidR="00C02564" w:rsidRPr="00A46EAA">
        <w:rPr>
          <w:rFonts w:ascii="Times New Roman" w:hAnsi="Times New Roman" w:cs="Times New Roman"/>
          <w:sz w:val="28"/>
          <w:szCs w:val="28"/>
          <w:lang w:val="da-DK"/>
        </w:rPr>
        <w:t>Các điểm giao dịch có thể thuộc mạng lưới hoạt động của tổ chức đối tác của NHTM hoặc do các tổ chức đối tác và</w:t>
      </w:r>
      <w:r w:rsidR="00B07668" w:rsidRPr="00A46EAA">
        <w:rPr>
          <w:rFonts w:ascii="Times New Roman" w:hAnsi="Times New Roman" w:cs="Times New Roman"/>
          <w:sz w:val="28"/>
          <w:szCs w:val="28"/>
          <w:lang w:val="da-DK"/>
        </w:rPr>
        <w:t>/hoặc</w:t>
      </w:r>
      <w:r w:rsidR="00C02564" w:rsidRPr="00A46EAA">
        <w:rPr>
          <w:rFonts w:ascii="Times New Roman" w:hAnsi="Times New Roman" w:cs="Times New Roman"/>
          <w:sz w:val="28"/>
          <w:szCs w:val="28"/>
          <w:lang w:val="da-DK"/>
        </w:rPr>
        <w:t xml:space="preserve"> NHTM </w:t>
      </w:r>
      <w:r w:rsidR="00B07668" w:rsidRPr="00A46EAA">
        <w:rPr>
          <w:rFonts w:ascii="Times New Roman" w:hAnsi="Times New Roman" w:cs="Times New Roman"/>
          <w:sz w:val="28"/>
          <w:szCs w:val="28"/>
          <w:lang w:val="da-DK"/>
        </w:rPr>
        <w:t xml:space="preserve">lựa chọn, phát triển từ các điểm kinh doanh không thuộc mạng lưới hoạt động của tổ chức đối tác. </w:t>
      </w:r>
      <w:r w:rsidR="001D77BC" w:rsidRPr="00A46EAA">
        <w:rPr>
          <w:rFonts w:ascii="Times New Roman" w:eastAsia="Calibri" w:hAnsi="Times New Roman" w:cs="Times New Roman"/>
          <w:sz w:val="28"/>
          <w:szCs w:val="28"/>
          <w:lang w:val="da-DK"/>
        </w:rPr>
        <w:t xml:space="preserve">Trong các mô hình hợp tác này, các NHTM có trách nhiệm đảm bảo tính thanh khoản của dịch vụ và </w:t>
      </w:r>
      <w:r w:rsidR="001D77BC" w:rsidRPr="00A46EAA">
        <w:rPr>
          <w:rFonts w:ascii="Times New Roman" w:eastAsia="Calibri" w:hAnsi="Times New Roman" w:cs="Times New Roman"/>
          <w:sz w:val="28"/>
          <w:szCs w:val="28"/>
        </w:rPr>
        <w:t>chịu hoàn toàn trách nhiệm về các rủi ro phát sinh trong quá trình triển khai thí điểm dịch vụ.</w:t>
      </w:r>
    </w:p>
    <w:p w14:paraId="66D41D49" w14:textId="77777777" w:rsidR="00CA6227" w:rsidRPr="00A46EAA" w:rsidRDefault="00CA6227" w:rsidP="00A46EAA">
      <w:pPr>
        <w:spacing w:before="120" w:after="120" w:line="266" w:lineRule="auto"/>
        <w:ind w:firstLine="720"/>
        <w:jc w:val="both"/>
        <w:rPr>
          <w:rFonts w:ascii="Times New Roman" w:hAnsi="Times New Roman" w:cs="Times New Roman"/>
          <w:b/>
          <w:sz w:val="28"/>
          <w:szCs w:val="28"/>
        </w:rPr>
      </w:pPr>
      <w:r w:rsidRPr="00A46EAA">
        <w:rPr>
          <w:rFonts w:ascii="Times New Roman" w:eastAsia="Calibri" w:hAnsi="Times New Roman" w:cs="Times New Roman"/>
          <w:b/>
          <w:sz w:val="28"/>
          <w:szCs w:val="28"/>
        </w:rPr>
        <w:t>II. Quan điểm về việc xây dựng dự thảo Thông tư</w:t>
      </w:r>
    </w:p>
    <w:p w14:paraId="72745514" w14:textId="77777777" w:rsidR="0064106E" w:rsidRPr="00A46EAA" w:rsidRDefault="00EE1D32" w:rsidP="00A46EAA">
      <w:pPr>
        <w:tabs>
          <w:tab w:val="left" w:pos="3382"/>
        </w:tabs>
        <w:spacing w:before="120" w:after="120" w:line="266" w:lineRule="auto"/>
        <w:ind w:firstLine="720"/>
        <w:jc w:val="both"/>
        <w:rPr>
          <w:rFonts w:ascii="Times New Roman" w:hAnsi="Times New Roman" w:cs="Times New Roman"/>
          <w:sz w:val="28"/>
          <w:szCs w:val="28"/>
        </w:rPr>
      </w:pPr>
      <w:r w:rsidRPr="00A46EAA">
        <w:rPr>
          <w:rFonts w:ascii="Times New Roman" w:hAnsi="Times New Roman" w:cs="Times New Roman"/>
          <w:sz w:val="28"/>
          <w:szCs w:val="28"/>
        </w:rPr>
        <w:t>Dự thảo Thông tư được xây dựng với quan điểm</w:t>
      </w:r>
      <w:r w:rsidR="00613B19" w:rsidRPr="00A46EAA">
        <w:rPr>
          <w:rFonts w:ascii="Times New Roman" w:hAnsi="Times New Roman" w:cs="Times New Roman"/>
          <w:sz w:val="28"/>
          <w:szCs w:val="28"/>
        </w:rPr>
        <w:t xml:space="preserve"> chủ đạo như sau</w:t>
      </w:r>
      <w:r w:rsidRPr="00A46EAA">
        <w:rPr>
          <w:rFonts w:ascii="Times New Roman" w:hAnsi="Times New Roman" w:cs="Times New Roman"/>
          <w:sz w:val="28"/>
          <w:szCs w:val="28"/>
        </w:rPr>
        <w:t>:</w:t>
      </w:r>
    </w:p>
    <w:p w14:paraId="73F0DF1E" w14:textId="77777777" w:rsidR="00706FCE" w:rsidRPr="00706FCE" w:rsidRDefault="00706FCE" w:rsidP="00706FCE">
      <w:pPr>
        <w:spacing w:before="120" w:after="120" w:line="266" w:lineRule="auto"/>
        <w:ind w:firstLine="720"/>
        <w:jc w:val="both"/>
        <w:rPr>
          <w:rFonts w:ascii="Times New Roman" w:hAnsi="Times New Roman" w:cs="Times New Roman"/>
          <w:sz w:val="28"/>
          <w:szCs w:val="28"/>
        </w:rPr>
      </w:pPr>
      <w:r w:rsidRPr="00706FCE">
        <w:rPr>
          <w:rFonts w:ascii="Times New Roman" w:eastAsia="Calibri" w:hAnsi="Times New Roman" w:cs="Times New Roman"/>
          <w:sz w:val="28"/>
          <w:szCs w:val="28"/>
          <w:lang w:val="pt-BR"/>
        </w:rPr>
        <w:lastRenderedPageBreak/>
        <w:t>- Phù hợp</w:t>
      </w:r>
      <w:r w:rsidRPr="00706FCE">
        <w:rPr>
          <w:rFonts w:ascii="Times New Roman" w:eastAsia="Calibri" w:hAnsi="Times New Roman" w:cs="Times New Roman"/>
          <w:sz w:val="28"/>
          <w:szCs w:val="28"/>
        </w:rPr>
        <w:t xml:space="preserve"> với các căn cứ pháp lý hiện hành (Luật Các TCTD năm 2024), Chiến lược </w:t>
      </w:r>
      <w:bookmarkStart w:id="0" w:name="dieu_1_name"/>
      <w:r w:rsidRPr="00706FCE">
        <w:rPr>
          <w:rFonts w:ascii="Times New Roman" w:eastAsia="Calibri" w:hAnsi="Times New Roman" w:cs="Times New Roman"/>
          <w:sz w:val="28"/>
          <w:szCs w:val="28"/>
        </w:rPr>
        <w:t>T</w:t>
      </w:r>
      <w:r w:rsidRPr="00706FCE">
        <w:rPr>
          <w:rFonts w:ascii="Times New Roman" w:hAnsi="Times New Roman" w:cs="Times New Roman"/>
          <w:color w:val="000000"/>
          <w:sz w:val="28"/>
          <w:szCs w:val="28"/>
          <w:shd w:val="clear" w:color="auto" w:fill="FFFFFF"/>
        </w:rPr>
        <w:t>ài chính toàn diện quốc gia đến năm 2025, định hướng đến năm 2030</w:t>
      </w:r>
      <w:bookmarkEnd w:id="0"/>
      <w:r w:rsidRPr="00706FCE">
        <w:rPr>
          <w:rStyle w:val="FootnoteReference"/>
          <w:rFonts w:ascii="Times New Roman" w:hAnsi="Times New Roman" w:cs="Times New Roman"/>
          <w:color w:val="000000"/>
          <w:sz w:val="28"/>
          <w:szCs w:val="28"/>
          <w:shd w:val="clear" w:color="auto" w:fill="FFFFFF"/>
        </w:rPr>
        <w:footnoteReference w:id="1"/>
      </w:r>
      <w:r w:rsidRPr="00706FCE">
        <w:rPr>
          <w:rFonts w:ascii="Times New Roman" w:hAnsi="Times New Roman" w:cs="Times New Roman"/>
          <w:color w:val="000000"/>
          <w:sz w:val="28"/>
          <w:szCs w:val="28"/>
          <w:shd w:val="clear" w:color="auto" w:fill="FFFFFF"/>
        </w:rPr>
        <w:t xml:space="preserve">; </w:t>
      </w:r>
      <w:r w:rsidRPr="00706FCE">
        <w:rPr>
          <w:rFonts w:ascii="Times New Roman" w:eastAsia="Calibri" w:hAnsi="Times New Roman" w:cs="Times New Roman"/>
          <w:sz w:val="28"/>
          <w:szCs w:val="28"/>
        </w:rPr>
        <w:t xml:space="preserve">đồng thời đáp ứng được yêu cầu thực tiễn phát triển của </w:t>
      </w:r>
      <w:r w:rsidRPr="00706FCE">
        <w:rPr>
          <w:rFonts w:ascii="Times New Roman" w:hAnsi="Times New Roman" w:cs="Times New Roman"/>
          <w:sz w:val="28"/>
          <w:szCs w:val="28"/>
        </w:rPr>
        <w:t>hoạt động giao đại lý trong lĩnh vực thanh toán</w:t>
      </w:r>
      <w:r w:rsidRPr="00706FCE">
        <w:rPr>
          <w:rFonts w:ascii="Times New Roman" w:eastAsia="Calibri" w:hAnsi="Times New Roman" w:cs="Times New Roman"/>
          <w:sz w:val="28"/>
          <w:szCs w:val="28"/>
        </w:rPr>
        <w:t xml:space="preserve"> tại Việt Nam trong thời gian tới.</w:t>
      </w:r>
    </w:p>
    <w:p w14:paraId="7AAC6FAA" w14:textId="77777777" w:rsidR="007F6AEC" w:rsidRPr="00A46EAA" w:rsidRDefault="00446257" w:rsidP="00A46EAA">
      <w:pPr>
        <w:spacing w:before="120" w:after="120" w:line="266" w:lineRule="auto"/>
        <w:ind w:firstLine="720"/>
        <w:jc w:val="both"/>
        <w:rPr>
          <w:rFonts w:ascii="Times New Roman" w:hAnsi="Times New Roman" w:cs="Times New Roman"/>
          <w:sz w:val="28"/>
          <w:szCs w:val="28"/>
        </w:rPr>
      </w:pPr>
      <w:r w:rsidRPr="00A46EAA">
        <w:rPr>
          <w:rFonts w:ascii="Times New Roman" w:hAnsi="Times New Roman" w:cs="Times New Roman"/>
          <w:sz w:val="28"/>
          <w:szCs w:val="28"/>
        </w:rPr>
        <w:t xml:space="preserve">- Vận dụng các kinh nghiệm quốc tế về </w:t>
      </w:r>
      <w:r w:rsidR="005C2479" w:rsidRPr="00A46EAA">
        <w:rPr>
          <w:rFonts w:ascii="Times New Roman" w:hAnsi="Times New Roman" w:cs="Times New Roman"/>
          <w:sz w:val="28"/>
          <w:szCs w:val="28"/>
        </w:rPr>
        <w:t>giao đại lý thanh toán</w:t>
      </w:r>
      <w:r w:rsidR="00F5505E" w:rsidRPr="00A46EAA">
        <w:rPr>
          <w:rFonts w:ascii="Times New Roman" w:hAnsi="Times New Roman" w:cs="Times New Roman"/>
          <w:sz w:val="28"/>
          <w:szCs w:val="28"/>
        </w:rPr>
        <w:t xml:space="preserve"> phù hợp với nền tảng pháp lý và thực tiễn tại Việ</w:t>
      </w:r>
      <w:r w:rsidR="002A3BCD" w:rsidRPr="00A46EAA">
        <w:rPr>
          <w:rFonts w:ascii="Times New Roman" w:hAnsi="Times New Roman" w:cs="Times New Roman"/>
          <w:sz w:val="28"/>
          <w:szCs w:val="28"/>
        </w:rPr>
        <w:t>t Nam, phù hợp với xu hướng phát triển lĩnh vực thanh toán trên thế giới</w:t>
      </w:r>
      <w:r w:rsidR="00BE73AB" w:rsidRPr="00A46EAA">
        <w:rPr>
          <w:rFonts w:ascii="Times New Roman" w:hAnsi="Times New Roman" w:cs="Times New Roman"/>
          <w:sz w:val="28"/>
          <w:szCs w:val="28"/>
        </w:rPr>
        <w:t>, cũng như phát triển mạnh của công nghệ thông tin và viễn thông hiện nay.</w:t>
      </w:r>
      <w:r w:rsidR="00632B23" w:rsidRPr="00A46EAA">
        <w:rPr>
          <w:rFonts w:ascii="Times New Roman" w:hAnsi="Times New Roman" w:cs="Times New Roman"/>
          <w:sz w:val="28"/>
          <w:szCs w:val="28"/>
        </w:rPr>
        <w:t xml:space="preserve"> </w:t>
      </w:r>
    </w:p>
    <w:p w14:paraId="4444D102" w14:textId="53188808" w:rsidR="00632B23" w:rsidRPr="00A46EAA" w:rsidRDefault="00632B23" w:rsidP="00A46EAA">
      <w:pPr>
        <w:spacing w:before="120" w:after="120" w:line="266" w:lineRule="auto"/>
        <w:ind w:firstLine="720"/>
        <w:jc w:val="both"/>
        <w:rPr>
          <w:rFonts w:ascii="Times New Roman" w:hAnsi="Times New Roman" w:cs="Times New Roman"/>
          <w:bCs/>
          <w:color w:val="000000"/>
          <w:sz w:val="28"/>
          <w:szCs w:val="28"/>
          <w:lang w:val="nl-NL"/>
        </w:rPr>
      </w:pPr>
      <w:r w:rsidRPr="00A46EAA">
        <w:rPr>
          <w:rFonts w:ascii="Times New Roman" w:hAnsi="Times New Roman" w:cs="Times New Roman"/>
          <w:bCs/>
          <w:color w:val="000000"/>
          <w:sz w:val="28"/>
          <w:szCs w:val="28"/>
          <w:lang w:val="nl-NL"/>
        </w:rPr>
        <w:t xml:space="preserve">Theo kết quả điều tra đối với 124 cơ quan quản lý tài chính, ngân hàng trung ương </w:t>
      </w:r>
      <w:r w:rsidR="00272190">
        <w:rPr>
          <w:rFonts w:ascii="Times New Roman" w:hAnsi="Times New Roman" w:cs="Times New Roman"/>
          <w:bCs/>
          <w:color w:val="000000"/>
          <w:sz w:val="28"/>
          <w:szCs w:val="28"/>
          <w:lang w:val="nl-NL"/>
        </w:rPr>
        <w:t>trên</w:t>
      </w:r>
      <w:r w:rsidRPr="00A46EAA">
        <w:rPr>
          <w:rFonts w:ascii="Times New Roman" w:hAnsi="Times New Roman" w:cs="Times New Roman"/>
          <w:bCs/>
          <w:color w:val="000000"/>
          <w:sz w:val="28"/>
          <w:szCs w:val="28"/>
          <w:lang w:val="nl-NL"/>
        </w:rPr>
        <w:t xml:space="preserve"> thế giới</w:t>
      </w:r>
      <w:r w:rsidR="00272190">
        <w:rPr>
          <w:rFonts w:ascii="Times New Roman" w:hAnsi="Times New Roman" w:cs="Times New Roman"/>
          <w:bCs/>
          <w:color w:val="000000"/>
          <w:sz w:val="28"/>
          <w:szCs w:val="28"/>
          <w:lang w:val="nl-NL"/>
        </w:rPr>
        <w:t>,</w:t>
      </w:r>
      <w:r w:rsidRPr="00A46EAA">
        <w:rPr>
          <w:rFonts w:ascii="Times New Roman" w:hAnsi="Times New Roman" w:cs="Times New Roman"/>
          <w:bCs/>
          <w:color w:val="000000"/>
          <w:sz w:val="28"/>
          <w:szCs w:val="28"/>
          <w:lang w:val="nl-NL"/>
        </w:rPr>
        <w:t xml:space="preserve"> có 105/124 cơ quan quản lý (85%) cho phép thực hiện hoạt động đại lý. Trong đó, 81% cơ quan quản lý cho phép NHTM hợp đồng với đại lý bán lẻ làm kênh phân phối, 91% cho phép tổ chức phi ngân hàng hợp đồng với đại lý bán lẻ làm kênh phân phối. Hơn 60% các cơ quan quản lý cho phép các hợp tác xã tài chính (tương đương như Quỹ tín dụng nhân dân ở Việt Nam), các tổ chức nhận tiền gửi khác như tổ chức tài chính vi mô được phép triển khai hoạt động này</w:t>
      </w:r>
      <w:r w:rsidRPr="00A46EAA">
        <w:rPr>
          <w:rStyle w:val="FootnoteReference"/>
          <w:rFonts w:ascii="Times New Roman" w:hAnsi="Times New Roman" w:cs="Times New Roman"/>
          <w:bCs/>
          <w:color w:val="000000"/>
          <w:sz w:val="28"/>
          <w:szCs w:val="28"/>
          <w:lang w:val="nl-NL"/>
        </w:rPr>
        <w:footnoteReference w:id="2"/>
      </w:r>
      <w:r w:rsidRPr="00A46EAA">
        <w:rPr>
          <w:rFonts w:ascii="Times New Roman" w:hAnsi="Times New Roman" w:cs="Times New Roman"/>
          <w:bCs/>
          <w:color w:val="000000"/>
          <w:sz w:val="28"/>
          <w:szCs w:val="28"/>
          <w:lang w:val="nl-NL"/>
        </w:rPr>
        <w:t>.</w:t>
      </w:r>
    </w:p>
    <w:p w14:paraId="1F130422" w14:textId="77777777" w:rsidR="00F5505E" w:rsidRPr="00A46EAA" w:rsidRDefault="00F5505E" w:rsidP="00A46EAA">
      <w:pPr>
        <w:spacing w:before="120" w:after="120" w:line="266" w:lineRule="auto"/>
        <w:ind w:firstLine="720"/>
        <w:jc w:val="both"/>
        <w:rPr>
          <w:rFonts w:ascii="Times New Roman" w:hAnsi="Times New Roman" w:cs="Times New Roman"/>
          <w:sz w:val="28"/>
          <w:szCs w:val="28"/>
        </w:rPr>
      </w:pPr>
      <w:r w:rsidRPr="00A46EAA">
        <w:rPr>
          <w:rFonts w:ascii="Times New Roman" w:hAnsi="Times New Roman" w:cs="Times New Roman"/>
          <w:sz w:val="28"/>
          <w:szCs w:val="28"/>
        </w:rPr>
        <w:t>- Đáp ứng mục tiêu quản lý nhà nước đối vớ</w:t>
      </w:r>
      <w:r w:rsidR="007606E0" w:rsidRPr="00A46EAA">
        <w:rPr>
          <w:rFonts w:ascii="Times New Roman" w:hAnsi="Times New Roman" w:cs="Times New Roman"/>
          <w:sz w:val="28"/>
          <w:szCs w:val="28"/>
        </w:rPr>
        <w:t xml:space="preserve">i hoạt động </w:t>
      </w:r>
      <w:r w:rsidR="002F0B20" w:rsidRPr="00A46EAA">
        <w:rPr>
          <w:rFonts w:ascii="Times New Roman" w:hAnsi="Times New Roman" w:cs="Times New Roman"/>
          <w:sz w:val="28"/>
          <w:szCs w:val="28"/>
        </w:rPr>
        <w:t>giao đại lý</w:t>
      </w:r>
      <w:r w:rsidR="007606E0" w:rsidRPr="00A46EAA">
        <w:rPr>
          <w:rFonts w:ascii="Times New Roman" w:hAnsi="Times New Roman" w:cs="Times New Roman"/>
          <w:sz w:val="28"/>
          <w:szCs w:val="28"/>
        </w:rPr>
        <w:t xml:space="preserve"> thanh toán của </w:t>
      </w:r>
      <w:r w:rsidR="002F0B20" w:rsidRPr="00A46EAA">
        <w:rPr>
          <w:rFonts w:ascii="Times New Roman" w:hAnsi="Times New Roman" w:cs="Times New Roman"/>
          <w:sz w:val="28"/>
          <w:szCs w:val="28"/>
        </w:rPr>
        <w:t>ngân hàng</w:t>
      </w:r>
      <w:r w:rsidR="007606E0" w:rsidRPr="00A46EAA">
        <w:rPr>
          <w:rFonts w:ascii="Times New Roman" w:hAnsi="Times New Roman" w:cs="Times New Roman"/>
          <w:sz w:val="28"/>
          <w:szCs w:val="28"/>
        </w:rPr>
        <w:t>, chi nhánh ngân hàng nước ngoài dưới hình thức ủy thác.</w:t>
      </w:r>
      <w:r w:rsidR="005D03DD" w:rsidRPr="00A46EAA">
        <w:rPr>
          <w:rFonts w:ascii="Times New Roman" w:hAnsi="Times New Roman" w:cs="Times New Roman"/>
          <w:sz w:val="28"/>
          <w:szCs w:val="28"/>
        </w:rPr>
        <w:t xml:space="preserve"> Theo đó, chính sách </w:t>
      </w:r>
      <w:r w:rsidR="005D03DD" w:rsidRPr="00A46EAA">
        <w:rPr>
          <w:rFonts w:ascii="Times New Roman" w:eastAsia="Cambria" w:hAnsi="Times New Roman"/>
          <w:color w:val="000000" w:themeColor="text1"/>
          <w:sz w:val="28"/>
          <w:szCs w:val="28"/>
        </w:rPr>
        <w:t>hướng đến</w:t>
      </w:r>
      <w:r w:rsidR="005D03DD" w:rsidRPr="00A46EAA">
        <w:rPr>
          <w:rFonts w:ascii="Times New Roman" w:hAnsi="Times New Roman"/>
          <w:color w:val="000000" w:themeColor="text1"/>
          <w:sz w:val="28"/>
          <w:szCs w:val="28"/>
          <w:lang w:val="sv-SE"/>
        </w:rPr>
        <w:t xml:space="preserve"> mục tiêu phục vụ cho phổ cập tài chính toàn diện nhưng vẫn đảm bảo an ninh, an toàn, kiểm soát rủi ro. </w:t>
      </w:r>
    </w:p>
    <w:p w14:paraId="37924DFD" w14:textId="77777777" w:rsidR="00471A72" w:rsidRPr="00A46EAA" w:rsidRDefault="00471A72" w:rsidP="00A46EAA">
      <w:pPr>
        <w:spacing w:before="120" w:after="120" w:line="266" w:lineRule="auto"/>
        <w:ind w:firstLine="720"/>
        <w:jc w:val="both"/>
        <w:rPr>
          <w:rFonts w:ascii="Times New Roman" w:hAnsi="Times New Roman" w:cs="Times New Roman"/>
          <w:sz w:val="28"/>
          <w:szCs w:val="28"/>
        </w:rPr>
      </w:pPr>
      <w:r w:rsidRPr="00A46EAA">
        <w:rPr>
          <w:rFonts w:ascii="Times New Roman" w:hAnsi="Times New Roman" w:cs="Times New Roman"/>
          <w:sz w:val="28"/>
          <w:szCs w:val="28"/>
        </w:rPr>
        <w:t xml:space="preserve">- </w:t>
      </w:r>
      <w:r w:rsidR="002F0B20" w:rsidRPr="00A46EAA">
        <w:rPr>
          <w:rFonts w:ascii="Times New Roman" w:hAnsi="Times New Roman" w:cs="Times New Roman"/>
          <w:sz w:val="28"/>
          <w:szCs w:val="28"/>
        </w:rPr>
        <w:t>Hoàn thiện hành lang pháp lý</w:t>
      </w:r>
      <w:r w:rsidRPr="00A46EAA">
        <w:rPr>
          <w:rFonts w:ascii="Times New Roman" w:hAnsi="Times New Roman" w:cs="Times New Roman"/>
          <w:sz w:val="28"/>
          <w:szCs w:val="28"/>
        </w:rPr>
        <w:t>, tạo điều kiện cho các dịch vụ thanh toán đến được với những vùng nông thôn,</w:t>
      </w:r>
      <w:r w:rsidR="00113A16" w:rsidRPr="00A46EAA">
        <w:rPr>
          <w:rFonts w:ascii="Times New Roman" w:hAnsi="Times New Roman" w:cs="Times New Roman"/>
          <w:sz w:val="28"/>
          <w:szCs w:val="28"/>
        </w:rPr>
        <w:t xml:space="preserve"> vùng sâu, vùng xa, hải đảo.</w:t>
      </w:r>
      <w:r w:rsidR="002E4A08" w:rsidRPr="00A46EAA">
        <w:rPr>
          <w:rFonts w:ascii="Times New Roman" w:hAnsi="Times New Roman" w:cs="Times New Roman"/>
          <w:sz w:val="28"/>
          <w:szCs w:val="28"/>
        </w:rPr>
        <w:t xml:space="preserve"> Thực tế, </w:t>
      </w:r>
      <w:r w:rsidR="002E4A08" w:rsidRPr="00A46EAA">
        <w:rPr>
          <w:rFonts w:ascii="Times New Roman" w:eastAsia="Calibri" w:hAnsi="Times New Roman" w:cs="Times New Roman"/>
          <w:color w:val="000000"/>
          <w:sz w:val="28"/>
          <w:szCs w:val="28"/>
          <w:lang w:val="sv-SE"/>
        </w:rPr>
        <w:t xml:space="preserve">từ năm 2014 đến cuối năm 2023, NHNN đã cho phép thực hiện thí </w:t>
      </w:r>
      <w:r w:rsidR="00C3265F" w:rsidRPr="00A46EAA">
        <w:rPr>
          <w:rFonts w:ascii="Times New Roman" w:eastAsia="Calibri" w:hAnsi="Times New Roman" w:cs="Times New Roman"/>
          <w:color w:val="000000"/>
          <w:sz w:val="28"/>
          <w:szCs w:val="28"/>
          <w:lang w:val="sv-SE"/>
        </w:rPr>
        <w:t>một số</w:t>
      </w:r>
      <w:r w:rsidR="002E4A08" w:rsidRPr="00A46EAA">
        <w:rPr>
          <w:rFonts w:ascii="Times New Roman" w:eastAsia="Calibri" w:hAnsi="Times New Roman" w:cs="Times New Roman"/>
          <w:color w:val="000000"/>
          <w:sz w:val="28"/>
          <w:szCs w:val="28"/>
          <w:lang w:val="sv-SE"/>
        </w:rPr>
        <w:t xml:space="preserve"> mô hình dịch vụ thanh toán của </w:t>
      </w:r>
      <w:r w:rsidR="002E4A08" w:rsidRPr="00A46EAA">
        <w:rPr>
          <w:rFonts w:ascii="Times New Roman" w:hAnsi="Times New Roman" w:cs="Times New Roman"/>
          <w:sz w:val="28"/>
          <w:szCs w:val="28"/>
          <w:lang w:val="da-DK"/>
        </w:rPr>
        <w:t xml:space="preserve">Vietcombank </w:t>
      </w:r>
      <w:r w:rsidR="002E4A08" w:rsidRPr="00A46EAA">
        <w:rPr>
          <w:rFonts w:ascii="Times New Roman" w:eastAsia="Calibri" w:hAnsi="Times New Roman" w:cs="Times New Roman"/>
          <w:color w:val="000000"/>
          <w:sz w:val="28"/>
          <w:szCs w:val="28"/>
          <w:lang w:val="sv-SE"/>
        </w:rPr>
        <w:t xml:space="preserve">và </w:t>
      </w:r>
      <w:r w:rsidR="002E4A08" w:rsidRPr="00A46EAA">
        <w:rPr>
          <w:rFonts w:ascii="Times New Roman" w:hAnsi="Times New Roman" w:cs="Times New Roman"/>
          <w:noProof/>
          <w:sz w:val="28"/>
          <w:szCs w:val="28"/>
          <w:lang w:val="da-DK"/>
        </w:rPr>
        <w:t>M_Service</w:t>
      </w:r>
      <w:r w:rsidR="002E4A08" w:rsidRPr="00A46EAA">
        <w:rPr>
          <w:rFonts w:ascii="Times New Roman" w:eastAsia="Calibri" w:hAnsi="Times New Roman" w:cs="Times New Roman"/>
          <w:color w:val="000000"/>
          <w:sz w:val="28"/>
          <w:szCs w:val="28"/>
          <w:lang w:val="sv-SE"/>
        </w:rPr>
        <w:t xml:space="preserve">, </w:t>
      </w:r>
      <w:r w:rsidR="002E4A08" w:rsidRPr="00A46EAA">
        <w:rPr>
          <w:rFonts w:ascii="Times New Roman" w:hAnsi="Times New Roman" w:cs="Times New Roman"/>
          <w:sz w:val="28"/>
          <w:szCs w:val="28"/>
          <w:lang w:val="da-DK"/>
        </w:rPr>
        <w:t>MB</w:t>
      </w:r>
      <w:r w:rsidR="002E4A08" w:rsidRPr="00A46EAA">
        <w:rPr>
          <w:rFonts w:ascii="Times New Roman" w:eastAsia="Calibri" w:hAnsi="Times New Roman" w:cs="Times New Roman"/>
          <w:color w:val="000000"/>
          <w:sz w:val="28"/>
          <w:szCs w:val="28"/>
          <w:lang w:val="sv-SE"/>
        </w:rPr>
        <w:t xml:space="preserve"> và </w:t>
      </w:r>
      <w:r w:rsidR="002E4A08" w:rsidRPr="00A46EAA">
        <w:rPr>
          <w:rFonts w:ascii="Times New Roman" w:hAnsi="Times New Roman" w:cs="Times New Roman"/>
          <w:sz w:val="28"/>
          <w:szCs w:val="28"/>
          <w:lang w:val="da-DK"/>
        </w:rPr>
        <w:t>Viettel</w:t>
      </w:r>
      <w:r w:rsidR="002E4A08" w:rsidRPr="00A46EAA">
        <w:rPr>
          <w:rFonts w:ascii="Times New Roman" w:eastAsia="Calibri" w:hAnsi="Times New Roman" w:cs="Times New Roman"/>
          <w:color w:val="000000"/>
          <w:sz w:val="28"/>
          <w:szCs w:val="28"/>
          <w:lang w:val="sv-SE"/>
        </w:rPr>
        <w:t xml:space="preserve">, </w:t>
      </w:r>
      <w:r w:rsidR="002E4A08" w:rsidRPr="00A46EAA">
        <w:rPr>
          <w:rFonts w:ascii="Times New Roman" w:hAnsi="Times New Roman" w:cs="Times New Roman"/>
          <w:sz w:val="28"/>
          <w:szCs w:val="28"/>
          <w:lang w:val="da-DK"/>
        </w:rPr>
        <w:t xml:space="preserve">PG Bank </w:t>
      </w:r>
      <w:r w:rsidR="002E4A08" w:rsidRPr="00A46EAA">
        <w:rPr>
          <w:rFonts w:ascii="Times New Roman" w:eastAsia="Calibri" w:hAnsi="Times New Roman" w:cs="Times New Roman"/>
          <w:color w:val="000000"/>
          <w:sz w:val="28"/>
          <w:szCs w:val="28"/>
          <w:lang w:val="sv-SE"/>
        </w:rPr>
        <w:t xml:space="preserve">và </w:t>
      </w:r>
      <w:r w:rsidR="002E4A08" w:rsidRPr="00A46EAA">
        <w:rPr>
          <w:rFonts w:ascii="Times New Roman" w:hAnsi="Times New Roman" w:cs="Times New Roman"/>
          <w:noProof/>
          <w:sz w:val="28"/>
          <w:szCs w:val="28"/>
          <w:lang w:val="da-DK"/>
        </w:rPr>
        <w:t>Petrolimex</w:t>
      </w:r>
      <w:r w:rsidR="00C3265F" w:rsidRPr="00A46EAA">
        <w:rPr>
          <w:rFonts w:ascii="Times New Roman" w:hAnsi="Times New Roman" w:cs="Times New Roman"/>
          <w:noProof/>
          <w:sz w:val="28"/>
          <w:szCs w:val="28"/>
          <w:lang w:val="da-DK"/>
        </w:rPr>
        <w:t xml:space="preserve"> (mô hình này dừng triển khai từ đầu năm 2023</w:t>
      </w:r>
      <w:r w:rsidR="002E4A08" w:rsidRPr="00A46EAA">
        <w:rPr>
          <w:rFonts w:ascii="Times New Roman" w:hAnsi="Times New Roman" w:cs="Times New Roman"/>
          <w:noProof/>
          <w:sz w:val="28"/>
          <w:szCs w:val="28"/>
          <w:lang w:val="da-DK"/>
        </w:rPr>
        <w:t>)</w:t>
      </w:r>
      <w:r w:rsidR="00CE63A0" w:rsidRPr="00A46EAA">
        <w:rPr>
          <w:rFonts w:ascii="Times New Roman" w:eastAsia="Calibri" w:hAnsi="Times New Roman" w:cs="Times New Roman"/>
          <w:color w:val="000000"/>
          <w:sz w:val="28"/>
          <w:szCs w:val="28"/>
          <w:lang w:val="sv-SE"/>
        </w:rPr>
        <w:t xml:space="preserve"> </w:t>
      </w:r>
      <w:r w:rsidR="002E4A08" w:rsidRPr="00A46EAA">
        <w:rPr>
          <w:rFonts w:ascii="Times New Roman" w:eastAsia="Calibri" w:hAnsi="Times New Roman" w:cs="Times New Roman"/>
          <w:sz w:val="28"/>
          <w:szCs w:val="28"/>
          <w:lang w:val="sv-SE"/>
        </w:rPr>
        <w:t xml:space="preserve">để đưa dịch vụ thanh toán đến những địa bàn, những đối tượng người dân mà ngân hàng không thuận lợi trong việc tiếp cận và cung ứng dịch vụ. </w:t>
      </w:r>
      <w:r w:rsidR="00CE63A0" w:rsidRPr="00A46EAA">
        <w:rPr>
          <w:rFonts w:ascii="Times New Roman" w:eastAsia="Calibri" w:hAnsi="Times New Roman" w:cs="Times New Roman"/>
          <w:sz w:val="28"/>
          <w:szCs w:val="28"/>
          <w:lang w:val="sv-SE"/>
        </w:rPr>
        <w:t>Tuy nhiên, các mô hình này được triển</w:t>
      </w:r>
      <w:r w:rsidR="00171E88" w:rsidRPr="00A46EAA">
        <w:rPr>
          <w:rFonts w:ascii="Times New Roman" w:eastAsia="Calibri" w:hAnsi="Times New Roman" w:cs="Times New Roman"/>
          <w:sz w:val="28"/>
          <w:szCs w:val="28"/>
          <w:lang w:val="sv-SE"/>
        </w:rPr>
        <w:t xml:space="preserve"> dưới hình thức thí điểm; và</w:t>
      </w:r>
      <w:r w:rsidR="00CE63A0" w:rsidRPr="00A46EAA">
        <w:rPr>
          <w:rFonts w:ascii="Times New Roman" w:eastAsia="Calibri" w:hAnsi="Times New Roman" w:cs="Times New Roman"/>
          <w:sz w:val="28"/>
          <w:szCs w:val="28"/>
          <w:lang w:val="sv-SE"/>
        </w:rPr>
        <w:t xml:space="preserve"> đến cuối năm 2023, các mô hình này đã dừng triển khai do chưa có hành lang pháp lý</w:t>
      </w:r>
      <w:r w:rsidR="00171E88" w:rsidRPr="00A46EAA">
        <w:rPr>
          <w:rFonts w:ascii="Times New Roman" w:eastAsia="Calibri" w:hAnsi="Times New Roman" w:cs="Times New Roman"/>
          <w:sz w:val="28"/>
          <w:szCs w:val="28"/>
          <w:lang w:val="sv-SE"/>
        </w:rPr>
        <w:t xml:space="preserve">. Do vậy, cần hoàn thiện hành lang pháp lý đối với hoạt động này nhằm </w:t>
      </w:r>
      <w:r w:rsidR="002E4A08" w:rsidRPr="00A46EAA">
        <w:rPr>
          <w:rFonts w:ascii="Times New Roman" w:eastAsia="Calibri" w:hAnsi="Times New Roman" w:cs="Times New Roman"/>
          <w:sz w:val="28"/>
          <w:szCs w:val="28"/>
          <w:lang w:val="sv-SE"/>
        </w:rPr>
        <w:t xml:space="preserve">thúc đẩy dịch vụ thanh toán ở khu vực nông thôn, vùng sâu, vùng xa </w:t>
      </w:r>
      <w:r w:rsidR="00171E88" w:rsidRPr="00A46EAA">
        <w:rPr>
          <w:rFonts w:ascii="Times New Roman" w:eastAsia="Calibri" w:hAnsi="Times New Roman" w:cs="Times New Roman"/>
          <w:sz w:val="28"/>
          <w:szCs w:val="28"/>
          <w:lang w:val="sv-SE"/>
        </w:rPr>
        <w:t>và</w:t>
      </w:r>
      <w:r w:rsidR="002E4A08" w:rsidRPr="00A46EAA">
        <w:rPr>
          <w:rFonts w:ascii="Times New Roman" w:eastAsia="Calibri" w:hAnsi="Times New Roman" w:cs="Times New Roman"/>
          <w:sz w:val="28"/>
          <w:szCs w:val="28"/>
          <w:lang w:val="sv-SE"/>
        </w:rPr>
        <w:t xml:space="preserve"> góp phần phổ cập tài chính.</w:t>
      </w:r>
    </w:p>
    <w:p w14:paraId="02C6C140" w14:textId="77777777" w:rsidR="0064106E" w:rsidRPr="00A46EAA" w:rsidRDefault="0064106E" w:rsidP="00A46EAA">
      <w:pPr>
        <w:spacing w:before="120" w:after="120" w:line="266" w:lineRule="auto"/>
        <w:ind w:firstLine="709"/>
        <w:jc w:val="both"/>
        <w:rPr>
          <w:rFonts w:ascii="Times New Roman" w:eastAsia="Calibri" w:hAnsi="Times New Roman" w:cs="Times New Roman"/>
          <w:i/>
          <w:sz w:val="28"/>
          <w:szCs w:val="28"/>
        </w:rPr>
      </w:pPr>
      <w:r w:rsidRPr="00A46EAA">
        <w:rPr>
          <w:rFonts w:ascii="Times New Roman" w:eastAsia="Calibri" w:hAnsi="Times New Roman" w:cs="Times New Roman"/>
          <w:b/>
          <w:sz w:val="28"/>
          <w:szCs w:val="28"/>
        </w:rPr>
        <w:t>III. Một số nội dung chính của dự thảo Thông tư</w:t>
      </w:r>
    </w:p>
    <w:p w14:paraId="1DF05BAA" w14:textId="77777777" w:rsidR="00C27E42" w:rsidRPr="00A46EAA" w:rsidRDefault="00AD6E75" w:rsidP="00A46EAA">
      <w:pPr>
        <w:spacing w:before="120" w:after="120" w:line="266" w:lineRule="auto"/>
        <w:ind w:firstLine="709"/>
        <w:jc w:val="both"/>
        <w:rPr>
          <w:rFonts w:ascii="Times New Roman" w:hAnsi="Times New Roman" w:cs="Times New Roman"/>
          <w:b/>
          <w:i/>
          <w:sz w:val="28"/>
          <w:szCs w:val="28"/>
        </w:rPr>
      </w:pPr>
      <w:r w:rsidRPr="00A46EAA">
        <w:rPr>
          <w:rFonts w:ascii="Times New Roman" w:hAnsi="Times New Roman" w:cs="Times New Roman"/>
          <w:b/>
          <w:i/>
          <w:sz w:val="28"/>
          <w:szCs w:val="28"/>
        </w:rPr>
        <w:t xml:space="preserve">1. </w:t>
      </w:r>
      <w:r w:rsidR="0064106E" w:rsidRPr="00A46EAA">
        <w:rPr>
          <w:rFonts w:ascii="Times New Roman" w:hAnsi="Times New Roman" w:cs="Times New Roman"/>
          <w:b/>
          <w:i/>
          <w:sz w:val="28"/>
          <w:szCs w:val="28"/>
        </w:rPr>
        <w:t>Bố cục của Thông tư</w:t>
      </w:r>
    </w:p>
    <w:p w14:paraId="28F95111" w14:textId="77777777" w:rsidR="0064106E" w:rsidRPr="00A46EAA" w:rsidRDefault="0064106E" w:rsidP="00A46EAA">
      <w:pPr>
        <w:spacing w:before="120" w:after="120" w:line="266" w:lineRule="auto"/>
        <w:ind w:firstLine="709"/>
        <w:jc w:val="both"/>
        <w:rPr>
          <w:rFonts w:ascii="Times New Roman" w:hAnsi="Times New Roman" w:cs="Times New Roman"/>
          <w:sz w:val="28"/>
          <w:szCs w:val="28"/>
        </w:rPr>
      </w:pPr>
      <w:r w:rsidRPr="00A46EAA">
        <w:rPr>
          <w:rFonts w:ascii="Times New Roman" w:hAnsi="Times New Roman" w:cs="Times New Roman"/>
          <w:sz w:val="28"/>
          <w:szCs w:val="28"/>
        </w:rPr>
        <w:t xml:space="preserve">Thông tư gồm </w:t>
      </w:r>
      <w:r w:rsidR="002F0B20" w:rsidRPr="00A46EAA">
        <w:rPr>
          <w:rFonts w:ascii="Times New Roman" w:hAnsi="Times New Roman" w:cs="Times New Roman"/>
          <w:sz w:val="28"/>
          <w:szCs w:val="28"/>
        </w:rPr>
        <w:t>4</w:t>
      </w:r>
      <w:r w:rsidR="00CD2255" w:rsidRPr="00A46EAA">
        <w:rPr>
          <w:rFonts w:ascii="Times New Roman" w:hAnsi="Times New Roman" w:cs="Times New Roman"/>
          <w:sz w:val="28"/>
          <w:szCs w:val="28"/>
        </w:rPr>
        <w:t xml:space="preserve"> </w:t>
      </w:r>
      <w:r w:rsidRPr="00A46EAA">
        <w:rPr>
          <w:rFonts w:ascii="Times New Roman" w:hAnsi="Times New Roman" w:cs="Times New Roman"/>
          <w:sz w:val="28"/>
          <w:szCs w:val="28"/>
        </w:rPr>
        <w:t xml:space="preserve">Chương, </w:t>
      </w:r>
      <w:r w:rsidR="002F0B20" w:rsidRPr="00A46EAA">
        <w:rPr>
          <w:rFonts w:ascii="Times New Roman" w:hAnsi="Times New Roman" w:cs="Times New Roman"/>
          <w:sz w:val="28"/>
          <w:szCs w:val="28"/>
        </w:rPr>
        <w:t>1</w:t>
      </w:r>
      <w:r w:rsidR="00596E42" w:rsidRPr="00A46EAA">
        <w:rPr>
          <w:rFonts w:ascii="Times New Roman" w:hAnsi="Times New Roman" w:cs="Times New Roman"/>
          <w:sz w:val="28"/>
          <w:szCs w:val="28"/>
        </w:rPr>
        <w:t>4</w:t>
      </w:r>
      <w:r w:rsidR="00CD2255" w:rsidRPr="00A46EAA">
        <w:rPr>
          <w:rFonts w:ascii="Times New Roman" w:hAnsi="Times New Roman" w:cs="Times New Roman"/>
          <w:sz w:val="28"/>
          <w:szCs w:val="28"/>
        </w:rPr>
        <w:t xml:space="preserve"> </w:t>
      </w:r>
      <w:r w:rsidRPr="00A46EAA">
        <w:rPr>
          <w:rFonts w:ascii="Times New Roman" w:hAnsi="Times New Roman" w:cs="Times New Roman"/>
          <w:sz w:val="28"/>
          <w:szCs w:val="28"/>
        </w:rPr>
        <w:t>Điều, cụ thể:</w:t>
      </w:r>
    </w:p>
    <w:p w14:paraId="7FA7CE84" w14:textId="77777777" w:rsidR="0064106E" w:rsidRPr="00A46EAA" w:rsidRDefault="00D47137" w:rsidP="00A46EAA">
      <w:pPr>
        <w:spacing w:before="120" w:after="120" w:line="266" w:lineRule="auto"/>
        <w:ind w:firstLine="709"/>
        <w:jc w:val="both"/>
        <w:rPr>
          <w:rFonts w:ascii="Times New Roman" w:hAnsi="Times New Roman" w:cs="Times New Roman"/>
          <w:sz w:val="28"/>
          <w:szCs w:val="28"/>
        </w:rPr>
      </w:pPr>
      <w:r w:rsidRPr="00A46EAA">
        <w:rPr>
          <w:rFonts w:ascii="Times New Roman" w:hAnsi="Times New Roman" w:cs="Times New Roman"/>
          <w:sz w:val="28"/>
          <w:szCs w:val="28"/>
        </w:rPr>
        <w:t xml:space="preserve">- </w:t>
      </w:r>
      <w:r w:rsidR="0064106E" w:rsidRPr="00A46EAA">
        <w:rPr>
          <w:rFonts w:ascii="Times New Roman" w:hAnsi="Times New Roman" w:cs="Times New Roman"/>
          <w:sz w:val="28"/>
          <w:szCs w:val="28"/>
        </w:rPr>
        <w:t xml:space="preserve">Chương I </w:t>
      </w:r>
      <w:r w:rsidR="00CD2255" w:rsidRPr="00A46EAA">
        <w:rPr>
          <w:rFonts w:ascii="Times New Roman" w:hAnsi="Times New Roman" w:cs="Times New Roman"/>
          <w:sz w:val="28"/>
          <w:szCs w:val="28"/>
        </w:rPr>
        <w:t>-</w:t>
      </w:r>
      <w:r w:rsidR="0064106E" w:rsidRPr="00A46EAA">
        <w:rPr>
          <w:rFonts w:ascii="Times New Roman" w:hAnsi="Times New Roman" w:cs="Times New Roman"/>
          <w:sz w:val="28"/>
          <w:szCs w:val="28"/>
        </w:rPr>
        <w:t xml:space="preserve"> Quy định chung gồm </w:t>
      </w:r>
      <w:r w:rsidR="002F0B20" w:rsidRPr="00A46EAA">
        <w:rPr>
          <w:rFonts w:ascii="Times New Roman" w:hAnsi="Times New Roman" w:cs="Times New Roman"/>
          <w:sz w:val="28"/>
          <w:szCs w:val="28"/>
        </w:rPr>
        <w:t>3</w:t>
      </w:r>
      <w:r w:rsidR="003F1156" w:rsidRPr="00A46EAA">
        <w:rPr>
          <w:rFonts w:ascii="Times New Roman" w:hAnsi="Times New Roman" w:cs="Times New Roman"/>
          <w:sz w:val="28"/>
          <w:szCs w:val="28"/>
        </w:rPr>
        <w:t xml:space="preserve"> </w:t>
      </w:r>
      <w:r w:rsidR="0064106E" w:rsidRPr="00A46EAA">
        <w:rPr>
          <w:rFonts w:ascii="Times New Roman" w:hAnsi="Times New Roman" w:cs="Times New Roman"/>
          <w:sz w:val="28"/>
          <w:szCs w:val="28"/>
        </w:rPr>
        <w:t xml:space="preserve">Điều (Điều 1 đến Điều </w:t>
      </w:r>
      <w:r w:rsidR="002F0B20" w:rsidRPr="00A46EAA">
        <w:rPr>
          <w:rFonts w:ascii="Times New Roman" w:hAnsi="Times New Roman" w:cs="Times New Roman"/>
          <w:sz w:val="28"/>
          <w:szCs w:val="28"/>
        </w:rPr>
        <w:t>3</w:t>
      </w:r>
      <w:r w:rsidR="0064106E" w:rsidRPr="00A46EAA">
        <w:rPr>
          <w:rFonts w:ascii="Times New Roman" w:hAnsi="Times New Roman" w:cs="Times New Roman"/>
          <w:sz w:val="28"/>
          <w:szCs w:val="28"/>
        </w:rPr>
        <w:t>)</w:t>
      </w:r>
      <w:r w:rsidR="008E7351" w:rsidRPr="00A46EAA">
        <w:rPr>
          <w:rFonts w:ascii="Times New Roman" w:hAnsi="Times New Roman" w:cs="Times New Roman"/>
          <w:sz w:val="28"/>
          <w:szCs w:val="28"/>
        </w:rPr>
        <w:t>.</w:t>
      </w:r>
    </w:p>
    <w:p w14:paraId="63AA99E2" w14:textId="77777777" w:rsidR="0013468B" w:rsidRPr="00A46EAA" w:rsidRDefault="00D47137" w:rsidP="00A46EAA">
      <w:pPr>
        <w:spacing w:before="120" w:after="120" w:line="266" w:lineRule="auto"/>
        <w:ind w:firstLine="709"/>
        <w:jc w:val="both"/>
        <w:rPr>
          <w:rFonts w:ascii="Times New Roman" w:hAnsi="Times New Roman" w:cs="Times New Roman"/>
          <w:sz w:val="28"/>
          <w:szCs w:val="28"/>
        </w:rPr>
      </w:pPr>
      <w:r w:rsidRPr="00A46EAA">
        <w:rPr>
          <w:rFonts w:ascii="Times New Roman" w:hAnsi="Times New Roman" w:cs="Times New Roman"/>
          <w:sz w:val="28"/>
          <w:szCs w:val="28"/>
        </w:rPr>
        <w:t xml:space="preserve">- </w:t>
      </w:r>
      <w:r w:rsidR="0064106E" w:rsidRPr="00A46EAA">
        <w:rPr>
          <w:rFonts w:ascii="Times New Roman" w:hAnsi="Times New Roman" w:cs="Times New Roman"/>
          <w:sz w:val="28"/>
          <w:szCs w:val="28"/>
        </w:rPr>
        <w:t>Chương II</w:t>
      </w:r>
      <w:r w:rsidR="00CD2255" w:rsidRPr="00A46EAA">
        <w:rPr>
          <w:rFonts w:ascii="Times New Roman" w:hAnsi="Times New Roman" w:cs="Times New Roman"/>
          <w:sz w:val="28"/>
          <w:szCs w:val="28"/>
        </w:rPr>
        <w:t xml:space="preserve"> </w:t>
      </w:r>
      <w:r w:rsidR="002F0B20" w:rsidRPr="00A46EAA">
        <w:rPr>
          <w:rFonts w:ascii="Times New Roman" w:hAnsi="Times New Roman" w:cs="Times New Roman"/>
          <w:sz w:val="28"/>
          <w:szCs w:val="28"/>
        </w:rPr>
        <w:t>-</w:t>
      </w:r>
      <w:r w:rsidR="00A20BFC" w:rsidRPr="00A46EAA">
        <w:rPr>
          <w:rFonts w:ascii="Times New Roman" w:hAnsi="Times New Roman" w:cs="Times New Roman"/>
          <w:sz w:val="28"/>
          <w:szCs w:val="28"/>
        </w:rPr>
        <w:t xml:space="preserve"> </w:t>
      </w:r>
      <w:r w:rsidR="002F0B20" w:rsidRPr="00A46EAA">
        <w:rPr>
          <w:rFonts w:ascii="Times New Roman" w:hAnsi="Times New Roman" w:cs="Times New Roman"/>
          <w:sz w:val="28"/>
          <w:szCs w:val="28"/>
        </w:rPr>
        <w:t>Hoạt động đại lý thanh toán</w:t>
      </w:r>
      <w:r w:rsidR="00A20BFC" w:rsidRPr="00A46EAA">
        <w:rPr>
          <w:rFonts w:ascii="Times New Roman" w:hAnsi="Times New Roman" w:cs="Times New Roman"/>
          <w:sz w:val="28"/>
          <w:szCs w:val="28"/>
        </w:rPr>
        <w:t xml:space="preserve"> gồm </w:t>
      </w:r>
      <w:r w:rsidR="002F0B20" w:rsidRPr="00A46EAA">
        <w:rPr>
          <w:rFonts w:ascii="Times New Roman" w:hAnsi="Times New Roman" w:cs="Times New Roman"/>
          <w:sz w:val="28"/>
          <w:szCs w:val="28"/>
        </w:rPr>
        <w:t>5</w:t>
      </w:r>
      <w:r w:rsidR="00A20BFC" w:rsidRPr="00A46EAA">
        <w:rPr>
          <w:rFonts w:ascii="Times New Roman" w:hAnsi="Times New Roman" w:cs="Times New Roman"/>
          <w:sz w:val="28"/>
          <w:szCs w:val="28"/>
        </w:rPr>
        <w:t xml:space="preserve"> Điều (Điều </w:t>
      </w:r>
      <w:r w:rsidR="002F0B20" w:rsidRPr="00A46EAA">
        <w:rPr>
          <w:rFonts w:ascii="Times New Roman" w:hAnsi="Times New Roman" w:cs="Times New Roman"/>
          <w:sz w:val="28"/>
          <w:szCs w:val="28"/>
        </w:rPr>
        <w:t>4</w:t>
      </w:r>
      <w:r w:rsidR="00DC611B" w:rsidRPr="00A46EAA">
        <w:rPr>
          <w:rFonts w:ascii="Times New Roman" w:hAnsi="Times New Roman" w:cs="Times New Roman"/>
          <w:sz w:val="28"/>
          <w:szCs w:val="28"/>
        </w:rPr>
        <w:t>,</w:t>
      </w:r>
      <w:r w:rsidR="00A20BFC" w:rsidRPr="00A46EAA">
        <w:rPr>
          <w:rFonts w:ascii="Times New Roman" w:hAnsi="Times New Roman" w:cs="Times New Roman"/>
          <w:sz w:val="28"/>
          <w:szCs w:val="28"/>
        </w:rPr>
        <w:t xml:space="preserve"> Điề</w:t>
      </w:r>
      <w:r w:rsidR="009E1B2E" w:rsidRPr="00A46EAA">
        <w:rPr>
          <w:rFonts w:ascii="Times New Roman" w:hAnsi="Times New Roman" w:cs="Times New Roman"/>
          <w:sz w:val="28"/>
          <w:szCs w:val="28"/>
        </w:rPr>
        <w:t xml:space="preserve">u </w:t>
      </w:r>
      <w:r w:rsidR="001A1FFA" w:rsidRPr="00A46EAA">
        <w:rPr>
          <w:rFonts w:ascii="Times New Roman" w:hAnsi="Times New Roman" w:cs="Times New Roman"/>
          <w:sz w:val="28"/>
          <w:szCs w:val="28"/>
        </w:rPr>
        <w:t>10</w:t>
      </w:r>
      <w:r w:rsidR="009E1B2E" w:rsidRPr="00A46EAA">
        <w:rPr>
          <w:rFonts w:ascii="Times New Roman" w:hAnsi="Times New Roman" w:cs="Times New Roman"/>
          <w:sz w:val="28"/>
          <w:szCs w:val="28"/>
        </w:rPr>
        <w:t>)</w:t>
      </w:r>
      <w:r w:rsidR="0013468B" w:rsidRPr="00A46EAA">
        <w:rPr>
          <w:rFonts w:ascii="Times New Roman" w:hAnsi="Times New Roman" w:cs="Times New Roman"/>
          <w:sz w:val="28"/>
          <w:szCs w:val="28"/>
        </w:rPr>
        <w:t>.</w:t>
      </w:r>
    </w:p>
    <w:p w14:paraId="22DE5DBA" w14:textId="77777777" w:rsidR="00250D22" w:rsidRPr="00A46EAA" w:rsidRDefault="00D47137" w:rsidP="00A46EAA">
      <w:pPr>
        <w:spacing w:before="120" w:after="120" w:line="266" w:lineRule="auto"/>
        <w:ind w:firstLine="709"/>
        <w:jc w:val="both"/>
        <w:rPr>
          <w:rFonts w:ascii="Times New Roman" w:hAnsi="Times New Roman" w:cs="Times New Roman"/>
          <w:sz w:val="28"/>
          <w:szCs w:val="28"/>
        </w:rPr>
      </w:pPr>
      <w:r w:rsidRPr="00A46EAA">
        <w:rPr>
          <w:rFonts w:ascii="Times New Roman" w:hAnsi="Times New Roman" w:cs="Times New Roman"/>
          <w:sz w:val="28"/>
          <w:szCs w:val="28"/>
        </w:rPr>
        <w:lastRenderedPageBreak/>
        <w:t xml:space="preserve">- </w:t>
      </w:r>
      <w:r w:rsidR="0064106E" w:rsidRPr="00A46EAA">
        <w:rPr>
          <w:rFonts w:ascii="Times New Roman" w:hAnsi="Times New Roman" w:cs="Times New Roman"/>
          <w:sz w:val="28"/>
          <w:szCs w:val="28"/>
        </w:rPr>
        <w:t>Chương III</w:t>
      </w:r>
      <w:r w:rsidR="00CD2255" w:rsidRPr="00A46EAA">
        <w:rPr>
          <w:rFonts w:ascii="Times New Roman" w:hAnsi="Times New Roman" w:cs="Times New Roman"/>
          <w:sz w:val="28"/>
          <w:szCs w:val="28"/>
        </w:rPr>
        <w:t xml:space="preserve"> </w:t>
      </w:r>
      <w:r w:rsidR="002F0B20" w:rsidRPr="00A46EAA">
        <w:rPr>
          <w:rFonts w:ascii="Times New Roman" w:hAnsi="Times New Roman" w:cs="Times New Roman"/>
          <w:sz w:val="28"/>
          <w:szCs w:val="28"/>
        </w:rPr>
        <w:t>–</w:t>
      </w:r>
      <w:r w:rsidR="008E5FEE" w:rsidRPr="00A46EAA">
        <w:rPr>
          <w:rFonts w:ascii="Times New Roman" w:hAnsi="Times New Roman" w:cs="Times New Roman"/>
          <w:b/>
          <w:sz w:val="28"/>
          <w:szCs w:val="28"/>
        </w:rPr>
        <w:t xml:space="preserve"> </w:t>
      </w:r>
      <w:r w:rsidR="002F0B20" w:rsidRPr="00A46EAA">
        <w:rPr>
          <w:rFonts w:ascii="Times New Roman" w:hAnsi="Times New Roman" w:cs="Times New Roman"/>
          <w:sz w:val="28"/>
          <w:szCs w:val="28"/>
        </w:rPr>
        <w:t>Quy định báo cáo, tổ chức thực hiện</w:t>
      </w:r>
      <w:r w:rsidR="0013468B" w:rsidRPr="00A46EAA">
        <w:rPr>
          <w:rFonts w:ascii="Times New Roman" w:hAnsi="Times New Roman" w:cs="Times New Roman"/>
          <w:sz w:val="28"/>
          <w:szCs w:val="28"/>
        </w:rPr>
        <w:t xml:space="preserve"> gồm</w:t>
      </w:r>
      <w:r w:rsidR="00C13122" w:rsidRPr="00A46EAA">
        <w:rPr>
          <w:rFonts w:ascii="Times New Roman" w:hAnsi="Times New Roman" w:cs="Times New Roman"/>
          <w:sz w:val="28"/>
          <w:szCs w:val="28"/>
        </w:rPr>
        <w:t xml:space="preserve"> </w:t>
      </w:r>
      <w:r w:rsidR="002F0B20" w:rsidRPr="00A46EAA">
        <w:rPr>
          <w:rFonts w:ascii="Times New Roman" w:hAnsi="Times New Roman" w:cs="Times New Roman"/>
          <w:sz w:val="28"/>
          <w:szCs w:val="28"/>
        </w:rPr>
        <w:t>2</w:t>
      </w:r>
      <w:r w:rsidR="0013468B" w:rsidRPr="00A46EAA">
        <w:rPr>
          <w:rFonts w:ascii="Times New Roman" w:hAnsi="Times New Roman" w:cs="Times New Roman"/>
          <w:sz w:val="28"/>
          <w:szCs w:val="28"/>
        </w:rPr>
        <w:t xml:space="preserve"> Điều (Điều </w:t>
      </w:r>
      <w:r w:rsidR="001A1FFA" w:rsidRPr="00A46EAA">
        <w:rPr>
          <w:rFonts w:ascii="Times New Roman" w:hAnsi="Times New Roman" w:cs="Times New Roman"/>
          <w:sz w:val="28"/>
          <w:szCs w:val="28"/>
        </w:rPr>
        <w:t>11</w:t>
      </w:r>
      <w:r w:rsidR="00DC611B" w:rsidRPr="00A46EAA">
        <w:rPr>
          <w:rFonts w:ascii="Times New Roman" w:hAnsi="Times New Roman" w:cs="Times New Roman"/>
          <w:sz w:val="28"/>
          <w:szCs w:val="28"/>
        </w:rPr>
        <w:t xml:space="preserve"> </w:t>
      </w:r>
      <w:r w:rsidR="002F0B20" w:rsidRPr="00A46EAA">
        <w:rPr>
          <w:rFonts w:ascii="Times New Roman" w:hAnsi="Times New Roman" w:cs="Times New Roman"/>
          <w:sz w:val="28"/>
          <w:szCs w:val="28"/>
        </w:rPr>
        <w:t>và</w:t>
      </w:r>
      <w:r w:rsidR="0013468B" w:rsidRPr="00A46EAA">
        <w:rPr>
          <w:rFonts w:ascii="Times New Roman" w:hAnsi="Times New Roman" w:cs="Times New Roman"/>
          <w:sz w:val="28"/>
          <w:szCs w:val="28"/>
        </w:rPr>
        <w:t xml:space="preserve"> Điều </w:t>
      </w:r>
      <w:r w:rsidR="00C13122" w:rsidRPr="00A46EAA">
        <w:rPr>
          <w:rFonts w:ascii="Times New Roman" w:hAnsi="Times New Roman" w:cs="Times New Roman"/>
          <w:sz w:val="28"/>
          <w:szCs w:val="28"/>
        </w:rPr>
        <w:t>1</w:t>
      </w:r>
      <w:r w:rsidR="001A1FFA" w:rsidRPr="00A46EAA">
        <w:rPr>
          <w:rFonts w:ascii="Times New Roman" w:hAnsi="Times New Roman" w:cs="Times New Roman"/>
          <w:sz w:val="28"/>
          <w:szCs w:val="28"/>
        </w:rPr>
        <w:t>2</w:t>
      </w:r>
      <w:r w:rsidR="00CE60CE" w:rsidRPr="00A46EAA">
        <w:rPr>
          <w:rFonts w:ascii="Times New Roman" w:hAnsi="Times New Roman" w:cs="Times New Roman"/>
          <w:sz w:val="28"/>
          <w:szCs w:val="28"/>
        </w:rPr>
        <w:t>)</w:t>
      </w:r>
      <w:r w:rsidR="00971E01" w:rsidRPr="00A46EAA">
        <w:rPr>
          <w:rFonts w:ascii="Times New Roman" w:hAnsi="Times New Roman" w:cs="Times New Roman"/>
          <w:sz w:val="28"/>
          <w:szCs w:val="28"/>
        </w:rPr>
        <w:t>.</w:t>
      </w:r>
    </w:p>
    <w:p w14:paraId="47BE6E41" w14:textId="77777777" w:rsidR="001A52F7" w:rsidRPr="00A46EAA" w:rsidRDefault="00D47137" w:rsidP="00A46EAA">
      <w:pPr>
        <w:spacing w:before="120" w:after="120" w:line="266" w:lineRule="auto"/>
        <w:ind w:firstLine="709"/>
        <w:jc w:val="both"/>
        <w:rPr>
          <w:rFonts w:ascii="Times New Roman" w:hAnsi="Times New Roman" w:cs="Times New Roman"/>
          <w:sz w:val="28"/>
          <w:szCs w:val="28"/>
        </w:rPr>
      </w:pPr>
      <w:r w:rsidRPr="00A46EAA">
        <w:rPr>
          <w:rFonts w:ascii="Times New Roman" w:hAnsi="Times New Roman" w:cs="Times New Roman"/>
          <w:sz w:val="28"/>
          <w:szCs w:val="28"/>
        </w:rPr>
        <w:t xml:space="preserve">- </w:t>
      </w:r>
      <w:r w:rsidR="008E5FEE" w:rsidRPr="00A46EAA">
        <w:rPr>
          <w:rFonts w:ascii="Times New Roman" w:hAnsi="Times New Roman" w:cs="Times New Roman"/>
          <w:sz w:val="28"/>
          <w:szCs w:val="28"/>
        </w:rPr>
        <w:t>C</w:t>
      </w:r>
      <w:r w:rsidR="00CD2255" w:rsidRPr="00A46EAA">
        <w:rPr>
          <w:rFonts w:ascii="Times New Roman" w:hAnsi="Times New Roman" w:cs="Times New Roman"/>
          <w:sz w:val="28"/>
          <w:szCs w:val="28"/>
        </w:rPr>
        <w:t xml:space="preserve">hương IV </w:t>
      </w:r>
      <w:r w:rsidR="006A042A" w:rsidRPr="00A46EAA">
        <w:rPr>
          <w:rFonts w:ascii="Times New Roman" w:hAnsi="Times New Roman" w:cs="Times New Roman"/>
          <w:sz w:val="28"/>
          <w:szCs w:val="28"/>
        </w:rPr>
        <w:t>- Điều khoản thi hành</w:t>
      </w:r>
      <w:r w:rsidR="00250D22" w:rsidRPr="00A46EAA">
        <w:rPr>
          <w:rFonts w:ascii="Times New Roman" w:hAnsi="Times New Roman" w:cs="Times New Roman"/>
          <w:sz w:val="28"/>
          <w:szCs w:val="28"/>
        </w:rPr>
        <w:t xml:space="preserve"> gồm </w:t>
      </w:r>
      <w:r w:rsidR="002F0B20" w:rsidRPr="00A46EAA">
        <w:rPr>
          <w:rFonts w:ascii="Times New Roman" w:hAnsi="Times New Roman" w:cs="Times New Roman"/>
          <w:sz w:val="28"/>
          <w:szCs w:val="28"/>
        </w:rPr>
        <w:t>2</w:t>
      </w:r>
      <w:r w:rsidR="00250D22" w:rsidRPr="00A46EAA">
        <w:rPr>
          <w:rFonts w:ascii="Times New Roman" w:hAnsi="Times New Roman" w:cs="Times New Roman"/>
          <w:sz w:val="28"/>
          <w:szCs w:val="28"/>
        </w:rPr>
        <w:t xml:space="preserve"> Điều</w:t>
      </w:r>
      <w:r w:rsidR="00C608B6" w:rsidRPr="00A46EAA">
        <w:rPr>
          <w:rFonts w:ascii="Times New Roman" w:hAnsi="Times New Roman" w:cs="Times New Roman"/>
          <w:sz w:val="28"/>
          <w:szCs w:val="28"/>
        </w:rPr>
        <w:t xml:space="preserve"> (Điều 1</w:t>
      </w:r>
      <w:r w:rsidR="001A1FFA" w:rsidRPr="00A46EAA">
        <w:rPr>
          <w:rFonts w:ascii="Times New Roman" w:hAnsi="Times New Roman" w:cs="Times New Roman"/>
          <w:sz w:val="28"/>
          <w:szCs w:val="28"/>
        </w:rPr>
        <w:t>3</w:t>
      </w:r>
      <w:r w:rsidR="00C608B6" w:rsidRPr="00A46EAA">
        <w:rPr>
          <w:rFonts w:ascii="Times New Roman" w:hAnsi="Times New Roman" w:cs="Times New Roman"/>
          <w:sz w:val="28"/>
          <w:szCs w:val="28"/>
        </w:rPr>
        <w:t xml:space="preserve"> </w:t>
      </w:r>
      <w:r w:rsidR="002F0B20" w:rsidRPr="00A46EAA">
        <w:rPr>
          <w:rFonts w:ascii="Times New Roman" w:hAnsi="Times New Roman" w:cs="Times New Roman"/>
          <w:sz w:val="28"/>
          <w:szCs w:val="28"/>
        </w:rPr>
        <w:t>và</w:t>
      </w:r>
      <w:r w:rsidR="00C608B6" w:rsidRPr="00A46EAA">
        <w:rPr>
          <w:rFonts w:ascii="Times New Roman" w:hAnsi="Times New Roman" w:cs="Times New Roman"/>
          <w:sz w:val="28"/>
          <w:szCs w:val="28"/>
        </w:rPr>
        <w:t xml:space="preserve"> Điều </w:t>
      </w:r>
      <w:r w:rsidR="002F0B20" w:rsidRPr="00A46EAA">
        <w:rPr>
          <w:rFonts w:ascii="Times New Roman" w:hAnsi="Times New Roman" w:cs="Times New Roman"/>
          <w:sz w:val="28"/>
          <w:szCs w:val="28"/>
        </w:rPr>
        <w:t>1</w:t>
      </w:r>
      <w:r w:rsidR="001A1FFA" w:rsidRPr="00A46EAA">
        <w:rPr>
          <w:rFonts w:ascii="Times New Roman" w:hAnsi="Times New Roman" w:cs="Times New Roman"/>
          <w:sz w:val="28"/>
          <w:szCs w:val="28"/>
        </w:rPr>
        <w:t>4</w:t>
      </w:r>
      <w:r w:rsidR="00C608B6" w:rsidRPr="00A46EAA">
        <w:rPr>
          <w:rFonts w:ascii="Times New Roman" w:hAnsi="Times New Roman" w:cs="Times New Roman"/>
          <w:sz w:val="28"/>
          <w:szCs w:val="28"/>
        </w:rPr>
        <w:t>)</w:t>
      </w:r>
      <w:r w:rsidR="001A52F7" w:rsidRPr="00A46EAA">
        <w:rPr>
          <w:rFonts w:ascii="Times New Roman" w:hAnsi="Times New Roman" w:cs="Times New Roman"/>
          <w:sz w:val="28"/>
          <w:szCs w:val="28"/>
        </w:rPr>
        <w:t>.</w:t>
      </w:r>
    </w:p>
    <w:p w14:paraId="6F988A9A" w14:textId="77777777" w:rsidR="00AD6E75" w:rsidRPr="00A46EAA" w:rsidRDefault="00AD6E75" w:rsidP="00A46EAA">
      <w:pPr>
        <w:spacing w:before="120" w:after="120" w:line="266" w:lineRule="auto"/>
        <w:ind w:firstLine="709"/>
        <w:jc w:val="both"/>
        <w:rPr>
          <w:rFonts w:ascii="Times New Roman" w:hAnsi="Times New Roman" w:cs="Times New Roman"/>
          <w:b/>
          <w:i/>
          <w:sz w:val="28"/>
          <w:szCs w:val="28"/>
        </w:rPr>
      </w:pPr>
      <w:r w:rsidRPr="00A46EAA">
        <w:rPr>
          <w:rFonts w:ascii="Times New Roman" w:hAnsi="Times New Roman" w:cs="Times New Roman"/>
          <w:b/>
          <w:i/>
          <w:sz w:val="28"/>
          <w:szCs w:val="28"/>
        </w:rPr>
        <w:t xml:space="preserve">2. </w:t>
      </w:r>
      <w:r w:rsidR="00383F4C" w:rsidRPr="00A46EAA">
        <w:rPr>
          <w:rFonts w:ascii="Times New Roman" w:hAnsi="Times New Roman" w:cs="Times New Roman"/>
          <w:b/>
          <w:i/>
          <w:sz w:val="28"/>
          <w:szCs w:val="28"/>
        </w:rPr>
        <w:t>Một số n</w:t>
      </w:r>
      <w:r w:rsidRPr="00A46EAA">
        <w:rPr>
          <w:rFonts w:ascii="Times New Roman" w:hAnsi="Times New Roman" w:cs="Times New Roman"/>
          <w:b/>
          <w:i/>
          <w:sz w:val="28"/>
          <w:szCs w:val="28"/>
        </w:rPr>
        <w:t>ội dung cơ bản</w:t>
      </w:r>
    </w:p>
    <w:p w14:paraId="4A0A31BA" w14:textId="77777777" w:rsidR="0042780E" w:rsidRPr="00503D7A" w:rsidRDefault="00C07F9E" w:rsidP="00A46EAA">
      <w:pPr>
        <w:spacing w:before="120" w:after="120" w:line="266" w:lineRule="auto"/>
        <w:ind w:firstLine="709"/>
        <w:jc w:val="both"/>
        <w:rPr>
          <w:rFonts w:ascii="Times New Roman" w:hAnsi="Times New Roman" w:cs="Times New Roman"/>
          <w:b/>
          <w:i/>
          <w:sz w:val="28"/>
          <w:szCs w:val="28"/>
        </w:rPr>
      </w:pPr>
      <w:r w:rsidRPr="00503D7A">
        <w:rPr>
          <w:rFonts w:ascii="Times New Roman" w:hAnsi="Times New Roman" w:cs="Times New Roman"/>
          <w:b/>
          <w:i/>
          <w:sz w:val="28"/>
          <w:szCs w:val="28"/>
        </w:rPr>
        <w:t xml:space="preserve">2.1. </w:t>
      </w:r>
      <w:r w:rsidR="00CD6800" w:rsidRPr="00503D7A">
        <w:rPr>
          <w:rFonts w:ascii="Times New Roman" w:hAnsi="Times New Roman" w:cs="Times New Roman"/>
          <w:b/>
          <w:i/>
          <w:sz w:val="28"/>
          <w:szCs w:val="28"/>
        </w:rPr>
        <w:t>Về nội dung q</w:t>
      </w:r>
      <w:r w:rsidR="0042780E" w:rsidRPr="00503D7A">
        <w:rPr>
          <w:rFonts w:ascii="Times New Roman" w:hAnsi="Times New Roman" w:cs="Times New Roman"/>
          <w:b/>
          <w:i/>
          <w:sz w:val="28"/>
          <w:szCs w:val="28"/>
        </w:rPr>
        <w:t xml:space="preserve">uy định </w:t>
      </w:r>
      <w:r w:rsidR="00CD6800" w:rsidRPr="00503D7A">
        <w:rPr>
          <w:rFonts w:ascii="Times New Roman" w:hAnsi="Times New Roman" w:cs="Times New Roman"/>
          <w:b/>
          <w:i/>
          <w:sz w:val="28"/>
          <w:szCs w:val="28"/>
        </w:rPr>
        <w:t xml:space="preserve">tại </w:t>
      </w:r>
      <w:r w:rsidR="0042780E" w:rsidRPr="00503D7A">
        <w:rPr>
          <w:rFonts w:ascii="Times New Roman" w:hAnsi="Times New Roman" w:cs="Times New Roman"/>
          <w:b/>
          <w:i/>
          <w:sz w:val="28"/>
          <w:szCs w:val="28"/>
        </w:rPr>
        <w:t>Chương 1</w:t>
      </w:r>
    </w:p>
    <w:p w14:paraId="0422891C" w14:textId="77777777" w:rsidR="009E0BDD" w:rsidRPr="00A46EAA" w:rsidRDefault="0042780E" w:rsidP="00A46EAA">
      <w:pPr>
        <w:spacing w:before="120" w:after="120" w:line="266" w:lineRule="auto"/>
        <w:ind w:firstLine="709"/>
        <w:jc w:val="both"/>
        <w:rPr>
          <w:rFonts w:ascii="Times New Roman" w:eastAsia="Times New Roman" w:hAnsi="Times New Roman" w:cs="Times New Roman"/>
          <w:iCs/>
          <w:sz w:val="28"/>
          <w:szCs w:val="28"/>
        </w:rPr>
      </w:pPr>
      <w:r w:rsidRPr="00A46EAA">
        <w:rPr>
          <w:rFonts w:ascii="Times New Roman" w:hAnsi="Times New Roman" w:cs="Times New Roman"/>
          <w:sz w:val="28"/>
          <w:szCs w:val="28"/>
        </w:rPr>
        <w:t>Tại Chương này, dự thảo Thông tư quy định về p</w:t>
      </w:r>
      <w:r w:rsidR="00AD6E75" w:rsidRPr="00A46EAA">
        <w:rPr>
          <w:rFonts w:ascii="Times New Roman" w:hAnsi="Times New Roman" w:cs="Times New Roman"/>
          <w:sz w:val="28"/>
          <w:szCs w:val="28"/>
        </w:rPr>
        <w:t>hạm vi điều chỉnh</w:t>
      </w:r>
      <w:r w:rsidRPr="00A46EAA">
        <w:rPr>
          <w:rFonts w:ascii="Times New Roman" w:hAnsi="Times New Roman" w:cs="Times New Roman"/>
          <w:sz w:val="28"/>
          <w:szCs w:val="28"/>
        </w:rPr>
        <w:t xml:space="preserve"> </w:t>
      </w:r>
      <w:r w:rsidRPr="00A46EAA">
        <w:rPr>
          <w:rFonts w:ascii="Times New Roman" w:eastAsia="Times New Roman" w:hAnsi="Times New Roman" w:cs="Times New Roman"/>
          <w:iCs/>
          <w:sz w:val="28"/>
          <w:szCs w:val="28"/>
        </w:rPr>
        <w:t>(</w:t>
      </w:r>
      <w:r w:rsidR="00096A02" w:rsidRPr="00A46EAA">
        <w:rPr>
          <w:rFonts w:ascii="Times New Roman" w:hAnsi="Times New Roman" w:cs="Times New Roman"/>
          <w:sz w:val="28"/>
          <w:szCs w:val="28"/>
        </w:rPr>
        <w:t>hoạt động giao đại lý thanh toán bằng đồng Việt Nam trên lãnh thổ Việt Nam</w:t>
      </w:r>
      <w:r w:rsidRPr="00A46EAA">
        <w:rPr>
          <w:rFonts w:ascii="Times New Roman" w:hAnsi="Times New Roman" w:cs="Times New Roman"/>
          <w:sz w:val="28"/>
          <w:szCs w:val="28"/>
        </w:rPr>
        <w:t xml:space="preserve">), đối tượng áp dụng và giải thích một số từ ngữ, như: </w:t>
      </w:r>
      <w:r w:rsidR="00CD6800" w:rsidRPr="00A46EAA">
        <w:rPr>
          <w:rFonts w:ascii="Times New Roman" w:hAnsi="Times New Roman" w:cs="Times New Roman"/>
          <w:sz w:val="28"/>
          <w:szCs w:val="28"/>
        </w:rPr>
        <w:t xml:space="preserve">hoạt động giao đại lý thanh toán, bên giao đại lý thanh toán, bên </w:t>
      </w:r>
      <w:r w:rsidR="00AE4138">
        <w:rPr>
          <w:rFonts w:ascii="Times New Roman" w:hAnsi="Times New Roman" w:cs="Times New Roman"/>
          <w:sz w:val="28"/>
          <w:szCs w:val="28"/>
        </w:rPr>
        <w:t xml:space="preserve">làm </w:t>
      </w:r>
      <w:r w:rsidR="00CD6800" w:rsidRPr="00A46EAA">
        <w:rPr>
          <w:rFonts w:ascii="Times New Roman" w:hAnsi="Times New Roman" w:cs="Times New Roman"/>
          <w:sz w:val="28"/>
          <w:szCs w:val="28"/>
        </w:rPr>
        <w:t xml:space="preserve">đại lý, hợp đồng </w:t>
      </w:r>
      <w:r w:rsidR="00AE4138">
        <w:rPr>
          <w:rFonts w:ascii="Times New Roman" w:hAnsi="Times New Roman" w:cs="Times New Roman"/>
          <w:sz w:val="28"/>
          <w:szCs w:val="28"/>
        </w:rPr>
        <w:t>đ</w:t>
      </w:r>
      <w:r w:rsidR="00CD6800" w:rsidRPr="00A46EAA">
        <w:rPr>
          <w:rFonts w:ascii="Times New Roman" w:hAnsi="Times New Roman" w:cs="Times New Roman"/>
          <w:sz w:val="28"/>
          <w:szCs w:val="28"/>
        </w:rPr>
        <w:t>ại lý thanh toán</w:t>
      </w:r>
      <w:r w:rsidR="00C449C9" w:rsidRPr="00A46EAA">
        <w:rPr>
          <w:rFonts w:ascii="Times New Roman" w:hAnsi="Times New Roman" w:cs="Times New Roman"/>
          <w:sz w:val="28"/>
          <w:szCs w:val="28"/>
        </w:rPr>
        <w:t>, điểm đại lý thanh toán</w:t>
      </w:r>
      <w:r w:rsidR="00AE4138">
        <w:rPr>
          <w:rFonts w:ascii="Times New Roman" w:hAnsi="Times New Roman" w:cs="Times New Roman"/>
          <w:sz w:val="28"/>
          <w:szCs w:val="28"/>
        </w:rPr>
        <w:t>, phí giao đại lý thanh toán</w:t>
      </w:r>
      <w:r w:rsidR="009E0BDD" w:rsidRPr="00A46EAA">
        <w:rPr>
          <w:rFonts w:ascii="Times New Roman" w:eastAsia="Times New Roman" w:hAnsi="Times New Roman" w:cs="Times New Roman"/>
          <w:iCs/>
          <w:sz w:val="28"/>
          <w:szCs w:val="28"/>
        </w:rPr>
        <w:t>.</w:t>
      </w:r>
    </w:p>
    <w:p w14:paraId="3BF2B729" w14:textId="77777777" w:rsidR="00C07F9E" w:rsidRPr="00A46EAA" w:rsidRDefault="00C449C9" w:rsidP="00A46EAA">
      <w:pPr>
        <w:spacing w:before="120" w:after="120" w:line="266" w:lineRule="auto"/>
        <w:ind w:firstLine="709"/>
        <w:jc w:val="both"/>
        <w:rPr>
          <w:rFonts w:ascii="Times New Roman" w:hAnsi="Times New Roman" w:cs="Times New Roman"/>
          <w:i/>
          <w:sz w:val="28"/>
          <w:szCs w:val="28"/>
        </w:rPr>
      </w:pPr>
      <w:r w:rsidRPr="00A46EAA">
        <w:rPr>
          <w:rFonts w:ascii="Times New Roman" w:hAnsi="Times New Roman" w:cs="Times New Roman"/>
          <w:i/>
          <w:sz w:val="28"/>
          <w:szCs w:val="28"/>
        </w:rPr>
        <w:t>Đối với đ</w:t>
      </w:r>
      <w:r w:rsidR="00AD6E75" w:rsidRPr="00A46EAA">
        <w:rPr>
          <w:rFonts w:ascii="Times New Roman" w:hAnsi="Times New Roman" w:cs="Times New Roman"/>
          <w:i/>
          <w:sz w:val="28"/>
          <w:szCs w:val="28"/>
        </w:rPr>
        <w:t>ối tượng áp dụ</w:t>
      </w:r>
      <w:r w:rsidR="00C07F9E" w:rsidRPr="00A46EAA">
        <w:rPr>
          <w:rFonts w:ascii="Times New Roman" w:hAnsi="Times New Roman" w:cs="Times New Roman"/>
          <w:i/>
          <w:sz w:val="28"/>
          <w:szCs w:val="28"/>
        </w:rPr>
        <w:t>ng</w:t>
      </w:r>
      <w:r w:rsidRPr="00A46EAA">
        <w:rPr>
          <w:rFonts w:ascii="Times New Roman" w:hAnsi="Times New Roman" w:cs="Times New Roman"/>
          <w:i/>
          <w:sz w:val="28"/>
          <w:szCs w:val="28"/>
        </w:rPr>
        <w:t xml:space="preserve"> sẽ bao gồm:</w:t>
      </w:r>
    </w:p>
    <w:p w14:paraId="69697E60" w14:textId="77777777" w:rsidR="00096A02" w:rsidRPr="00A46EAA" w:rsidRDefault="00833D10" w:rsidP="00A46EAA">
      <w:pPr>
        <w:spacing w:before="120" w:after="120" w:line="266" w:lineRule="auto"/>
        <w:ind w:firstLine="709"/>
        <w:jc w:val="both"/>
        <w:rPr>
          <w:rFonts w:ascii="Times New Roman" w:eastAsia="Times New Roman" w:hAnsi="Times New Roman" w:cs="Times New Roman"/>
          <w:iCs/>
          <w:sz w:val="28"/>
          <w:szCs w:val="28"/>
        </w:rPr>
      </w:pPr>
      <w:r w:rsidRPr="00A46EAA">
        <w:rPr>
          <w:rFonts w:ascii="Times New Roman" w:hAnsi="Times New Roman" w:cs="Times New Roman"/>
          <w:sz w:val="28"/>
          <w:szCs w:val="28"/>
        </w:rPr>
        <w:t>-</w:t>
      </w:r>
      <w:r w:rsidR="009E0BDD" w:rsidRPr="00A46EAA">
        <w:rPr>
          <w:rFonts w:ascii="Times New Roman" w:hAnsi="Times New Roman" w:cs="Times New Roman"/>
          <w:sz w:val="28"/>
          <w:szCs w:val="28"/>
        </w:rPr>
        <w:t xml:space="preserve"> Bên </w:t>
      </w:r>
      <w:r w:rsidR="00096A02" w:rsidRPr="00A46EAA">
        <w:rPr>
          <w:rFonts w:ascii="Times New Roman" w:hAnsi="Times New Roman" w:cs="Times New Roman"/>
          <w:sz w:val="28"/>
          <w:szCs w:val="28"/>
        </w:rPr>
        <w:t>giao đại lý</w:t>
      </w:r>
      <w:r w:rsidR="009E0BDD" w:rsidRPr="00A46EAA">
        <w:rPr>
          <w:rFonts w:ascii="Times New Roman" w:hAnsi="Times New Roman" w:cs="Times New Roman"/>
          <w:sz w:val="28"/>
          <w:szCs w:val="28"/>
        </w:rPr>
        <w:t>, bao gồm:</w:t>
      </w:r>
      <w:r w:rsidR="009E0BDD" w:rsidRPr="00A46EAA">
        <w:rPr>
          <w:rFonts w:ascii="Times New Roman" w:eastAsia="Times New Roman" w:hAnsi="Times New Roman" w:cs="Times New Roman"/>
          <w:iCs/>
          <w:sz w:val="28"/>
          <w:szCs w:val="28"/>
        </w:rPr>
        <w:t xml:space="preserve"> </w:t>
      </w:r>
      <w:r w:rsidR="00096A02" w:rsidRPr="00A46EAA">
        <w:rPr>
          <w:rFonts w:ascii="Times New Roman" w:eastAsia="Times New Roman" w:hAnsi="Times New Roman" w:cs="Times New Roman"/>
          <w:iCs/>
          <w:sz w:val="28"/>
          <w:szCs w:val="28"/>
        </w:rPr>
        <w:t>(</w:t>
      </w:r>
      <w:r w:rsidR="00096A02" w:rsidRPr="00A46EAA">
        <w:rPr>
          <w:rFonts w:ascii="Times New Roman" w:hAnsi="Times New Roman" w:cs="Times New Roman"/>
          <w:sz w:val="28"/>
          <w:szCs w:val="28"/>
        </w:rPr>
        <w:t xml:space="preserve">1) </w:t>
      </w:r>
      <w:r w:rsidR="00096A02" w:rsidRPr="00A46EAA">
        <w:rPr>
          <w:rFonts w:ascii="Times New Roman" w:eastAsia="Times New Roman" w:hAnsi="Times New Roman" w:cs="Times New Roman"/>
          <w:iCs/>
          <w:sz w:val="28"/>
          <w:szCs w:val="28"/>
        </w:rPr>
        <w:t xml:space="preserve">Ngân hàng thương mại; (2) Ngân hàng chính sách; (3) Ngân hàng hợp tác xã; (4) Chi nhánh ngân hàng nước ngoài. </w:t>
      </w:r>
    </w:p>
    <w:p w14:paraId="0F222AF4" w14:textId="77777777" w:rsidR="00833D10" w:rsidRPr="00A46EAA" w:rsidRDefault="00096A02" w:rsidP="00A46EAA">
      <w:pPr>
        <w:spacing w:before="120" w:after="120" w:line="266" w:lineRule="auto"/>
        <w:ind w:firstLine="709"/>
        <w:jc w:val="both"/>
        <w:rPr>
          <w:rFonts w:ascii="Times New Roman" w:eastAsia="Times New Roman" w:hAnsi="Times New Roman" w:cs="Times New Roman"/>
          <w:iCs/>
          <w:sz w:val="28"/>
          <w:szCs w:val="28"/>
        </w:rPr>
      </w:pPr>
      <w:r w:rsidRPr="00A46EAA">
        <w:rPr>
          <w:rFonts w:ascii="Times New Roman" w:eastAsia="Times New Roman" w:hAnsi="Times New Roman" w:cs="Times New Roman"/>
          <w:iCs/>
          <w:sz w:val="28"/>
          <w:szCs w:val="28"/>
        </w:rPr>
        <w:t>- Bên đại lý thanh toán, bao gồm: (</w:t>
      </w:r>
      <w:r w:rsidRPr="00A46EAA">
        <w:rPr>
          <w:rFonts w:ascii="Times New Roman" w:hAnsi="Times New Roman" w:cs="Times New Roman"/>
          <w:sz w:val="28"/>
          <w:szCs w:val="28"/>
        </w:rPr>
        <w:t xml:space="preserve">1) </w:t>
      </w:r>
      <w:r w:rsidRPr="00A46EAA">
        <w:rPr>
          <w:rFonts w:ascii="Times New Roman" w:eastAsia="Times New Roman" w:hAnsi="Times New Roman" w:cs="Times New Roman"/>
          <w:iCs/>
          <w:sz w:val="28"/>
          <w:szCs w:val="28"/>
        </w:rPr>
        <w:t>Ngân hàng thương mại; (2) Ngân hàng chính sách; (3) Ngân hàng hợp tác xã; (4) Chi nhánh ngân hàng nước ngoài; (5) Quỹ tín dụng nhân dân; (</w:t>
      </w:r>
      <w:r w:rsidRPr="00A46EAA">
        <w:rPr>
          <w:rFonts w:ascii="Times New Roman" w:hAnsi="Times New Roman" w:cs="Times New Roman"/>
          <w:sz w:val="28"/>
          <w:szCs w:val="28"/>
        </w:rPr>
        <w:t>6) Tổ chức tài chính vi mô; (</w:t>
      </w:r>
      <w:r w:rsidRPr="00A46EAA">
        <w:rPr>
          <w:rFonts w:ascii="Times New Roman" w:hAnsi="Times New Roman" w:cs="Times New Roman"/>
          <w:sz w:val="28"/>
          <w:szCs w:val="28"/>
          <w:lang w:val="pt-BR"/>
        </w:rPr>
        <w:t>7) Các tổ chức không phải là tổ chức tín dụng, chi nhánh ngân hàng nước ngoài</w:t>
      </w:r>
      <w:r w:rsidRPr="00A46EAA">
        <w:rPr>
          <w:rFonts w:ascii="Times New Roman" w:eastAsia="Times New Roman" w:hAnsi="Times New Roman" w:cs="Times New Roman"/>
          <w:iCs/>
          <w:sz w:val="28"/>
          <w:szCs w:val="28"/>
          <w:lang w:val="pt-BR"/>
        </w:rPr>
        <w:t>.</w:t>
      </w:r>
    </w:p>
    <w:p w14:paraId="2CD692B5" w14:textId="77777777" w:rsidR="00C65977" w:rsidRPr="00A46EAA" w:rsidRDefault="009E0BDD" w:rsidP="00A46EAA">
      <w:pPr>
        <w:spacing w:before="120" w:after="120" w:line="266" w:lineRule="auto"/>
        <w:ind w:firstLine="720"/>
        <w:jc w:val="both"/>
        <w:rPr>
          <w:rFonts w:ascii="Times New Roman" w:eastAsia="Calibri" w:hAnsi="Times New Roman" w:cs="Times New Roman"/>
          <w:sz w:val="28"/>
          <w:szCs w:val="28"/>
        </w:rPr>
      </w:pPr>
      <w:r w:rsidRPr="00A46EAA">
        <w:rPr>
          <w:rFonts w:ascii="Times New Roman" w:hAnsi="Times New Roman" w:cs="Times New Roman"/>
          <w:sz w:val="28"/>
          <w:szCs w:val="28"/>
          <w:lang w:val="sv-SE"/>
        </w:rPr>
        <w:t xml:space="preserve"> </w:t>
      </w:r>
      <w:r w:rsidR="009A78E1" w:rsidRPr="00A46EAA">
        <w:rPr>
          <w:rFonts w:ascii="Times New Roman" w:hAnsi="Times New Roman" w:cs="Times New Roman"/>
          <w:sz w:val="28"/>
          <w:szCs w:val="28"/>
          <w:lang w:val="sv-SE"/>
        </w:rPr>
        <w:t>Sau khi rà soát các quy định tại Luật các TCTD năm 20</w:t>
      </w:r>
      <w:r w:rsidR="00096A02" w:rsidRPr="00A46EAA">
        <w:rPr>
          <w:rFonts w:ascii="Times New Roman" w:hAnsi="Times New Roman" w:cs="Times New Roman"/>
          <w:sz w:val="28"/>
          <w:szCs w:val="28"/>
          <w:lang w:val="sv-SE"/>
        </w:rPr>
        <w:t>24</w:t>
      </w:r>
      <w:r w:rsidR="00270B00" w:rsidRPr="00A46EAA">
        <w:rPr>
          <w:rFonts w:ascii="Times New Roman" w:hAnsi="Times New Roman" w:cs="Times New Roman"/>
          <w:sz w:val="28"/>
          <w:szCs w:val="28"/>
          <w:lang w:val="sv-SE"/>
        </w:rPr>
        <w:t>,</w:t>
      </w:r>
      <w:r w:rsidR="009A78E1" w:rsidRPr="00A46EAA">
        <w:rPr>
          <w:rFonts w:ascii="Times New Roman" w:hAnsi="Times New Roman" w:cs="Times New Roman"/>
          <w:sz w:val="28"/>
          <w:szCs w:val="28"/>
          <w:lang w:val="sv-SE"/>
        </w:rPr>
        <w:t xml:space="preserve"> </w:t>
      </w:r>
      <w:r w:rsidR="00CF737F" w:rsidRPr="00A46EAA">
        <w:rPr>
          <w:rFonts w:ascii="Times New Roman" w:hAnsi="Times New Roman" w:cs="Times New Roman"/>
          <w:sz w:val="28"/>
          <w:szCs w:val="28"/>
        </w:rPr>
        <w:t>cho</w:t>
      </w:r>
      <w:r w:rsidR="00055F17" w:rsidRPr="00A46EAA">
        <w:rPr>
          <w:rFonts w:ascii="Times New Roman" w:hAnsi="Times New Roman" w:cs="Times New Roman"/>
          <w:sz w:val="28"/>
          <w:szCs w:val="28"/>
        </w:rPr>
        <w:t xml:space="preserve"> thấy</w:t>
      </w:r>
      <w:r w:rsidR="00C17106" w:rsidRPr="00A46EAA">
        <w:rPr>
          <w:rFonts w:ascii="Times New Roman" w:hAnsi="Times New Roman" w:cs="Times New Roman"/>
          <w:sz w:val="28"/>
          <w:szCs w:val="28"/>
        </w:rPr>
        <w:t xml:space="preserve">: </w:t>
      </w:r>
      <w:r w:rsidR="00DA4F41" w:rsidRPr="00A46EAA">
        <w:rPr>
          <w:rFonts w:ascii="Times New Roman" w:hAnsi="Times New Roman" w:cs="Times New Roman"/>
          <w:sz w:val="28"/>
          <w:szCs w:val="28"/>
          <w:lang w:val="sv-SE"/>
        </w:rPr>
        <w:t>NHTM</w:t>
      </w:r>
      <w:r w:rsidR="00E1498B" w:rsidRPr="00A46EAA">
        <w:rPr>
          <w:rFonts w:ascii="Times New Roman" w:hAnsi="Times New Roman" w:cs="Times New Roman"/>
          <w:sz w:val="28"/>
          <w:szCs w:val="28"/>
          <w:lang w:val="sv-SE"/>
        </w:rPr>
        <w:t>,</w:t>
      </w:r>
      <w:r w:rsidR="00E1498B" w:rsidRPr="00A46EAA">
        <w:rPr>
          <w:rFonts w:ascii="Times New Roman" w:hAnsi="Times New Roman" w:cs="Times New Roman"/>
          <w:sz w:val="28"/>
          <w:szCs w:val="28"/>
        </w:rPr>
        <w:t xml:space="preserve"> </w:t>
      </w:r>
      <w:r w:rsidR="00270B00" w:rsidRPr="00A46EAA">
        <w:rPr>
          <w:rFonts w:ascii="Times New Roman" w:hAnsi="Times New Roman" w:cs="Times New Roman"/>
          <w:sz w:val="28"/>
          <w:szCs w:val="28"/>
        </w:rPr>
        <w:t>chi nhánh ngân hàng nước ngoài được quyền đại lý, giao đại lý</w:t>
      </w:r>
      <w:r w:rsidR="00DA4F41" w:rsidRPr="00A46EAA">
        <w:rPr>
          <w:rFonts w:ascii="Times New Roman" w:hAnsi="Times New Roman" w:cs="Times New Roman"/>
          <w:sz w:val="28"/>
          <w:szCs w:val="28"/>
          <w:lang w:val="sv-SE"/>
        </w:rPr>
        <w:t xml:space="preserve"> trong lĩnh vực thanh toán</w:t>
      </w:r>
      <w:r w:rsidR="00E1498B" w:rsidRPr="00A46EAA">
        <w:rPr>
          <w:rFonts w:ascii="Times New Roman" w:hAnsi="Times New Roman" w:cs="Times New Roman"/>
          <w:sz w:val="28"/>
          <w:szCs w:val="28"/>
          <w:lang w:val="sv-SE"/>
        </w:rPr>
        <w:t xml:space="preserve">; </w:t>
      </w:r>
      <w:r w:rsidR="00270B00" w:rsidRPr="00A46EAA">
        <w:rPr>
          <w:rFonts w:ascii="Times New Roman" w:hAnsi="Times New Roman" w:cs="Times New Roman"/>
          <w:sz w:val="28"/>
          <w:szCs w:val="28"/>
          <w:lang w:val="sv-SE"/>
        </w:rPr>
        <w:t xml:space="preserve">hoạt động của ngân hàng chính sách theo quy định của Chính phủ; </w:t>
      </w:r>
      <w:r w:rsidR="00E1498B" w:rsidRPr="00A46EAA">
        <w:rPr>
          <w:rFonts w:ascii="Times New Roman" w:hAnsi="Times New Roman" w:cs="Times New Roman"/>
          <w:sz w:val="28"/>
          <w:szCs w:val="28"/>
          <w:lang w:val="sv-SE"/>
        </w:rPr>
        <w:t>quỹ tín dụng nhân dân</w:t>
      </w:r>
      <w:r w:rsidR="00270B00" w:rsidRPr="00A46EAA">
        <w:rPr>
          <w:rFonts w:ascii="Times New Roman" w:hAnsi="Times New Roman" w:cs="Times New Roman"/>
          <w:sz w:val="28"/>
          <w:szCs w:val="28"/>
          <w:lang w:val="sv-SE"/>
        </w:rPr>
        <w:t xml:space="preserve"> được làm đại lý thanh toán cho ngân hàng hợp tác xã</w:t>
      </w:r>
      <w:r w:rsidR="00796D84">
        <w:rPr>
          <w:rFonts w:ascii="Times New Roman" w:hAnsi="Times New Roman" w:cs="Times New Roman"/>
          <w:sz w:val="28"/>
          <w:szCs w:val="28"/>
          <w:lang w:val="sv-SE"/>
        </w:rPr>
        <w:t xml:space="preserve"> đối với thành viên, khách hàng của mình</w:t>
      </w:r>
      <w:r w:rsidR="00270B00" w:rsidRPr="00A46EAA">
        <w:rPr>
          <w:rFonts w:ascii="Times New Roman" w:hAnsi="Times New Roman" w:cs="Times New Roman"/>
          <w:sz w:val="28"/>
          <w:szCs w:val="28"/>
          <w:lang w:val="sv-SE"/>
        </w:rPr>
        <w:t xml:space="preserve">, tổ chức tài chính vi mô được làm đại lý thanh toán cho ngân hàng </w:t>
      </w:r>
      <w:r w:rsidR="00796D84">
        <w:rPr>
          <w:rFonts w:ascii="Times New Roman" w:hAnsi="Times New Roman" w:cs="Times New Roman"/>
          <w:sz w:val="28"/>
          <w:szCs w:val="28"/>
          <w:lang w:val="sv-SE"/>
        </w:rPr>
        <w:t xml:space="preserve">đối với khách hàng của mình </w:t>
      </w:r>
      <w:r w:rsidR="00270B00" w:rsidRPr="00A46EAA">
        <w:rPr>
          <w:rFonts w:ascii="Times New Roman" w:hAnsi="Times New Roman" w:cs="Times New Roman"/>
          <w:i/>
          <w:sz w:val="28"/>
          <w:szCs w:val="28"/>
          <w:lang w:val="sv-SE"/>
        </w:rPr>
        <w:t xml:space="preserve">(Tuy nhiên, việc </w:t>
      </w:r>
      <w:r w:rsidR="00270B00" w:rsidRPr="00A46EAA">
        <w:rPr>
          <w:rFonts w:ascii="Times New Roman" w:eastAsia="Times New Roman" w:hAnsi="Times New Roman" w:cs="Times New Roman"/>
          <w:i/>
          <w:sz w:val="28"/>
          <w:szCs w:val="28"/>
          <w:lang w:val="nl-NL"/>
        </w:rPr>
        <w:t>thực hiện hoạt động giao đại lý, làm đại lý thanh toán của NHTM, ngân hàng chính sách, ngân hàng hợp tác xã, chi nhánh ngân hàng nước ngoài, quỹ tín dụng nhân dân, tổ chức tài chính vi mô phải phù hợp với nội dung ghi trong Giấy phép thành lập và hoạt động hoặc Giấy phép thành lập hoặc Quyết định quy định về tổ chức và hoạt động của cấp có thẩm quyền quyết định)</w:t>
      </w:r>
      <w:r w:rsidR="00E438E5" w:rsidRPr="00A46EAA">
        <w:rPr>
          <w:rFonts w:ascii="Times New Roman" w:eastAsia="Calibri" w:hAnsi="Times New Roman" w:cs="Times New Roman"/>
          <w:sz w:val="28"/>
          <w:szCs w:val="28"/>
        </w:rPr>
        <w:t>.</w:t>
      </w:r>
    </w:p>
    <w:p w14:paraId="3EC6E8D8" w14:textId="77777777" w:rsidR="00200E21" w:rsidRPr="00A46EAA" w:rsidRDefault="00200E21" w:rsidP="00A46EAA">
      <w:pPr>
        <w:spacing w:before="120" w:after="120" w:line="266" w:lineRule="auto"/>
        <w:ind w:firstLine="720"/>
        <w:jc w:val="both"/>
        <w:rPr>
          <w:rFonts w:ascii="Times New Roman" w:hAnsi="Times New Roman" w:cs="Times New Roman"/>
          <w:sz w:val="28"/>
          <w:szCs w:val="28"/>
          <w:lang w:val="sv-SE"/>
        </w:rPr>
      </w:pPr>
      <w:r w:rsidRPr="00A46EAA">
        <w:rPr>
          <w:rFonts w:ascii="Times New Roman" w:eastAsia="Calibri" w:hAnsi="Times New Roman" w:cs="Times New Roman"/>
          <w:sz w:val="28"/>
          <w:szCs w:val="28"/>
        </w:rPr>
        <w:t xml:space="preserve">Đối với trường hợp tổ chức </w:t>
      </w:r>
      <w:r w:rsidR="00AA5665" w:rsidRPr="00A46EAA">
        <w:rPr>
          <w:rFonts w:ascii="Times New Roman" w:eastAsia="Calibri" w:hAnsi="Times New Roman" w:cs="Times New Roman"/>
          <w:sz w:val="28"/>
          <w:szCs w:val="28"/>
        </w:rPr>
        <w:t>làm đại lý</w:t>
      </w:r>
      <w:r w:rsidRPr="00A46EAA">
        <w:rPr>
          <w:rFonts w:ascii="Times New Roman" w:eastAsia="Calibri" w:hAnsi="Times New Roman" w:cs="Times New Roman"/>
          <w:sz w:val="28"/>
          <w:szCs w:val="28"/>
        </w:rPr>
        <w:t xml:space="preserve"> thanh toán không phải là tổ chức tín dụng, chi nhánh ngân hàng nước ngoài, dự thảo Thông tư quy định phù hợp với thực tế hiệ</w:t>
      </w:r>
      <w:r w:rsidR="00056F0D" w:rsidRPr="00A46EAA">
        <w:rPr>
          <w:rFonts w:ascii="Times New Roman" w:eastAsia="Calibri" w:hAnsi="Times New Roman" w:cs="Times New Roman"/>
          <w:sz w:val="28"/>
          <w:szCs w:val="28"/>
        </w:rPr>
        <w:t>n nay.</w:t>
      </w:r>
    </w:p>
    <w:p w14:paraId="6FDF7E0F" w14:textId="77777777" w:rsidR="005B0019" w:rsidRPr="00503D7A" w:rsidRDefault="00C54F14" w:rsidP="00A46EAA">
      <w:pPr>
        <w:spacing w:before="120" w:after="120" w:line="266" w:lineRule="auto"/>
        <w:ind w:firstLine="709"/>
        <w:jc w:val="both"/>
        <w:rPr>
          <w:rFonts w:ascii="Times New Roman" w:hAnsi="Times New Roman" w:cs="Times New Roman"/>
          <w:b/>
          <w:i/>
          <w:sz w:val="28"/>
          <w:szCs w:val="28"/>
        </w:rPr>
      </w:pPr>
      <w:r w:rsidRPr="00503D7A">
        <w:rPr>
          <w:rFonts w:ascii="Times New Roman" w:hAnsi="Times New Roman" w:cs="Times New Roman"/>
          <w:b/>
          <w:i/>
          <w:sz w:val="28"/>
          <w:szCs w:val="28"/>
        </w:rPr>
        <w:t>2.</w:t>
      </w:r>
      <w:r w:rsidR="00C449C9" w:rsidRPr="00503D7A">
        <w:rPr>
          <w:rFonts w:ascii="Times New Roman" w:hAnsi="Times New Roman" w:cs="Times New Roman"/>
          <w:b/>
          <w:i/>
          <w:sz w:val="28"/>
          <w:szCs w:val="28"/>
        </w:rPr>
        <w:t>2</w:t>
      </w:r>
      <w:r w:rsidRPr="00503D7A">
        <w:rPr>
          <w:rFonts w:ascii="Times New Roman" w:hAnsi="Times New Roman" w:cs="Times New Roman"/>
          <w:b/>
          <w:i/>
          <w:sz w:val="28"/>
          <w:szCs w:val="28"/>
        </w:rPr>
        <w:t>.</w:t>
      </w:r>
      <w:r w:rsidR="0034409C" w:rsidRPr="00503D7A">
        <w:rPr>
          <w:rFonts w:ascii="Times New Roman" w:hAnsi="Times New Roman" w:cs="Times New Roman"/>
          <w:b/>
          <w:i/>
          <w:sz w:val="28"/>
          <w:szCs w:val="28"/>
        </w:rPr>
        <w:t xml:space="preserve"> </w:t>
      </w:r>
      <w:r w:rsidR="00ED4341" w:rsidRPr="00503D7A">
        <w:rPr>
          <w:rFonts w:ascii="Times New Roman" w:hAnsi="Times New Roman" w:cs="Times New Roman"/>
          <w:b/>
          <w:i/>
          <w:sz w:val="28"/>
          <w:szCs w:val="28"/>
        </w:rPr>
        <w:t>Về n</w:t>
      </w:r>
      <w:r w:rsidR="00540D9F" w:rsidRPr="00503D7A">
        <w:rPr>
          <w:rFonts w:ascii="Times New Roman" w:hAnsi="Times New Roman" w:cs="Times New Roman"/>
          <w:b/>
          <w:i/>
          <w:sz w:val="28"/>
          <w:szCs w:val="28"/>
        </w:rPr>
        <w:t xml:space="preserve">ội dung quy định tại Chương </w:t>
      </w:r>
      <w:r w:rsidR="00C449C9" w:rsidRPr="00503D7A">
        <w:rPr>
          <w:rFonts w:ascii="Times New Roman" w:hAnsi="Times New Roman" w:cs="Times New Roman"/>
          <w:b/>
          <w:i/>
          <w:sz w:val="28"/>
          <w:szCs w:val="28"/>
        </w:rPr>
        <w:t>II</w:t>
      </w:r>
    </w:p>
    <w:p w14:paraId="6BF3EC40" w14:textId="77777777" w:rsidR="00540D9F" w:rsidRDefault="00540D9F" w:rsidP="00A46EAA">
      <w:pPr>
        <w:spacing w:before="120" w:after="120" w:line="266" w:lineRule="auto"/>
        <w:ind w:firstLine="709"/>
        <w:jc w:val="both"/>
        <w:rPr>
          <w:rFonts w:ascii="Times New Roman" w:hAnsi="Times New Roman" w:cs="Times New Roman"/>
          <w:sz w:val="28"/>
          <w:szCs w:val="28"/>
        </w:rPr>
      </w:pPr>
      <w:r w:rsidRPr="00A46EAA">
        <w:rPr>
          <w:rFonts w:ascii="Times New Roman" w:hAnsi="Times New Roman" w:cs="Times New Roman"/>
          <w:sz w:val="28"/>
          <w:szCs w:val="28"/>
        </w:rPr>
        <w:t>Tại Chương I</w:t>
      </w:r>
      <w:r w:rsidR="007A3515">
        <w:rPr>
          <w:rFonts w:ascii="Times New Roman" w:hAnsi="Times New Roman" w:cs="Times New Roman"/>
          <w:sz w:val="28"/>
          <w:szCs w:val="28"/>
        </w:rPr>
        <w:t>I</w:t>
      </w:r>
      <w:r w:rsidRPr="00A46EAA">
        <w:rPr>
          <w:rFonts w:ascii="Times New Roman" w:hAnsi="Times New Roman" w:cs="Times New Roman"/>
          <w:sz w:val="28"/>
          <w:szCs w:val="28"/>
        </w:rPr>
        <w:t xml:space="preserve"> </w:t>
      </w:r>
      <w:r w:rsidR="002C437A" w:rsidRPr="00A46EAA">
        <w:rPr>
          <w:rFonts w:ascii="Times New Roman" w:hAnsi="Times New Roman" w:cs="Times New Roman"/>
          <w:sz w:val="28"/>
          <w:szCs w:val="28"/>
        </w:rPr>
        <w:t xml:space="preserve">dự thảo </w:t>
      </w:r>
      <w:r w:rsidRPr="00A46EAA">
        <w:rPr>
          <w:rFonts w:ascii="Times New Roman" w:hAnsi="Times New Roman" w:cs="Times New Roman"/>
          <w:sz w:val="28"/>
          <w:szCs w:val="28"/>
        </w:rPr>
        <w:t xml:space="preserve">đã quy định về </w:t>
      </w:r>
      <w:r w:rsidR="00C449C9" w:rsidRPr="00A46EAA">
        <w:rPr>
          <w:rFonts w:ascii="Times New Roman" w:hAnsi="Times New Roman" w:cs="Times New Roman"/>
          <w:sz w:val="28"/>
          <w:szCs w:val="28"/>
        </w:rPr>
        <w:t>cụ thể về</w:t>
      </w:r>
      <w:r w:rsidRPr="00A46EAA">
        <w:rPr>
          <w:rFonts w:ascii="Times New Roman" w:hAnsi="Times New Roman" w:cs="Times New Roman"/>
          <w:sz w:val="28"/>
          <w:szCs w:val="28"/>
        </w:rPr>
        <w:t xml:space="preserve">: </w:t>
      </w:r>
      <w:r w:rsidR="00D012B0">
        <w:rPr>
          <w:rFonts w:ascii="Times New Roman" w:hAnsi="Times New Roman" w:cs="Times New Roman"/>
          <w:sz w:val="28"/>
          <w:szCs w:val="28"/>
        </w:rPr>
        <w:t xml:space="preserve">các nội dung giao đại lý thanh toán, hạn mức  giao dịch, hoạt động của </w:t>
      </w:r>
      <w:r w:rsidR="00C449C9" w:rsidRPr="00A46EAA">
        <w:rPr>
          <w:rFonts w:ascii="Times New Roman" w:hAnsi="Times New Roman" w:cs="Times New Roman"/>
          <w:sz w:val="28"/>
          <w:szCs w:val="28"/>
        </w:rPr>
        <w:t>bên giao đại lý</w:t>
      </w:r>
      <w:r w:rsidR="00E52D6B" w:rsidRPr="00A46EAA">
        <w:rPr>
          <w:rFonts w:ascii="Times New Roman" w:hAnsi="Times New Roman" w:cs="Times New Roman"/>
          <w:sz w:val="28"/>
          <w:szCs w:val="28"/>
        </w:rPr>
        <w:t>;</w:t>
      </w:r>
      <w:r w:rsidR="00C449C9" w:rsidRPr="00A46EAA">
        <w:rPr>
          <w:rFonts w:ascii="Times New Roman" w:hAnsi="Times New Roman" w:cs="Times New Roman"/>
          <w:sz w:val="28"/>
          <w:szCs w:val="28"/>
        </w:rPr>
        <w:t xml:space="preserve"> bên đại lý</w:t>
      </w:r>
      <w:r w:rsidR="00E52D6B" w:rsidRPr="00A46EAA">
        <w:rPr>
          <w:rFonts w:ascii="Times New Roman" w:hAnsi="Times New Roman" w:cs="Times New Roman"/>
          <w:sz w:val="28"/>
          <w:szCs w:val="28"/>
        </w:rPr>
        <w:t>;</w:t>
      </w:r>
      <w:r w:rsidR="00C449C9" w:rsidRPr="00A46EAA">
        <w:rPr>
          <w:rFonts w:ascii="Times New Roman" w:hAnsi="Times New Roman" w:cs="Times New Roman"/>
          <w:sz w:val="28"/>
          <w:szCs w:val="28"/>
        </w:rPr>
        <w:t xml:space="preserve"> nguyên tắc thực hiện hoạt động giao đại lý thanh toán</w:t>
      </w:r>
      <w:r w:rsidR="00E52D6B" w:rsidRPr="00A46EAA">
        <w:rPr>
          <w:rFonts w:ascii="Times New Roman" w:hAnsi="Times New Roman" w:cs="Times New Roman"/>
          <w:sz w:val="28"/>
          <w:szCs w:val="28"/>
        </w:rPr>
        <w:t>;</w:t>
      </w:r>
      <w:r w:rsidR="00C449C9" w:rsidRPr="00A46EAA">
        <w:rPr>
          <w:rFonts w:ascii="Times New Roman" w:hAnsi="Times New Roman" w:cs="Times New Roman"/>
          <w:sz w:val="28"/>
          <w:szCs w:val="28"/>
        </w:rPr>
        <w:t xml:space="preserve"> hợp đồng thực hiện hoạt động giao đại lý thanh toán; </w:t>
      </w:r>
      <w:r w:rsidR="00D012B0">
        <w:rPr>
          <w:rFonts w:ascii="Times New Roman" w:hAnsi="Times New Roman" w:cs="Times New Roman"/>
          <w:sz w:val="28"/>
          <w:szCs w:val="28"/>
        </w:rPr>
        <w:t>quyền và nghĩa vụ của các bên</w:t>
      </w:r>
      <w:r w:rsidR="00C449C9" w:rsidRPr="00A46EAA">
        <w:rPr>
          <w:rFonts w:ascii="Times New Roman" w:hAnsi="Times New Roman" w:cs="Times New Roman"/>
          <w:sz w:val="28"/>
          <w:szCs w:val="28"/>
        </w:rPr>
        <w:t>.</w:t>
      </w:r>
      <w:r w:rsidRPr="00A46EAA">
        <w:rPr>
          <w:rFonts w:ascii="Times New Roman" w:hAnsi="Times New Roman" w:cs="Times New Roman"/>
          <w:sz w:val="28"/>
          <w:szCs w:val="28"/>
        </w:rPr>
        <w:t xml:space="preserve"> </w:t>
      </w:r>
      <w:r w:rsidR="008C0450">
        <w:rPr>
          <w:rFonts w:ascii="Times New Roman" w:hAnsi="Times New Roman" w:cs="Times New Roman"/>
          <w:sz w:val="28"/>
          <w:szCs w:val="28"/>
        </w:rPr>
        <w:t>Cụ thể như sau:</w:t>
      </w:r>
    </w:p>
    <w:p w14:paraId="07BB352F" w14:textId="77777777" w:rsidR="0068509B" w:rsidRDefault="008C0450" w:rsidP="00C5048A">
      <w:pPr>
        <w:shd w:val="clear" w:color="auto" w:fill="FFFFFF"/>
        <w:spacing w:before="120" w:after="120" w:line="266" w:lineRule="auto"/>
        <w:ind w:firstLine="720"/>
        <w:jc w:val="both"/>
        <w:rPr>
          <w:rFonts w:ascii="Times New Roman" w:hAnsi="Times New Roman" w:cs="Times New Roman"/>
          <w:sz w:val="28"/>
          <w:szCs w:val="28"/>
        </w:rPr>
      </w:pPr>
      <w:r w:rsidRPr="00503D7A">
        <w:rPr>
          <w:rFonts w:ascii="Times New Roman" w:hAnsi="Times New Roman" w:cs="Times New Roman"/>
          <w:b/>
          <w:i/>
          <w:sz w:val="28"/>
          <w:szCs w:val="28"/>
        </w:rPr>
        <w:t>a) Về nội dung giao đại lý:</w:t>
      </w:r>
      <w:r>
        <w:rPr>
          <w:rFonts w:ascii="Times New Roman" w:hAnsi="Times New Roman" w:cs="Times New Roman"/>
          <w:sz w:val="28"/>
          <w:szCs w:val="28"/>
        </w:rPr>
        <w:t xml:space="preserve"> </w:t>
      </w:r>
    </w:p>
    <w:p w14:paraId="33F40F23" w14:textId="77777777" w:rsidR="00C5048A" w:rsidRDefault="00C5048A" w:rsidP="00C5048A">
      <w:pPr>
        <w:shd w:val="clear" w:color="auto" w:fill="FFFFFF"/>
        <w:spacing w:before="120" w:after="120" w:line="26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Dự thảo Thông tư quy định một số nghiệp vụ được giao đại lý thanh toán bao gồm: </w:t>
      </w:r>
    </w:p>
    <w:p w14:paraId="34F57AFF" w14:textId="77777777" w:rsidR="00C5048A" w:rsidRDefault="00C5048A" w:rsidP="00C5048A">
      <w:pPr>
        <w:shd w:val="clear" w:color="auto" w:fill="FFFFFF"/>
        <w:spacing w:before="120" w:after="120" w:line="266" w:lineRule="auto"/>
        <w:ind w:firstLine="720"/>
        <w:jc w:val="both"/>
        <w:rPr>
          <w:rFonts w:ascii="Times New Roman" w:hAnsi="Times New Roman" w:cs="Times New Roman"/>
          <w:sz w:val="28"/>
          <w:szCs w:val="28"/>
          <w:lang w:val="pt-BR"/>
        </w:rPr>
      </w:pPr>
      <w:r w:rsidRPr="00C5048A">
        <w:rPr>
          <w:rFonts w:ascii="Times New Roman" w:hAnsi="Times New Roman" w:cs="Times New Roman"/>
          <w:i/>
          <w:sz w:val="28"/>
          <w:szCs w:val="28"/>
        </w:rPr>
        <w:t>(</w:t>
      </w:r>
      <w:r w:rsidRPr="00C5048A">
        <w:rPr>
          <w:rFonts w:ascii="Times New Roman" w:hAnsi="Times New Roman" w:cs="Times New Roman"/>
          <w:i/>
          <w:sz w:val="28"/>
          <w:szCs w:val="28"/>
          <w:lang w:val="pt-BR"/>
        </w:rPr>
        <w:t>1)</w:t>
      </w:r>
      <w:r w:rsidRPr="00325840">
        <w:rPr>
          <w:rFonts w:ascii="Times New Roman" w:hAnsi="Times New Roman" w:cs="Times New Roman"/>
          <w:sz w:val="28"/>
          <w:szCs w:val="28"/>
          <w:lang w:val="pt-BR"/>
        </w:rPr>
        <w:t xml:space="preserve"> Nhận hồ sơ mở tài khoản thanh toán, kiểm tra, xác minh thông tin nhận biết khách hàng để gửi cho bên giao đại lý và hướng dẫn khách hàng sử dụng tài khoản thanh toán</w:t>
      </w:r>
      <w:r>
        <w:rPr>
          <w:rFonts w:ascii="Times New Roman" w:hAnsi="Times New Roman" w:cs="Times New Roman"/>
          <w:sz w:val="28"/>
          <w:szCs w:val="28"/>
          <w:lang w:val="pt-BR"/>
        </w:rPr>
        <w:t xml:space="preserve">; </w:t>
      </w:r>
    </w:p>
    <w:p w14:paraId="487C54D7" w14:textId="77777777" w:rsidR="00C5048A" w:rsidRDefault="00C5048A" w:rsidP="00C5048A">
      <w:pPr>
        <w:shd w:val="clear" w:color="auto" w:fill="FFFFFF"/>
        <w:spacing w:before="120" w:after="120" w:line="266" w:lineRule="auto"/>
        <w:ind w:firstLine="720"/>
        <w:jc w:val="both"/>
        <w:rPr>
          <w:rFonts w:ascii="Times New Roman" w:hAnsi="Times New Roman" w:cs="Times New Roman"/>
          <w:sz w:val="28"/>
          <w:szCs w:val="28"/>
          <w:lang w:val="pt-BR"/>
        </w:rPr>
      </w:pPr>
      <w:r w:rsidRPr="00C5048A">
        <w:rPr>
          <w:rFonts w:ascii="Times New Roman" w:hAnsi="Times New Roman" w:cs="Times New Roman"/>
          <w:i/>
          <w:sz w:val="28"/>
          <w:szCs w:val="28"/>
          <w:lang w:val="pt-BR"/>
        </w:rPr>
        <w:t>(2)</w:t>
      </w:r>
      <w:r w:rsidRPr="00325840">
        <w:rPr>
          <w:rFonts w:ascii="Times New Roman" w:hAnsi="Times New Roman" w:cs="Times New Roman"/>
          <w:sz w:val="28"/>
          <w:szCs w:val="28"/>
          <w:lang w:val="pt-BR"/>
        </w:rPr>
        <w:t xml:space="preserve"> Nhận hồ sơ phát hành thẻ ngân hàng, kiểm tra, xác minh thông tin khách hàng để gửi cho bên giao đại lý và hướng dẫn khách hàng sử dụng thẻ</w:t>
      </w:r>
      <w:r>
        <w:rPr>
          <w:rFonts w:ascii="Times New Roman" w:hAnsi="Times New Roman" w:cs="Times New Roman"/>
          <w:sz w:val="28"/>
          <w:szCs w:val="28"/>
          <w:lang w:val="pt-BR"/>
        </w:rPr>
        <w:t xml:space="preserve"> ngân hàng; </w:t>
      </w:r>
    </w:p>
    <w:p w14:paraId="64CF8B87" w14:textId="77777777" w:rsidR="00C5048A" w:rsidRDefault="00C5048A" w:rsidP="00C5048A">
      <w:pPr>
        <w:shd w:val="clear" w:color="auto" w:fill="FFFFFF"/>
        <w:spacing w:before="120" w:after="120" w:line="266" w:lineRule="auto"/>
        <w:ind w:firstLine="720"/>
        <w:jc w:val="both"/>
        <w:rPr>
          <w:rFonts w:ascii="Times New Roman" w:hAnsi="Times New Roman" w:cs="Times New Roman"/>
          <w:sz w:val="28"/>
          <w:szCs w:val="28"/>
          <w:lang w:val="pt-BR"/>
        </w:rPr>
      </w:pPr>
      <w:r w:rsidRPr="00C5048A">
        <w:rPr>
          <w:rFonts w:ascii="Times New Roman" w:hAnsi="Times New Roman" w:cs="Times New Roman"/>
          <w:i/>
          <w:sz w:val="28"/>
          <w:szCs w:val="28"/>
          <w:lang w:val="pt-BR"/>
        </w:rPr>
        <w:t>(3)</w:t>
      </w:r>
      <w:r w:rsidRPr="00325840">
        <w:rPr>
          <w:rFonts w:ascii="Times New Roman" w:hAnsi="Times New Roman" w:cs="Times New Roman"/>
          <w:sz w:val="28"/>
          <w:szCs w:val="28"/>
          <w:lang w:val="pt-BR"/>
        </w:rPr>
        <w:t xml:space="preserve"> Tiếp nhận yêu cầu cung cấp dịch vụ của khách hàng, lập, ký, kiểm soát, xử lý chứng từ giao dịch của khách hàng, chuyển thông tin giao dịch của khách hàng cho bên giao đại lý, nhận tiền mặt từ khách hàng hoặc trả tiền mặt cho khách hàng nhằm thực hiện các giao dịch:</w:t>
      </w:r>
      <w:r w:rsidRPr="00325840">
        <w:rPr>
          <w:rFonts w:ascii="Times New Roman" w:hAnsi="Times New Roman" w:cs="Times New Roman"/>
        </w:rPr>
        <w:t xml:space="preserve"> </w:t>
      </w:r>
      <w:r w:rsidRPr="00C5048A">
        <w:rPr>
          <w:rFonts w:ascii="Times New Roman" w:hAnsi="Times New Roman" w:cs="Times New Roman"/>
          <w:i/>
          <w:sz w:val="28"/>
          <w:szCs w:val="28"/>
        </w:rPr>
        <w:t>(</w:t>
      </w:r>
      <w:r w:rsidRPr="00C5048A">
        <w:rPr>
          <w:rFonts w:ascii="Times New Roman" w:hAnsi="Times New Roman" w:cs="Times New Roman"/>
          <w:i/>
          <w:sz w:val="28"/>
          <w:szCs w:val="28"/>
          <w:lang w:val="pt-BR"/>
        </w:rPr>
        <w:t>i)</w:t>
      </w:r>
      <w:r w:rsidRPr="00325840">
        <w:rPr>
          <w:rFonts w:ascii="Times New Roman" w:hAnsi="Times New Roman" w:cs="Times New Roman"/>
          <w:sz w:val="28"/>
          <w:szCs w:val="28"/>
          <w:lang w:val="pt-BR"/>
        </w:rPr>
        <w:t xml:space="preserve"> Nộp/rút tiền mặt vào/từ tài khoản thanh toán của khách hàng mở tại bên giao đại lý;</w:t>
      </w:r>
      <w:r>
        <w:rPr>
          <w:rFonts w:ascii="Times New Roman" w:hAnsi="Times New Roman" w:cs="Times New Roman"/>
          <w:sz w:val="28"/>
          <w:szCs w:val="28"/>
          <w:lang w:val="pt-BR"/>
        </w:rPr>
        <w:t xml:space="preserve"> </w:t>
      </w:r>
      <w:r w:rsidRPr="00C5048A">
        <w:rPr>
          <w:rFonts w:ascii="Times New Roman" w:hAnsi="Times New Roman" w:cs="Times New Roman"/>
          <w:i/>
          <w:sz w:val="28"/>
          <w:szCs w:val="28"/>
          <w:lang w:val="pt-BR"/>
        </w:rPr>
        <w:t>(ii)</w:t>
      </w:r>
      <w:r w:rsidRPr="00325840">
        <w:rPr>
          <w:rFonts w:ascii="Times New Roman" w:hAnsi="Times New Roman" w:cs="Times New Roman"/>
          <w:sz w:val="28"/>
          <w:szCs w:val="28"/>
          <w:lang w:val="pt-BR"/>
        </w:rPr>
        <w:t xml:space="preserve"> Nộp tiền mặt vào thẻ trả trước định danh của khách hàng do bên giao đại lý phát hành;</w:t>
      </w:r>
      <w:r>
        <w:rPr>
          <w:rFonts w:ascii="Times New Roman" w:hAnsi="Times New Roman" w:cs="Times New Roman"/>
          <w:sz w:val="28"/>
          <w:szCs w:val="28"/>
          <w:lang w:val="pt-BR"/>
        </w:rPr>
        <w:t xml:space="preserve"> </w:t>
      </w:r>
      <w:r w:rsidRPr="00C5048A">
        <w:rPr>
          <w:rFonts w:ascii="Times New Roman" w:hAnsi="Times New Roman" w:cs="Times New Roman"/>
          <w:i/>
          <w:sz w:val="28"/>
          <w:szCs w:val="28"/>
          <w:lang w:val="pt-BR"/>
        </w:rPr>
        <w:t>(iii)</w:t>
      </w:r>
      <w:r w:rsidRPr="00325840">
        <w:rPr>
          <w:rFonts w:ascii="Times New Roman" w:hAnsi="Times New Roman" w:cs="Times New Roman"/>
          <w:sz w:val="28"/>
          <w:szCs w:val="28"/>
          <w:lang w:val="pt-BR"/>
        </w:rPr>
        <w:t xml:space="preserve"> Nộp tiền mặt để thanh toán dư nợ thẻ tín dụng của khách hàng do bên giao đại lý phát hành;</w:t>
      </w:r>
      <w:r>
        <w:rPr>
          <w:rFonts w:ascii="Times New Roman" w:hAnsi="Times New Roman" w:cs="Times New Roman"/>
          <w:sz w:val="28"/>
          <w:szCs w:val="28"/>
          <w:lang w:val="pt-BR"/>
        </w:rPr>
        <w:t xml:space="preserve"> </w:t>
      </w:r>
      <w:r w:rsidRPr="00C5048A">
        <w:rPr>
          <w:rFonts w:ascii="Times New Roman" w:hAnsi="Times New Roman" w:cs="Times New Roman"/>
          <w:i/>
          <w:sz w:val="28"/>
          <w:szCs w:val="28"/>
          <w:lang w:val="pt-BR"/>
        </w:rPr>
        <w:t>(iv)</w:t>
      </w:r>
      <w:r w:rsidRPr="00325840">
        <w:rPr>
          <w:rFonts w:ascii="Times New Roman" w:hAnsi="Times New Roman" w:cs="Times New Roman"/>
          <w:sz w:val="28"/>
          <w:szCs w:val="28"/>
          <w:lang w:val="pt-BR"/>
        </w:rPr>
        <w:t xml:space="preserve"> Thực hiện dịch vụ thanh toán lệnh chi, ủy nhiệm chi, nhờ thu, ủy nhiệm thu, chuyển tiền, thu hộ, chi hộ.</w:t>
      </w:r>
    </w:p>
    <w:p w14:paraId="0928A891" w14:textId="2C47D673" w:rsidR="007B696F" w:rsidRPr="008E38BA" w:rsidRDefault="00C5048A" w:rsidP="00503D7A">
      <w:pPr>
        <w:spacing w:before="120" w:after="120"/>
        <w:ind w:firstLine="720"/>
        <w:jc w:val="both"/>
        <w:rPr>
          <w:rFonts w:ascii="Times New Roman" w:hAnsi="Times New Roman" w:cs="Times New Roman"/>
          <w:bCs/>
          <w:color w:val="000000"/>
          <w:sz w:val="28"/>
          <w:szCs w:val="28"/>
          <w:lang w:val="nl-NL"/>
        </w:rPr>
      </w:pPr>
      <w:r w:rsidRPr="007B696F">
        <w:rPr>
          <w:rFonts w:ascii="Times New Roman" w:hAnsi="Times New Roman" w:cs="Times New Roman"/>
          <w:sz w:val="28"/>
          <w:szCs w:val="28"/>
          <w:lang w:val="pt-BR"/>
        </w:rPr>
        <w:t xml:space="preserve">Đây là những </w:t>
      </w:r>
      <w:r w:rsidR="00153E3F" w:rsidRPr="007B696F">
        <w:rPr>
          <w:rFonts w:ascii="Times New Roman" w:hAnsi="Times New Roman" w:cs="Times New Roman"/>
          <w:sz w:val="28"/>
          <w:szCs w:val="28"/>
          <w:lang w:val="pt-BR"/>
        </w:rPr>
        <w:t>những dịch vụ được quy định trong dự thảo Nghị định thay thế Nghị định số 101/2012/NĐ-CP về thanh toán không dùng tiền mặ</w:t>
      </w:r>
      <w:r w:rsidR="00503D7A">
        <w:rPr>
          <w:rFonts w:ascii="Times New Roman" w:hAnsi="Times New Roman" w:cs="Times New Roman"/>
          <w:sz w:val="28"/>
          <w:szCs w:val="28"/>
          <w:lang w:val="pt-BR"/>
        </w:rPr>
        <w:t>t. Việc giao đại lý đối với các dịch vụ này giúp các ngân hàng, chi nhánh ngân hàng nước ngoài</w:t>
      </w:r>
      <w:r w:rsidR="007B696F" w:rsidRPr="007B696F">
        <w:rPr>
          <w:rFonts w:ascii="Times New Roman" w:hAnsi="Times New Roman" w:cs="Times New Roman"/>
          <w:color w:val="000000"/>
          <w:sz w:val="28"/>
          <w:szCs w:val="28"/>
          <w:lang w:val="nl-NL"/>
        </w:rPr>
        <w:t xml:space="preserve"> tăng cường tiếp cận, gia tăng lượng khách hàng mà không cần phải mở rộng mạng lưới chi nhánh/phòng giao dịch, giúp tiết kiệm chi phí và nâng cao hiệu quả kinh doanh dịch vụ. Mặt khác, </w:t>
      </w:r>
      <w:r w:rsidR="00503D7A">
        <w:rPr>
          <w:rFonts w:ascii="Times New Roman" w:hAnsi="Times New Roman" w:cs="Times New Roman"/>
          <w:color w:val="000000"/>
          <w:sz w:val="28"/>
          <w:szCs w:val="28"/>
          <w:lang w:val="nl-NL"/>
        </w:rPr>
        <w:t>hoạt động này cũng giúp các ngân hàng</w:t>
      </w:r>
      <w:r w:rsidR="007B696F" w:rsidRPr="007B696F">
        <w:rPr>
          <w:rFonts w:ascii="Times New Roman" w:hAnsi="Times New Roman" w:cs="Times New Roman"/>
          <w:color w:val="000000"/>
          <w:sz w:val="28"/>
          <w:szCs w:val="28"/>
          <w:lang w:val="nl-NL"/>
        </w:rPr>
        <w:t xml:space="preserve"> có mạng lưới hẹp </w:t>
      </w:r>
      <w:r w:rsidR="00503D7A">
        <w:rPr>
          <w:rFonts w:ascii="Times New Roman" w:hAnsi="Times New Roman" w:cs="Times New Roman"/>
          <w:color w:val="000000"/>
          <w:sz w:val="28"/>
          <w:szCs w:val="28"/>
          <w:lang w:val="nl-NL"/>
        </w:rPr>
        <w:t>có thể</w:t>
      </w:r>
      <w:r w:rsidR="007B696F" w:rsidRPr="007B696F">
        <w:rPr>
          <w:rFonts w:ascii="Times New Roman" w:hAnsi="Times New Roman" w:cs="Times New Roman"/>
          <w:color w:val="000000"/>
          <w:sz w:val="28"/>
          <w:szCs w:val="28"/>
          <w:lang w:val="nl-NL"/>
        </w:rPr>
        <w:t xml:space="preserve"> giao đại lý cho các ngân hàng</w:t>
      </w:r>
      <w:r w:rsidR="00503D7A">
        <w:rPr>
          <w:rFonts w:ascii="Times New Roman" w:hAnsi="Times New Roman" w:cs="Times New Roman"/>
          <w:color w:val="000000"/>
          <w:sz w:val="28"/>
          <w:szCs w:val="28"/>
          <w:lang w:val="nl-NL"/>
        </w:rPr>
        <w:t>, tổ chức</w:t>
      </w:r>
      <w:r w:rsidR="007B696F" w:rsidRPr="007B696F">
        <w:rPr>
          <w:rFonts w:ascii="Times New Roman" w:hAnsi="Times New Roman" w:cs="Times New Roman"/>
          <w:color w:val="000000"/>
          <w:sz w:val="28"/>
          <w:szCs w:val="28"/>
          <w:lang w:val="nl-NL"/>
        </w:rPr>
        <w:t xml:space="preserve"> khác có mạng lưới rộng hơn thực hiện một số nghiệp vụ cho khách hàng ở những địa bàn mà các chi nhánh này chưa vươn tới</w:t>
      </w:r>
      <w:r w:rsidR="00503D7A">
        <w:rPr>
          <w:rFonts w:ascii="Times New Roman" w:hAnsi="Times New Roman" w:cs="Times New Roman"/>
          <w:color w:val="000000"/>
          <w:sz w:val="28"/>
          <w:szCs w:val="28"/>
          <w:lang w:val="nl-NL"/>
        </w:rPr>
        <w:t>. Qua giúp các</w:t>
      </w:r>
      <w:r w:rsidR="007B696F" w:rsidRPr="007B696F">
        <w:rPr>
          <w:rFonts w:ascii="Times New Roman" w:hAnsi="Times New Roman" w:cs="Times New Roman"/>
          <w:bCs/>
          <w:color w:val="000000"/>
          <w:sz w:val="28"/>
          <w:szCs w:val="28"/>
          <w:lang w:val="nl-NL"/>
        </w:rPr>
        <w:t xml:space="preserve"> ngân hàng cung ứng những dịch vụ tài chính cơ bản cho khách hàng tại vùng sâu, vùng xa với chi phí thấp, giúp giảm thời gian đi lại của khách hàng.</w:t>
      </w:r>
      <w:r w:rsidR="00554319">
        <w:rPr>
          <w:rFonts w:ascii="Times New Roman" w:hAnsi="Times New Roman" w:cs="Times New Roman"/>
          <w:bCs/>
          <w:color w:val="000000"/>
          <w:sz w:val="28"/>
          <w:szCs w:val="28"/>
          <w:lang w:val="nl-NL"/>
        </w:rPr>
        <w:t xml:space="preserve"> Các nội dung này cũng phù hợp với nhu cầu thực tế tại Việt Nam, như: MB đang phối hợp với Viettel triển khai nội dung (1) và (2); các mô hình thí điểm điểm triển khai nội dung (3). Ngoài ra, </w:t>
      </w:r>
      <w:r w:rsidR="00F97553">
        <w:rPr>
          <w:rFonts w:ascii="Times New Roman" w:hAnsi="Times New Roman" w:cs="Times New Roman"/>
          <w:bCs/>
          <w:color w:val="000000"/>
          <w:sz w:val="28"/>
          <w:szCs w:val="28"/>
          <w:lang w:val="nl-NL"/>
        </w:rPr>
        <w:t xml:space="preserve">những nội dung này cũng được một số nước </w:t>
      </w:r>
      <w:r w:rsidR="008E38BA">
        <w:rPr>
          <w:rFonts w:ascii="Times New Roman" w:hAnsi="Times New Roman" w:cs="Times New Roman"/>
          <w:bCs/>
          <w:color w:val="000000"/>
          <w:sz w:val="28"/>
          <w:szCs w:val="28"/>
          <w:lang w:val="nl-NL"/>
        </w:rPr>
        <w:t xml:space="preserve">áp dụng, như: Malaysia cho phép giao đại lý đối với các dịch vụ: </w:t>
      </w:r>
      <w:r w:rsidR="008E38BA">
        <w:rPr>
          <w:rFonts w:ascii="Times New Roman" w:eastAsia="Times New Roman" w:hAnsi="Times New Roman" w:cs="Times New Roman"/>
          <w:color w:val="000000" w:themeColor="text1"/>
          <w:sz w:val="28"/>
          <w:szCs w:val="28"/>
          <w:lang w:eastAsia="vi-VN"/>
        </w:rPr>
        <w:t>n</w:t>
      </w:r>
      <w:r w:rsidR="008E38BA" w:rsidRPr="00B321F1">
        <w:rPr>
          <w:rFonts w:ascii="Times New Roman" w:eastAsia="Times New Roman" w:hAnsi="Times New Roman" w:cs="Times New Roman"/>
          <w:color w:val="000000" w:themeColor="text1"/>
          <w:sz w:val="28"/>
          <w:szCs w:val="28"/>
          <w:lang w:eastAsia="vi-VN"/>
        </w:rPr>
        <w:t>ộp tiền, rút tiền, chuyển tiền, trả nợ vay và thanh toán các nghĩa vụ tài chính</w:t>
      </w:r>
      <w:r w:rsidR="008E38BA">
        <w:rPr>
          <w:rFonts w:ascii="Times New Roman" w:eastAsia="Times New Roman" w:hAnsi="Times New Roman" w:cs="Times New Roman"/>
          <w:color w:val="000000" w:themeColor="text1"/>
          <w:sz w:val="28"/>
          <w:szCs w:val="28"/>
          <w:lang w:eastAsia="vi-VN"/>
        </w:rPr>
        <w:t>,</w:t>
      </w:r>
      <w:r w:rsidR="008E38BA" w:rsidRPr="00B321F1">
        <w:rPr>
          <w:rFonts w:ascii="Times New Roman" w:eastAsia="Times New Roman" w:hAnsi="Times New Roman" w:cs="Times New Roman"/>
          <w:color w:val="000000" w:themeColor="text1"/>
          <w:sz w:val="28"/>
          <w:szCs w:val="28"/>
          <w:lang w:eastAsia="vi-VN"/>
        </w:rPr>
        <w:t xml:space="preserve"> thanh toán hoá đơn</w:t>
      </w:r>
      <w:r w:rsidR="008E38BA">
        <w:rPr>
          <w:rFonts w:ascii="Times New Roman" w:eastAsia="Times New Roman" w:hAnsi="Times New Roman" w:cs="Times New Roman"/>
          <w:color w:val="000000" w:themeColor="text1"/>
          <w:sz w:val="28"/>
          <w:szCs w:val="28"/>
          <w:lang w:eastAsia="vi-VN"/>
        </w:rPr>
        <w:t>; Bra</w:t>
      </w:r>
      <w:r w:rsidR="00883332">
        <w:rPr>
          <w:rFonts w:ascii="Times New Roman" w:eastAsia="Times New Roman" w:hAnsi="Times New Roman" w:cs="Times New Roman"/>
          <w:color w:val="000000" w:themeColor="text1"/>
          <w:sz w:val="28"/>
          <w:szCs w:val="28"/>
          <w:lang w:eastAsia="vi-VN"/>
        </w:rPr>
        <w:t>z</w:t>
      </w:r>
      <w:r w:rsidR="008E38BA">
        <w:rPr>
          <w:rFonts w:ascii="Times New Roman" w:eastAsia="Times New Roman" w:hAnsi="Times New Roman" w:cs="Times New Roman"/>
          <w:color w:val="000000" w:themeColor="text1"/>
          <w:sz w:val="28"/>
          <w:szCs w:val="28"/>
          <w:lang w:eastAsia="vi-VN"/>
        </w:rPr>
        <w:t xml:space="preserve">il cho phép giao đại lý đối với các dịch vụ: </w:t>
      </w:r>
      <w:r w:rsidR="008E38BA" w:rsidRPr="0048756C">
        <w:rPr>
          <w:rFonts w:ascii="Times New Roman" w:eastAsia="Cambria" w:hAnsi="Times New Roman" w:cs="Times New Roman"/>
          <w:color w:val="000000" w:themeColor="text1"/>
          <w:sz w:val="28"/>
          <w:szCs w:val="28"/>
        </w:rPr>
        <w:t>gửi tiền, rút tiền và chuyển khoản; chuyển tiếp hồ sơ mở tài khoản, vay vốn; thu tiền cho vay,…</w:t>
      </w:r>
    </w:p>
    <w:p w14:paraId="77D77314" w14:textId="77777777" w:rsidR="00503D7A" w:rsidRPr="00486193" w:rsidRDefault="00503D7A" w:rsidP="00503D7A">
      <w:pPr>
        <w:spacing w:before="120" w:after="120"/>
        <w:ind w:firstLine="720"/>
        <w:jc w:val="both"/>
        <w:rPr>
          <w:rFonts w:ascii="Times New Roman" w:hAnsi="Times New Roman" w:cs="Times New Roman"/>
          <w:b/>
          <w:bCs/>
          <w:i/>
          <w:color w:val="000000"/>
          <w:sz w:val="28"/>
          <w:szCs w:val="28"/>
          <w:lang w:val="nl-NL"/>
        </w:rPr>
      </w:pPr>
      <w:r w:rsidRPr="00486193">
        <w:rPr>
          <w:rFonts w:ascii="Times New Roman" w:hAnsi="Times New Roman" w:cs="Times New Roman"/>
          <w:b/>
          <w:bCs/>
          <w:i/>
          <w:color w:val="000000"/>
          <w:sz w:val="28"/>
          <w:szCs w:val="28"/>
          <w:lang w:val="nl-NL"/>
        </w:rPr>
        <w:t>b) Về hạn mức giao dịch:</w:t>
      </w:r>
    </w:p>
    <w:p w14:paraId="1F66AD25" w14:textId="77777777" w:rsidR="00486193" w:rsidRDefault="00486193" w:rsidP="00486193">
      <w:pPr>
        <w:spacing w:before="120" w:after="120"/>
        <w:ind w:firstLine="720"/>
        <w:jc w:val="both"/>
        <w:rPr>
          <w:rFonts w:ascii="Times New Roman" w:eastAsia="Calibri" w:hAnsi="Times New Roman" w:cs="Times New Roman"/>
          <w:color w:val="000000"/>
          <w:sz w:val="28"/>
          <w:szCs w:val="28"/>
          <w:lang w:val="sv-SE"/>
        </w:rPr>
      </w:pPr>
      <w:r w:rsidRPr="00486193">
        <w:rPr>
          <w:rFonts w:ascii="Times New Roman" w:hAnsi="Times New Roman" w:cs="Times New Roman"/>
          <w:bCs/>
          <w:color w:val="000000"/>
          <w:sz w:val="28"/>
          <w:szCs w:val="28"/>
          <w:lang w:val="nl-NL"/>
        </w:rPr>
        <w:t xml:space="preserve">Dự thảo Thông tư không quy định về hạn mức đối với bên đại lý là </w:t>
      </w:r>
      <w:r>
        <w:rPr>
          <w:rFonts w:ascii="Times New Roman" w:hAnsi="Times New Roman" w:cs="Times New Roman"/>
          <w:bCs/>
          <w:color w:val="000000"/>
          <w:sz w:val="28"/>
          <w:szCs w:val="28"/>
          <w:lang w:val="nl-NL"/>
        </w:rPr>
        <w:t>TCTD</w:t>
      </w:r>
      <w:r w:rsidRPr="00486193">
        <w:rPr>
          <w:rFonts w:ascii="Times New Roman" w:hAnsi="Times New Roman" w:cs="Times New Roman"/>
          <w:bCs/>
          <w:color w:val="000000"/>
          <w:sz w:val="28"/>
          <w:szCs w:val="28"/>
          <w:lang w:val="nl-NL"/>
        </w:rPr>
        <w:t xml:space="preserve"> (theo thỏa thuận giữa bên giao đại lý và bên đại lý) vì </w:t>
      </w:r>
      <w:r w:rsidRPr="00486193">
        <w:rPr>
          <w:rFonts w:ascii="Times New Roman" w:eastAsia="Calibri" w:hAnsi="Times New Roman" w:cs="Times New Roman"/>
          <w:color w:val="000000"/>
          <w:sz w:val="28"/>
          <w:szCs w:val="28"/>
          <w:lang w:val="sv-SE"/>
        </w:rPr>
        <w:t xml:space="preserve">đã đáp ứng các điều kiện </w:t>
      </w:r>
      <w:r w:rsidRPr="00486193">
        <w:rPr>
          <w:rFonts w:ascii="Times New Roman" w:eastAsia="Calibri" w:hAnsi="Times New Roman" w:cs="Times New Roman"/>
          <w:color w:val="000000"/>
          <w:sz w:val="28"/>
          <w:szCs w:val="28"/>
          <w:lang w:val="sv-SE"/>
        </w:rPr>
        <w:lastRenderedPageBreak/>
        <w:t>đảm bảo an toàn trong hoạt động giao nhận, bảo quản, vận chuyển, lưu trữ tiền mặt</w:t>
      </w:r>
      <w:r>
        <w:rPr>
          <w:rFonts w:ascii="Times New Roman" w:eastAsia="Calibri" w:hAnsi="Times New Roman" w:cs="Times New Roman"/>
          <w:color w:val="000000"/>
          <w:sz w:val="28"/>
          <w:szCs w:val="28"/>
          <w:lang w:val="sv-SE"/>
        </w:rPr>
        <w:t>,...</w:t>
      </w:r>
      <w:r w:rsidRPr="00486193">
        <w:rPr>
          <w:rFonts w:ascii="Times New Roman" w:eastAsia="Calibri" w:hAnsi="Times New Roman" w:cs="Times New Roman"/>
          <w:color w:val="000000"/>
          <w:sz w:val="28"/>
          <w:szCs w:val="28"/>
          <w:lang w:val="sv-SE"/>
        </w:rPr>
        <w:t xml:space="preserve"> theo quy định pháp luật hiện hành</w:t>
      </w:r>
      <w:r>
        <w:rPr>
          <w:rFonts w:ascii="Times New Roman" w:eastAsia="Calibri" w:hAnsi="Times New Roman" w:cs="Times New Roman"/>
          <w:color w:val="000000"/>
          <w:sz w:val="28"/>
          <w:szCs w:val="28"/>
          <w:lang w:val="sv-SE"/>
        </w:rPr>
        <w:t xml:space="preserve">. Tuy nhiên, </w:t>
      </w:r>
      <w:r>
        <w:rPr>
          <w:rFonts w:ascii="Times New Roman" w:eastAsia="Calibri" w:hAnsi="Times New Roman" w:cs="Times New Roman"/>
          <w:color w:val="000000" w:themeColor="text1"/>
          <w:sz w:val="28"/>
          <w:szCs w:val="28"/>
          <w:lang w:val="pt-BR"/>
        </w:rPr>
        <w:t xml:space="preserve">đối với </w:t>
      </w:r>
      <w:r w:rsidRPr="00B321F1">
        <w:rPr>
          <w:rFonts w:ascii="Times New Roman" w:eastAsia="Calibri" w:hAnsi="Times New Roman" w:cs="Times New Roman"/>
          <w:color w:val="000000" w:themeColor="text1"/>
          <w:sz w:val="28"/>
          <w:szCs w:val="28"/>
          <w:lang w:val="pt-BR"/>
        </w:rPr>
        <w:t>bên đại lý là tổ chức khác</w:t>
      </w:r>
      <w:r>
        <w:rPr>
          <w:rFonts w:ascii="Times New Roman" w:eastAsia="Calibri" w:hAnsi="Times New Roman" w:cs="Times New Roman"/>
          <w:color w:val="000000" w:themeColor="text1"/>
          <w:sz w:val="28"/>
          <w:szCs w:val="28"/>
          <w:lang w:val="pt-BR"/>
        </w:rPr>
        <w:t xml:space="preserve">, </w:t>
      </w:r>
      <w:r w:rsidRPr="00486193">
        <w:rPr>
          <w:rFonts w:ascii="Times New Roman" w:eastAsia="Calibri" w:hAnsi="Times New Roman" w:cs="Times New Roman"/>
          <w:color w:val="000000"/>
          <w:sz w:val="28"/>
          <w:szCs w:val="28"/>
          <w:lang w:val="sv-SE"/>
        </w:rPr>
        <w:t xml:space="preserve">có những hạn chế nhất định so với chi nhánh, phòng giao dịch của </w:t>
      </w:r>
      <w:r>
        <w:rPr>
          <w:rFonts w:ascii="Times New Roman" w:eastAsia="Calibri" w:hAnsi="Times New Roman" w:cs="Times New Roman"/>
          <w:color w:val="000000"/>
          <w:sz w:val="28"/>
          <w:szCs w:val="28"/>
          <w:lang w:val="sv-SE"/>
        </w:rPr>
        <w:t>TCTD</w:t>
      </w:r>
      <w:r w:rsidRPr="00486193">
        <w:rPr>
          <w:rFonts w:ascii="Times New Roman" w:eastAsia="Calibri" w:hAnsi="Times New Roman" w:cs="Times New Roman"/>
          <w:color w:val="000000"/>
          <w:sz w:val="28"/>
          <w:szCs w:val="28"/>
          <w:lang w:val="sv-SE"/>
        </w:rPr>
        <w:t xml:space="preserve"> về kỹ thuật, công nghệ thông tin, năng lực quản trị, kiểm soát rủi ro. Mặt khác, do không phải </w:t>
      </w:r>
      <w:r>
        <w:rPr>
          <w:rFonts w:ascii="Times New Roman" w:eastAsia="Calibri" w:hAnsi="Times New Roman" w:cs="Times New Roman"/>
          <w:color w:val="000000"/>
          <w:sz w:val="28"/>
          <w:szCs w:val="28"/>
          <w:lang w:val="sv-SE"/>
        </w:rPr>
        <w:t>TCTD</w:t>
      </w:r>
      <w:r w:rsidRPr="00486193">
        <w:rPr>
          <w:rFonts w:ascii="Times New Roman" w:eastAsia="Calibri" w:hAnsi="Times New Roman" w:cs="Times New Roman"/>
          <w:color w:val="000000"/>
          <w:sz w:val="28"/>
          <w:szCs w:val="28"/>
          <w:lang w:val="sv-SE"/>
        </w:rPr>
        <w:t xml:space="preserve"> nên việc quản lý, vận chuyển, bảo đảm tiền mặt cho khách hàng hạn chế hơn </w:t>
      </w:r>
      <w:r>
        <w:rPr>
          <w:rFonts w:ascii="Times New Roman" w:eastAsia="Calibri" w:hAnsi="Times New Roman" w:cs="Times New Roman"/>
          <w:color w:val="000000"/>
          <w:sz w:val="28"/>
          <w:szCs w:val="28"/>
          <w:lang w:val="sv-SE"/>
        </w:rPr>
        <w:t>TCTD</w:t>
      </w:r>
      <w:r w:rsidRPr="00486193">
        <w:rPr>
          <w:rFonts w:ascii="Times New Roman" w:eastAsia="Calibri" w:hAnsi="Times New Roman" w:cs="Times New Roman"/>
          <w:color w:val="000000"/>
          <w:sz w:val="28"/>
          <w:szCs w:val="28"/>
          <w:lang w:val="sv-SE"/>
        </w:rPr>
        <w:t xml:space="preserve"> hay rủi ro về thanh khoản khi tiền mặt không đủ lớn một cách thường xuyên và đầy đủ như các phòng giao dịch </w:t>
      </w:r>
      <w:r>
        <w:rPr>
          <w:rFonts w:ascii="Times New Roman" w:eastAsia="Calibri" w:hAnsi="Times New Roman" w:cs="Times New Roman"/>
          <w:color w:val="000000"/>
          <w:sz w:val="28"/>
          <w:szCs w:val="28"/>
          <w:lang w:val="sv-SE"/>
        </w:rPr>
        <w:t>TCTD</w:t>
      </w:r>
      <w:r w:rsidRPr="00486193">
        <w:rPr>
          <w:rFonts w:ascii="Times New Roman" w:eastAsia="Calibri" w:hAnsi="Times New Roman" w:cs="Times New Roman"/>
          <w:color w:val="000000"/>
          <w:sz w:val="28"/>
          <w:szCs w:val="28"/>
          <w:lang w:val="sv-SE"/>
        </w:rPr>
        <w:t xml:space="preserve"> (nhất là vùng sâu, vùng xa). Vì vậy, việc quy định hạn mức đối với điểm đại lý thanh toán của tổ chức khác để phù hợp với khả năng cung ứng tiền mặt và các dịch vụ nêu trên của đối tượng đại lý thanh toán, cũng như góp phần đảm bảo an toàn kho quỹ và bảo vệ tài sản của khách hàng đến giao dịch tại đại lý thanh toán là tổ chức khác.</w:t>
      </w:r>
      <w:r>
        <w:rPr>
          <w:rFonts w:ascii="Times New Roman" w:eastAsia="Calibri" w:hAnsi="Times New Roman" w:cs="Times New Roman"/>
          <w:color w:val="000000"/>
          <w:sz w:val="28"/>
          <w:szCs w:val="28"/>
          <w:lang w:val="sv-SE"/>
        </w:rPr>
        <w:t xml:space="preserve"> </w:t>
      </w:r>
    </w:p>
    <w:p w14:paraId="410D270E" w14:textId="66B6C207" w:rsidR="0068509B" w:rsidRDefault="00486193" w:rsidP="0068509B">
      <w:pPr>
        <w:shd w:val="clear" w:color="auto" w:fill="FFFFFF"/>
        <w:spacing w:before="120" w:after="120" w:line="266" w:lineRule="auto"/>
        <w:ind w:firstLine="720"/>
        <w:jc w:val="both"/>
        <w:rPr>
          <w:rFonts w:ascii="Times New Roman" w:eastAsia="Calibri" w:hAnsi="Times New Roman" w:cs="Times New Roman"/>
          <w:color w:val="000000" w:themeColor="text1"/>
          <w:sz w:val="28"/>
          <w:szCs w:val="28"/>
          <w:u w:val="single"/>
          <w:lang w:val="pt-BR"/>
        </w:rPr>
      </w:pPr>
      <w:r>
        <w:rPr>
          <w:rFonts w:ascii="Times New Roman" w:eastAsia="Calibri" w:hAnsi="Times New Roman" w:cs="Times New Roman"/>
          <w:color w:val="000000" w:themeColor="text1"/>
          <w:sz w:val="28"/>
          <w:szCs w:val="28"/>
          <w:lang w:val="pt-BR"/>
        </w:rPr>
        <w:t>Theo đó,</w:t>
      </w:r>
      <w:r w:rsidRPr="00B321F1">
        <w:rPr>
          <w:rFonts w:ascii="Times New Roman" w:eastAsia="Calibri" w:hAnsi="Times New Roman" w:cs="Times New Roman"/>
          <w:color w:val="000000" w:themeColor="text1"/>
          <w:sz w:val="28"/>
          <w:szCs w:val="28"/>
          <w:lang w:val="pt-BR"/>
        </w:rPr>
        <w:t xml:space="preserve"> </w:t>
      </w:r>
      <w:r>
        <w:rPr>
          <w:rFonts w:ascii="Times New Roman" w:eastAsia="Calibri" w:hAnsi="Times New Roman" w:cs="Times New Roman"/>
          <w:color w:val="000000" w:themeColor="text1"/>
          <w:sz w:val="28"/>
          <w:szCs w:val="28"/>
          <w:lang w:val="pt-BR"/>
        </w:rPr>
        <w:t xml:space="preserve">dự thảo Thông tư quy định </w:t>
      </w:r>
      <w:r w:rsidRPr="00B321F1">
        <w:rPr>
          <w:rFonts w:ascii="Times New Roman" w:eastAsia="Calibri" w:hAnsi="Times New Roman" w:cs="Times New Roman"/>
          <w:color w:val="000000" w:themeColor="text1"/>
          <w:sz w:val="28"/>
          <w:szCs w:val="28"/>
          <w:lang w:val="pt-BR"/>
        </w:rPr>
        <w:t>bên giao đại lý phải có các biện pháp quản lý số dư, hạn mức giao dịch</w:t>
      </w:r>
      <w:r w:rsidRPr="00B321F1">
        <w:rPr>
          <w:rFonts w:ascii="Times New Roman" w:eastAsia="Calibri" w:hAnsi="Times New Roman" w:cs="Times New Roman"/>
          <w:b/>
          <w:i/>
          <w:color w:val="000000" w:themeColor="text1"/>
          <w:sz w:val="28"/>
          <w:szCs w:val="28"/>
          <w:lang w:val="sv-SE"/>
        </w:rPr>
        <w:t xml:space="preserve"> </w:t>
      </w:r>
      <w:r w:rsidRPr="00B321F1">
        <w:rPr>
          <w:rFonts w:ascii="Times New Roman" w:eastAsia="Calibri" w:hAnsi="Times New Roman" w:cs="Times New Roman"/>
          <w:color w:val="000000" w:themeColor="text1"/>
          <w:sz w:val="28"/>
          <w:szCs w:val="28"/>
          <w:lang w:val="sv-SE"/>
        </w:rPr>
        <w:t xml:space="preserve">như: </w:t>
      </w:r>
      <w:r w:rsidR="0068509B" w:rsidRPr="00325840">
        <w:rPr>
          <w:rFonts w:ascii="Times New Roman" w:hAnsi="Times New Roman"/>
          <w:sz w:val="28"/>
          <w:szCs w:val="28"/>
          <w:lang w:val="pt-BR"/>
        </w:rPr>
        <w:t xml:space="preserve">Hạn mức giao </w:t>
      </w:r>
      <w:r w:rsidR="00AF5B96">
        <w:rPr>
          <w:rFonts w:ascii="Times New Roman" w:hAnsi="Times New Roman"/>
          <w:sz w:val="28"/>
          <w:szCs w:val="28"/>
          <w:lang w:val="pt-BR"/>
        </w:rPr>
        <w:t xml:space="preserve">(bao gồm </w:t>
      </w:r>
      <w:r w:rsidR="0068509B" w:rsidRPr="00325840">
        <w:rPr>
          <w:rFonts w:ascii="Times New Roman" w:hAnsi="Times New Roman"/>
          <w:sz w:val="28"/>
          <w:szCs w:val="28"/>
          <w:lang w:val="pt-BR"/>
        </w:rPr>
        <w:t>dịch nộp</w:t>
      </w:r>
      <w:r w:rsidR="00AF5B96">
        <w:rPr>
          <w:rFonts w:ascii="Times New Roman" w:hAnsi="Times New Roman"/>
          <w:sz w:val="28"/>
          <w:szCs w:val="28"/>
          <w:lang w:val="pt-BR"/>
        </w:rPr>
        <w:t xml:space="preserve"> và </w:t>
      </w:r>
      <w:r w:rsidR="0068509B" w:rsidRPr="00325840">
        <w:rPr>
          <w:rFonts w:ascii="Times New Roman" w:hAnsi="Times New Roman"/>
          <w:sz w:val="28"/>
          <w:szCs w:val="28"/>
          <w:lang w:val="pt-BR"/>
        </w:rPr>
        <w:t>rút tiền mặt</w:t>
      </w:r>
      <w:r w:rsidR="00AF5B96">
        <w:rPr>
          <w:rFonts w:ascii="Times New Roman" w:hAnsi="Times New Roman"/>
          <w:sz w:val="28"/>
          <w:szCs w:val="28"/>
          <w:lang w:val="pt-BR"/>
        </w:rPr>
        <w:t>)</w:t>
      </w:r>
      <w:r w:rsidR="0068509B" w:rsidRPr="00325840">
        <w:rPr>
          <w:rFonts w:ascii="Times New Roman" w:hAnsi="Times New Roman"/>
          <w:sz w:val="28"/>
          <w:szCs w:val="28"/>
          <w:lang w:val="pt-BR"/>
        </w:rPr>
        <w:t xml:space="preserve"> đối với khách hàng cá nhân, tối đa là 20 triệu đồng/khách hàng/ngày;</w:t>
      </w:r>
      <w:r w:rsidR="0068509B">
        <w:rPr>
          <w:rFonts w:ascii="Times New Roman" w:hAnsi="Times New Roman"/>
          <w:sz w:val="28"/>
          <w:szCs w:val="28"/>
          <w:lang w:val="pt-BR"/>
        </w:rPr>
        <w:t xml:space="preserve"> </w:t>
      </w:r>
      <w:r w:rsidR="0068509B" w:rsidRPr="00325840">
        <w:rPr>
          <w:rFonts w:ascii="Times New Roman" w:hAnsi="Times New Roman"/>
          <w:sz w:val="28"/>
          <w:szCs w:val="28"/>
          <w:lang w:val="pt-BR"/>
        </w:rPr>
        <w:t xml:space="preserve">Bên đại lý chỉ được thực hiện giao dịch cho khách hàng trong phạm vi số dư tài khoản thanh toán </w:t>
      </w:r>
      <w:r w:rsidR="0068509B" w:rsidRPr="00325840">
        <w:rPr>
          <w:rFonts w:ascii="Times New Roman" w:hAnsi="Times New Roman" w:cs="Times New Roman"/>
          <w:sz w:val="28"/>
          <w:szCs w:val="28"/>
          <w:lang w:val="sv-SE"/>
        </w:rPr>
        <w:t xml:space="preserve">để thực hiện các nghiệp vụ được giao đại lý </w:t>
      </w:r>
      <w:r w:rsidR="0068509B" w:rsidRPr="00325840">
        <w:rPr>
          <w:rFonts w:ascii="Times New Roman" w:hAnsi="Times New Roman"/>
          <w:sz w:val="28"/>
          <w:szCs w:val="28"/>
          <w:lang w:val="pt-BR"/>
        </w:rPr>
        <w:t>của bên đại lý mở tại bên giao đại lý theo quy định tại khoản 4 Điều 7 Thông tư này và mỗi một điểm đại lý thanh toán được giao dịch không quá 200 triệu đồng/ngày và tối đa 05 tỷ đồng/tháng.</w:t>
      </w:r>
      <w:r w:rsidRPr="00B321F1">
        <w:rPr>
          <w:rFonts w:ascii="Times New Roman" w:eastAsia="Calibri" w:hAnsi="Times New Roman" w:cs="Times New Roman"/>
          <w:color w:val="000000" w:themeColor="text1"/>
          <w:sz w:val="28"/>
          <w:szCs w:val="28"/>
          <w:u w:val="single"/>
          <w:lang w:val="pt-BR"/>
        </w:rPr>
        <w:t xml:space="preserve"> </w:t>
      </w:r>
    </w:p>
    <w:p w14:paraId="30A009EC" w14:textId="77777777" w:rsidR="0068509B" w:rsidRDefault="00486193" w:rsidP="0068509B">
      <w:pPr>
        <w:shd w:val="clear" w:color="auto" w:fill="FFFFFF"/>
        <w:spacing w:before="120" w:after="120" w:line="266" w:lineRule="auto"/>
        <w:ind w:firstLine="720"/>
        <w:jc w:val="both"/>
        <w:rPr>
          <w:rFonts w:ascii="Times New Roman" w:eastAsia="Calibri" w:hAnsi="Times New Roman" w:cs="Times New Roman"/>
          <w:color w:val="000000" w:themeColor="text1"/>
          <w:sz w:val="28"/>
          <w:szCs w:val="28"/>
          <w:lang w:val="sv-SE"/>
        </w:rPr>
      </w:pPr>
      <w:r w:rsidRPr="00B321F1">
        <w:rPr>
          <w:rFonts w:ascii="Times New Roman" w:eastAsia="Calibri" w:hAnsi="Times New Roman" w:cs="Times New Roman"/>
          <w:color w:val="000000" w:themeColor="text1"/>
          <w:sz w:val="28"/>
          <w:szCs w:val="28"/>
          <w:lang w:val="sv-SE"/>
        </w:rPr>
        <w:t>Việc thiết lập chính sách về hạn mức giao dịch cũng đã được NHNN nghiên cứu xây dựng trên cơ sở tham khảo kinh nghiệm các nước (như Malaysia</w:t>
      </w:r>
      <w:r w:rsidRPr="00B321F1">
        <w:rPr>
          <w:rFonts w:ascii="Times New Roman" w:eastAsia="Calibri" w:hAnsi="Times New Roman" w:cs="Times New Roman"/>
          <w:color w:val="000000" w:themeColor="text1"/>
          <w:sz w:val="28"/>
          <w:szCs w:val="28"/>
          <w:vertAlign w:val="superscript"/>
          <w:lang w:val="sv-SE"/>
        </w:rPr>
        <w:footnoteReference w:id="3"/>
      </w:r>
      <w:r w:rsidRPr="00B321F1">
        <w:rPr>
          <w:rFonts w:ascii="Times New Roman" w:eastAsia="Calibri" w:hAnsi="Times New Roman" w:cs="Times New Roman"/>
          <w:color w:val="000000" w:themeColor="text1"/>
          <w:sz w:val="28"/>
          <w:szCs w:val="28"/>
          <w:lang w:val="sv-SE"/>
        </w:rPr>
        <w:t>, Brazil, Kenya,...) và quá trình theo dõi, đánh giá các mô hình thí điểm thanh toán ở khu vực nông thôn, vùng sâu, vùng xa (</w:t>
      </w:r>
      <w:r w:rsidRPr="00B321F1">
        <w:rPr>
          <w:rFonts w:ascii="Times New Roman" w:eastAsia="Calibri" w:hAnsi="Times New Roman" w:cs="Times New Roman"/>
          <w:i/>
          <w:color w:val="000000" w:themeColor="text1"/>
          <w:sz w:val="28"/>
          <w:szCs w:val="28"/>
          <w:lang w:val="sv-SE"/>
        </w:rPr>
        <w:t>mô hình của PG-Bank - Petrolimex cho phép hạn mức giao dịch của cửa hàng xăng dầu là 200 triệu/ngày</w:t>
      </w:r>
      <w:r w:rsidRPr="00B321F1">
        <w:rPr>
          <w:rFonts w:ascii="Times New Roman" w:eastAsia="Calibri" w:hAnsi="Times New Roman" w:cs="Times New Roman"/>
          <w:color w:val="000000" w:themeColor="text1"/>
          <w:sz w:val="28"/>
          <w:szCs w:val="28"/>
          <w:lang w:val="sv-SE"/>
        </w:rPr>
        <w:t xml:space="preserve">). Nhìn chung, hạn mức này vừa đáp ứng được nhu cầu thanh toán trong thực tiễn (thanh toán giá trị nhỏ ở khu vực nông thôn, vùng sâu, vùng xa), vừa góp phần giảm thiểu rủi ro gian lận, phòng, chống rửa tiền. </w:t>
      </w:r>
    </w:p>
    <w:p w14:paraId="06A9614E" w14:textId="77777777" w:rsidR="0068509B" w:rsidRPr="0068509B" w:rsidRDefault="0068509B" w:rsidP="0068509B">
      <w:pPr>
        <w:shd w:val="clear" w:color="auto" w:fill="FFFFFF"/>
        <w:spacing w:before="120" w:after="120" w:line="266" w:lineRule="auto"/>
        <w:ind w:firstLine="720"/>
        <w:jc w:val="both"/>
        <w:rPr>
          <w:rFonts w:ascii="Times New Roman" w:eastAsia="Calibri" w:hAnsi="Times New Roman" w:cs="Times New Roman"/>
          <w:b/>
          <w:i/>
          <w:color w:val="000000" w:themeColor="text1"/>
          <w:sz w:val="28"/>
          <w:szCs w:val="28"/>
          <w:lang w:val="sv-SE"/>
        </w:rPr>
      </w:pPr>
      <w:r w:rsidRPr="0068509B">
        <w:rPr>
          <w:rFonts w:ascii="Times New Roman" w:eastAsia="Calibri" w:hAnsi="Times New Roman" w:cs="Times New Roman"/>
          <w:b/>
          <w:i/>
          <w:color w:val="000000" w:themeColor="text1"/>
          <w:sz w:val="28"/>
          <w:szCs w:val="28"/>
          <w:lang w:val="sv-SE"/>
        </w:rPr>
        <w:t>c) Về nguyên tắc giao đại lý:</w:t>
      </w:r>
    </w:p>
    <w:p w14:paraId="2B069427" w14:textId="63BC9FD7" w:rsidR="00475C3D" w:rsidRDefault="0068509B" w:rsidP="00475C3D">
      <w:pPr>
        <w:shd w:val="clear" w:color="auto" w:fill="FFFFFF"/>
        <w:spacing w:before="120" w:after="120" w:line="266" w:lineRule="auto"/>
        <w:ind w:firstLine="720"/>
        <w:jc w:val="both"/>
        <w:rPr>
          <w:rFonts w:ascii="Times New Roman" w:eastAsia="Calibri" w:hAnsi="Times New Roman" w:cs="Times New Roman"/>
          <w:color w:val="000000" w:themeColor="text1"/>
          <w:sz w:val="28"/>
          <w:szCs w:val="28"/>
          <w:lang w:val="sv-SE"/>
        </w:rPr>
      </w:pPr>
      <w:r w:rsidRPr="00B321F1">
        <w:rPr>
          <w:rFonts w:ascii="Times New Roman" w:eastAsia="Times New Roman" w:hAnsi="Times New Roman" w:cs="Times New Roman"/>
          <w:bCs/>
          <w:color w:val="000000" w:themeColor="text1"/>
          <w:sz w:val="28"/>
          <w:szCs w:val="28"/>
          <w:lang w:val="sv-SE"/>
        </w:rPr>
        <w:t xml:space="preserve">Dự thảo Nghị định quy định </w:t>
      </w:r>
      <w:r w:rsidRPr="00B321F1">
        <w:rPr>
          <w:rFonts w:ascii="Times New Roman" w:eastAsia="Times New Roman" w:hAnsi="Times New Roman" w:cs="Times New Roman"/>
          <w:bCs/>
          <w:i/>
          <w:color w:val="000000" w:themeColor="text1"/>
          <w:sz w:val="28"/>
          <w:szCs w:val="28"/>
          <w:lang w:val="nl-NL"/>
        </w:rPr>
        <w:t xml:space="preserve">bên giao đại lý </w:t>
      </w:r>
      <w:r w:rsidRPr="00B321F1">
        <w:rPr>
          <w:rFonts w:ascii="Times New Roman" w:eastAsia="Times New Roman" w:hAnsi="Times New Roman" w:cs="Times New Roman"/>
          <w:i/>
          <w:color w:val="000000" w:themeColor="text1"/>
          <w:sz w:val="28"/>
          <w:szCs w:val="28"/>
          <w:lang w:val="sv-SE" w:eastAsia="vi-VN"/>
        </w:rPr>
        <w:t xml:space="preserve">phải quản lý, giám sát và chịu trách nhiệm toàn </w:t>
      </w:r>
      <w:r>
        <w:rPr>
          <w:rFonts w:ascii="Times New Roman" w:eastAsia="Times New Roman" w:hAnsi="Times New Roman" w:cs="Times New Roman"/>
          <w:i/>
          <w:color w:val="000000" w:themeColor="text1"/>
          <w:sz w:val="28"/>
          <w:szCs w:val="28"/>
          <w:lang w:val="sv-SE" w:eastAsia="vi-VN"/>
        </w:rPr>
        <w:t>bộ</w:t>
      </w:r>
      <w:r w:rsidRPr="00B321F1">
        <w:rPr>
          <w:rFonts w:ascii="Times New Roman" w:eastAsia="Times New Roman" w:hAnsi="Times New Roman" w:cs="Times New Roman"/>
          <w:i/>
          <w:color w:val="000000" w:themeColor="text1"/>
          <w:sz w:val="28"/>
          <w:szCs w:val="28"/>
          <w:lang w:val="sv-SE" w:eastAsia="vi-VN"/>
        </w:rPr>
        <w:t xml:space="preserve"> đối với hoạt động đại lý thanh toán</w:t>
      </w:r>
      <w:r w:rsidRPr="00B321F1">
        <w:rPr>
          <w:rFonts w:ascii="Times New Roman" w:eastAsia="Times New Roman" w:hAnsi="Times New Roman" w:cs="Times New Roman"/>
          <w:color w:val="000000" w:themeColor="text1"/>
          <w:sz w:val="28"/>
          <w:szCs w:val="28"/>
          <w:lang w:val="sv-SE" w:eastAsia="vi-VN"/>
        </w:rPr>
        <w:t xml:space="preserve"> do bên đại lý thực hiện</w:t>
      </w:r>
      <w:r w:rsidRPr="00B321F1">
        <w:rPr>
          <w:rFonts w:ascii="Times New Roman" w:eastAsia="Times New Roman" w:hAnsi="Times New Roman" w:cs="Times New Roman"/>
          <w:bCs/>
          <w:color w:val="000000" w:themeColor="text1"/>
          <w:sz w:val="28"/>
          <w:szCs w:val="28"/>
          <w:lang w:val="nl-NL"/>
        </w:rPr>
        <w:t>;</w:t>
      </w:r>
      <w:r w:rsidRPr="00B321F1">
        <w:rPr>
          <w:rFonts w:ascii="Times New Roman" w:eastAsia="Calibri" w:hAnsi="Times New Roman" w:cs="Times New Roman"/>
          <w:color w:val="000000" w:themeColor="text1"/>
          <w:sz w:val="28"/>
          <w:szCs w:val="28"/>
          <w:lang w:val="sv-SE"/>
        </w:rPr>
        <w:t xml:space="preserve"> bên đại lý thanh toán là </w:t>
      </w:r>
      <w:r>
        <w:rPr>
          <w:rFonts w:ascii="Times New Roman" w:eastAsia="Calibri" w:hAnsi="Times New Roman" w:cs="Times New Roman"/>
          <w:color w:val="000000" w:themeColor="text1"/>
          <w:sz w:val="28"/>
          <w:szCs w:val="28"/>
          <w:lang w:val="sv-SE"/>
        </w:rPr>
        <w:t xml:space="preserve">quỹ tín dụng nhân dân, tổ chức tài chính vi mô, </w:t>
      </w:r>
      <w:r w:rsidRPr="00B321F1">
        <w:rPr>
          <w:rFonts w:ascii="Times New Roman" w:eastAsia="Calibri" w:hAnsi="Times New Roman" w:cs="Times New Roman"/>
          <w:color w:val="000000" w:themeColor="text1"/>
          <w:sz w:val="28"/>
          <w:szCs w:val="28"/>
          <w:lang w:val="sv-SE"/>
        </w:rPr>
        <w:t xml:space="preserve">tổ chức khác không được phép giao đại lý lại cho bên thứ ba; bên đại lý là tổ chức khác phải mở và duy trì tài khoản thanh toán tại bên giao đại lý để thực hiện các nghiệp vụ được giao đại lý trong phạm vi số dư do bên giao đại lý và bên đại lý </w:t>
      </w:r>
      <w:r w:rsidRPr="00B321F1">
        <w:rPr>
          <w:rFonts w:ascii="Times New Roman" w:eastAsia="Calibri" w:hAnsi="Times New Roman" w:cs="Times New Roman"/>
          <w:color w:val="000000" w:themeColor="text1"/>
          <w:sz w:val="28"/>
          <w:szCs w:val="28"/>
          <w:lang w:val="sv-SE"/>
        </w:rPr>
        <w:lastRenderedPageBreak/>
        <w:t xml:space="preserve">thỏa thuận; tài khoản thanh toán này phải được tách biệt với các tài khoản thanh toán phục vụ cho các hoạt động, mục đích khác của bên đại lý thanh toán mở tại bên giao đại lý; </w:t>
      </w:r>
      <w:r w:rsidR="00475C3D">
        <w:rPr>
          <w:rFonts w:ascii="Times New Roman" w:hAnsi="Times New Roman" w:cs="Times New Roman"/>
          <w:sz w:val="28"/>
          <w:szCs w:val="28"/>
          <w:lang w:val="sv-SE"/>
        </w:rPr>
        <w:t>s</w:t>
      </w:r>
      <w:r w:rsidR="00475C3D" w:rsidRPr="00325840">
        <w:rPr>
          <w:rFonts w:ascii="Times New Roman" w:hAnsi="Times New Roman" w:cs="Times New Roman"/>
          <w:sz w:val="28"/>
          <w:szCs w:val="28"/>
          <w:lang w:val="sv-SE"/>
        </w:rPr>
        <w:t xml:space="preserve">ố lượng điểm đại lý thanh toán của các tổ chức khác phải đảm bảo số lượng điểm đại lý thanh toán trên các địa bàn cấp huyện (không bao gồm quận, thị xã, thành phố thuộc tỉnh, thành phố thuộc thành phố trực thuộc Trung ương) tại các tỉnh, thành phố trực thuộc trung ương chiếm trên 70% số lượng điểm đại lý thanh toán của bên giao đại lý. </w:t>
      </w:r>
      <w:r w:rsidRPr="00B321F1">
        <w:rPr>
          <w:rFonts w:ascii="Times New Roman" w:eastAsia="Calibri" w:hAnsi="Times New Roman" w:cs="Times New Roman"/>
          <w:color w:val="000000" w:themeColor="text1"/>
          <w:sz w:val="28"/>
          <w:szCs w:val="28"/>
          <w:lang w:val="sv-SE"/>
        </w:rPr>
        <w:t>...</w:t>
      </w:r>
    </w:p>
    <w:p w14:paraId="366E5317" w14:textId="77777777" w:rsidR="00793EBE" w:rsidRDefault="0068509B" w:rsidP="00793EBE">
      <w:pPr>
        <w:shd w:val="clear" w:color="auto" w:fill="FFFFFF"/>
        <w:spacing w:before="120" w:after="120" w:line="266" w:lineRule="auto"/>
        <w:ind w:firstLine="720"/>
        <w:jc w:val="both"/>
        <w:rPr>
          <w:rFonts w:ascii="Times New Roman" w:eastAsia="Times New Roman" w:hAnsi="Times New Roman" w:cs="Times New Roman"/>
          <w:color w:val="000000" w:themeColor="text1"/>
          <w:sz w:val="28"/>
          <w:szCs w:val="28"/>
        </w:rPr>
      </w:pPr>
      <w:r w:rsidRPr="00B321F1">
        <w:rPr>
          <w:rFonts w:ascii="Times New Roman" w:eastAsia="Times New Roman" w:hAnsi="Times New Roman" w:cs="Times New Roman"/>
          <w:color w:val="000000" w:themeColor="text1"/>
          <w:sz w:val="28"/>
          <w:szCs w:val="28"/>
        </w:rPr>
        <w:t xml:space="preserve">Mặc dù, đây là nghiệp vụ gia tăng của ngân hàng </w:t>
      </w:r>
      <w:r w:rsidR="006F429F">
        <w:rPr>
          <w:rFonts w:ascii="Times New Roman" w:eastAsia="Times New Roman" w:hAnsi="Times New Roman" w:cs="Times New Roman"/>
          <w:color w:val="000000" w:themeColor="text1"/>
          <w:sz w:val="28"/>
          <w:szCs w:val="28"/>
        </w:rPr>
        <w:t>nhưng</w:t>
      </w:r>
      <w:r w:rsidRPr="00B321F1">
        <w:rPr>
          <w:rFonts w:ascii="Times New Roman" w:eastAsia="Times New Roman" w:hAnsi="Times New Roman" w:cs="Times New Roman"/>
          <w:color w:val="000000" w:themeColor="text1"/>
          <w:sz w:val="28"/>
          <w:szCs w:val="28"/>
        </w:rPr>
        <w:t xml:space="preserve"> ngân hàng phải chịu trách nhiệm </w:t>
      </w:r>
      <w:r w:rsidR="006F429F">
        <w:rPr>
          <w:rFonts w:ascii="Times New Roman" w:eastAsia="Times New Roman" w:hAnsi="Times New Roman" w:cs="Times New Roman"/>
          <w:color w:val="000000" w:themeColor="text1"/>
          <w:sz w:val="28"/>
          <w:szCs w:val="28"/>
        </w:rPr>
        <w:t xml:space="preserve">toàn bộ </w:t>
      </w:r>
      <w:r w:rsidRPr="00B321F1">
        <w:rPr>
          <w:rFonts w:ascii="Times New Roman" w:eastAsia="Times New Roman" w:hAnsi="Times New Roman" w:cs="Times New Roman"/>
          <w:color w:val="000000" w:themeColor="text1"/>
          <w:sz w:val="28"/>
          <w:szCs w:val="28"/>
        </w:rPr>
        <w:t>vì ngân hàng có quyền lựa chọn giao đại lý thanh toán hay không trên cơ sở năng lực quản lý của mình</w:t>
      </w:r>
      <w:r w:rsidR="006F429F">
        <w:rPr>
          <w:rFonts w:ascii="Times New Roman" w:eastAsia="Times New Roman" w:hAnsi="Times New Roman" w:cs="Times New Roman"/>
          <w:color w:val="000000" w:themeColor="text1"/>
          <w:sz w:val="28"/>
          <w:szCs w:val="28"/>
        </w:rPr>
        <w:t>.</w:t>
      </w:r>
      <w:r w:rsidRPr="00B321F1">
        <w:rPr>
          <w:rFonts w:ascii="Times New Roman" w:eastAsia="Times New Roman" w:hAnsi="Times New Roman" w:cs="Times New Roman"/>
          <w:color w:val="000000" w:themeColor="text1"/>
          <w:sz w:val="28"/>
          <w:szCs w:val="28"/>
        </w:rPr>
        <w:t xml:space="preserve"> </w:t>
      </w:r>
      <w:r w:rsidR="006F429F">
        <w:rPr>
          <w:rFonts w:ascii="Times New Roman" w:eastAsia="Times New Roman" w:hAnsi="Times New Roman" w:cs="Times New Roman"/>
          <w:color w:val="000000" w:themeColor="text1"/>
          <w:sz w:val="28"/>
          <w:szCs w:val="28"/>
        </w:rPr>
        <w:t>V</w:t>
      </w:r>
      <w:r w:rsidRPr="00B321F1">
        <w:rPr>
          <w:rFonts w:ascii="Times New Roman" w:eastAsia="Times New Roman" w:hAnsi="Times New Roman" w:cs="Times New Roman"/>
          <w:color w:val="000000" w:themeColor="text1"/>
          <w:sz w:val="28"/>
          <w:szCs w:val="28"/>
        </w:rPr>
        <w:t>iệc có nhiều chủ thể trong đó có cả chủ thể là doanh nghiệp (non-bank) tham gia vào cung ứng nghiệp vụ đại lý dễ phát sinh nhiều rủi ro</w:t>
      </w:r>
      <w:r w:rsidR="006F429F">
        <w:rPr>
          <w:rFonts w:ascii="Times New Roman" w:eastAsia="Times New Roman" w:hAnsi="Times New Roman" w:cs="Times New Roman"/>
          <w:color w:val="000000" w:themeColor="text1"/>
          <w:sz w:val="28"/>
          <w:szCs w:val="28"/>
        </w:rPr>
        <w:t>;</w:t>
      </w:r>
      <w:r w:rsidRPr="00B321F1">
        <w:rPr>
          <w:rFonts w:ascii="Times New Roman" w:eastAsia="Times New Roman" w:hAnsi="Times New Roman" w:cs="Times New Roman"/>
          <w:color w:val="000000" w:themeColor="text1"/>
          <w:sz w:val="28"/>
          <w:szCs w:val="28"/>
        </w:rPr>
        <w:t xml:space="preserve"> </w:t>
      </w:r>
      <w:r w:rsidR="006F429F">
        <w:rPr>
          <w:rFonts w:ascii="Times New Roman" w:eastAsia="Times New Roman" w:hAnsi="Times New Roman" w:cs="Times New Roman"/>
          <w:color w:val="000000" w:themeColor="text1"/>
          <w:sz w:val="28"/>
          <w:szCs w:val="28"/>
        </w:rPr>
        <w:t>d</w:t>
      </w:r>
      <w:r w:rsidRPr="00B321F1">
        <w:rPr>
          <w:rFonts w:ascii="Times New Roman" w:eastAsia="Times New Roman" w:hAnsi="Times New Roman" w:cs="Times New Roman"/>
          <w:color w:val="000000" w:themeColor="text1"/>
          <w:sz w:val="28"/>
          <w:szCs w:val="28"/>
        </w:rPr>
        <w:t xml:space="preserve">o đó, bên giao đại lý phải thiết lập một môi trường kiểm soát hoạt động của đại lý với các quy trình quản trị phù hợp, thiết lập các bộ phận chịu trách nhiệm quản trị hoạt động, quản trị rủi ro, kiểm toán nội bộ với vai trò rõ ràng để bổ sung hỗ trợ lẫn nhau trong quá trình vận hành. </w:t>
      </w:r>
    </w:p>
    <w:p w14:paraId="417678AA" w14:textId="77777777" w:rsidR="00793EBE" w:rsidRDefault="006F429F" w:rsidP="00793EBE">
      <w:pPr>
        <w:shd w:val="clear" w:color="auto" w:fill="FFFFFF"/>
        <w:spacing w:before="120" w:after="120" w:line="266" w:lineRule="auto"/>
        <w:ind w:firstLine="720"/>
        <w:jc w:val="both"/>
        <w:rPr>
          <w:rFonts w:ascii="Times New Roman" w:hAnsi="Times New Roman" w:cs="Times New Roman"/>
          <w:color w:val="000000" w:themeColor="text1"/>
          <w:sz w:val="28"/>
          <w:szCs w:val="28"/>
        </w:rPr>
      </w:pPr>
      <w:r w:rsidRPr="00793EBE">
        <w:rPr>
          <w:rFonts w:ascii="Times New Roman" w:eastAsia="Calibri" w:hAnsi="Times New Roman" w:cs="Times New Roman"/>
          <w:color w:val="000000"/>
          <w:sz w:val="28"/>
          <w:szCs w:val="28"/>
          <w:lang w:val="sv-SE"/>
        </w:rPr>
        <w:t xml:space="preserve">Việc quy định số lượng điểm đại lý thanh toán </w:t>
      </w:r>
      <w:r w:rsidRPr="00793EBE">
        <w:rPr>
          <w:rFonts w:ascii="Times New Roman" w:eastAsia="Calibri" w:hAnsi="Times New Roman" w:cs="Times New Roman"/>
          <w:i/>
          <w:color w:val="000000"/>
          <w:sz w:val="28"/>
          <w:szCs w:val="28"/>
          <w:lang w:val="sv-SE"/>
        </w:rPr>
        <w:t>trên địa bàn huyện</w:t>
      </w:r>
      <w:r w:rsidRPr="00793EBE">
        <w:rPr>
          <w:rFonts w:ascii="Times New Roman" w:eastAsia="Calibri" w:hAnsi="Times New Roman" w:cs="Times New Roman"/>
          <w:color w:val="000000"/>
          <w:sz w:val="28"/>
          <w:szCs w:val="28"/>
          <w:lang w:val="sv-SE"/>
        </w:rPr>
        <w:t xml:space="preserve"> tại các tỉnh, thành phố trực thuộc Trung ương </w:t>
      </w:r>
      <w:r w:rsidRPr="00793EBE">
        <w:rPr>
          <w:rFonts w:ascii="Times New Roman" w:eastAsia="Calibri" w:hAnsi="Times New Roman" w:cs="Times New Roman"/>
          <w:i/>
          <w:color w:val="000000"/>
          <w:sz w:val="28"/>
          <w:szCs w:val="28"/>
          <w:lang w:val="sv-SE"/>
        </w:rPr>
        <w:t>chiếm trên 70% số lượng điểm đại lý thanh toán</w:t>
      </w:r>
      <w:r w:rsidRPr="00793EBE">
        <w:rPr>
          <w:rFonts w:ascii="Times New Roman" w:eastAsia="Calibri" w:hAnsi="Times New Roman" w:cs="Times New Roman"/>
          <w:color w:val="000000"/>
          <w:sz w:val="28"/>
          <w:szCs w:val="28"/>
          <w:lang w:val="sv-SE"/>
        </w:rPr>
        <w:t xml:space="preserve"> nhằm đảm bảo mục tiêu phục vụ cho phổ cập tài chính toàn diện, </w:t>
      </w:r>
      <w:r w:rsidRPr="00793EBE">
        <w:rPr>
          <w:rFonts w:ascii="Times New Roman" w:hAnsi="Times New Roman" w:cs="Times New Roman"/>
          <w:color w:val="000000"/>
          <w:sz w:val="28"/>
          <w:szCs w:val="28"/>
          <w:lang w:val="nl-NL"/>
        </w:rPr>
        <w:t>giúp các</w:t>
      </w:r>
      <w:r w:rsidRPr="00793EBE">
        <w:rPr>
          <w:rFonts w:ascii="Times New Roman" w:hAnsi="Times New Roman" w:cs="Times New Roman"/>
          <w:bCs/>
          <w:color w:val="000000"/>
          <w:sz w:val="28"/>
          <w:szCs w:val="28"/>
          <w:lang w:val="nl-NL"/>
        </w:rPr>
        <w:t xml:space="preserve"> khách hàng ở khu vực vùng sâu, vùng xa có khả năng tiếp cận những dịch vụ tài chính cơ bản với chi phí thấp</w:t>
      </w:r>
      <w:r w:rsidRPr="00793EBE">
        <w:rPr>
          <w:rFonts w:ascii="Times New Roman" w:eastAsia="Calibri" w:hAnsi="Times New Roman" w:cs="Times New Roman"/>
          <w:color w:val="000000"/>
          <w:sz w:val="28"/>
          <w:szCs w:val="28"/>
          <w:lang w:val="sv-SE"/>
        </w:rPr>
        <w:t>.</w:t>
      </w:r>
      <w:r w:rsidR="00793EBE" w:rsidRPr="00793EBE">
        <w:rPr>
          <w:rFonts w:ascii="Times New Roman" w:eastAsia="Calibri" w:hAnsi="Times New Roman" w:cs="Times New Roman"/>
          <w:color w:val="000000"/>
          <w:sz w:val="28"/>
          <w:szCs w:val="28"/>
          <w:lang w:val="sv-SE"/>
        </w:rPr>
        <w:t xml:space="preserve"> Nội dung này cũng phù hợp với cách tiếp cận của một số nước thành công mô hình đại lý thanh toán như: </w:t>
      </w:r>
      <w:r w:rsidR="00793EBE" w:rsidRPr="00793EBE">
        <w:rPr>
          <w:rFonts w:ascii="Times New Roman" w:hAnsi="Times New Roman" w:cs="Times New Roman"/>
          <w:color w:val="000000" w:themeColor="text1"/>
          <w:sz w:val="28"/>
          <w:szCs w:val="28"/>
        </w:rPr>
        <w:t>NHTW Malaysia quản lý chặt chẽ việc thực hiện hoạt động đại lý của các tổ chức tài chính chủ quản tại các vùng nông thôn</w:t>
      </w:r>
      <w:r w:rsidR="00793EBE" w:rsidRPr="00793EBE">
        <w:rPr>
          <w:rStyle w:val="FootnoteReference"/>
          <w:rFonts w:ascii="Times New Roman" w:hAnsi="Times New Roman" w:cs="Times New Roman"/>
          <w:color w:val="000000" w:themeColor="text1"/>
          <w:sz w:val="28"/>
          <w:szCs w:val="28"/>
        </w:rPr>
        <w:footnoteReference w:id="4"/>
      </w:r>
      <w:r w:rsidR="00793EBE" w:rsidRPr="00793EBE">
        <w:rPr>
          <w:rFonts w:ascii="Times New Roman" w:hAnsi="Times New Roman" w:cs="Times New Roman"/>
          <w:color w:val="000000" w:themeColor="text1"/>
          <w:sz w:val="28"/>
          <w:szCs w:val="28"/>
        </w:rPr>
        <w:t>; (iii) Bangladesh quy định tỷ lệ số lượng đại lý của ngân hàng phải đảm bảo tỷ lệ 2:1 ở khu vực nông thôn, vùng sâu, vùng xa</w:t>
      </w:r>
      <w:r w:rsidR="00793EBE" w:rsidRPr="00793EBE">
        <w:rPr>
          <w:rStyle w:val="FootnoteReference"/>
          <w:rFonts w:ascii="Times New Roman" w:hAnsi="Times New Roman" w:cs="Times New Roman"/>
          <w:color w:val="000000" w:themeColor="text1"/>
          <w:sz w:val="28"/>
          <w:szCs w:val="28"/>
        </w:rPr>
        <w:footnoteReference w:id="5"/>
      </w:r>
      <w:r w:rsidR="00793EBE" w:rsidRPr="00793EBE">
        <w:rPr>
          <w:rFonts w:ascii="Times New Roman" w:hAnsi="Times New Roman" w:cs="Times New Roman"/>
          <w:color w:val="000000" w:themeColor="text1"/>
          <w:sz w:val="28"/>
          <w:szCs w:val="28"/>
        </w:rPr>
        <w:t>.</w:t>
      </w:r>
    </w:p>
    <w:p w14:paraId="78FFED64" w14:textId="77777777" w:rsidR="00793EBE" w:rsidRPr="00793EBE" w:rsidRDefault="00793EBE" w:rsidP="00793EBE">
      <w:pPr>
        <w:shd w:val="clear" w:color="auto" w:fill="FFFFFF"/>
        <w:spacing w:before="120" w:after="120" w:line="26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Ngoài những nội dung chính trên, tại dự thảo Thông tư cũng quy định chi tiết về nội dung cơ bản trong hợp đồng đại lý, quyền và nghĩa vụ của bên giao đại lý và bên đại lý</w:t>
      </w:r>
    </w:p>
    <w:p w14:paraId="0D431B27" w14:textId="77777777" w:rsidR="0093640A" w:rsidRPr="00A46EAA" w:rsidRDefault="0093640A" w:rsidP="00C5048A">
      <w:pPr>
        <w:shd w:val="clear" w:color="auto" w:fill="FFFFFF"/>
        <w:spacing w:before="120" w:after="120" w:line="266" w:lineRule="auto"/>
        <w:ind w:firstLine="720"/>
        <w:jc w:val="both"/>
        <w:rPr>
          <w:rFonts w:ascii="Times New Roman" w:hAnsi="Times New Roman" w:cs="Times New Roman"/>
          <w:i/>
          <w:sz w:val="28"/>
          <w:szCs w:val="28"/>
        </w:rPr>
      </w:pPr>
      <w:r w:rsidRPr="00A46EAA">
        <w:rPr>
          <w:rFonts w:ascii="Times New Roman" w:hAnsi="Times New Roman" w:cs="Times New Roman"/>
          <w:i/>
          <w:sz w:val="28"/>
          <w:szCs w:val="28"/>
        </w:rPr>
        <w:t>2.</w:t>
      </w:r>
      <w:r w:rsidR="00E52D6B" w:rsidRPr="00A46EAA">
        <w:rPr>
          <w:rFonts w:ascii="Times New Roman" w:hAnsi="Times New Roman" w:cs="Times New Roman"/>
          <w:i/>
          <w:sz w:val="28"/>
          <w:szCs w:val="28"/>
        </w:rPr>
        <w:t>3</w:t>
      </w:r>
      <w:r w:rsidRPr="00A46EAA">
        <w:rPr>
          <w:rFonts w:ascii="Times New Roman" w:hAnsi="Times New Roman" w:cs="Times New Roman"/>
          <w:i/>
          <w:sz w:val="28"/>
          <w:szCs w:val="28"/>
        </w:rPr>
        <w:t>. Nội dung quy định tại Chương I</w:t>
      </w:r>
      <w:r w:rsidR="005C6C61">
        <w:rPr>
          <w:rFonts w:ascii="Times New Roman" w:hAnsi="Times New Roman" w:cs="Times New Roman"/>
          <w:i/>
          <w:sz w:val="28"/>
          <w:szCs w:val="28"/>
        </w:rPr>
        <w:t>II</w:t>
      </w:r>
    </w:p>
    <w:p w14:paraId="62756A87" w14:textId="77777777" w:rsidR="00757D7B" w:rsidRPr="00A46EAA" w:rsidRDefault="00691BA3" w:rsidP="00A46EAA">
      <w:pPr>
        <w:spacing w:before="120" w:after="120" w:line="266" w:lineRule="auto"/>
        <w:ind w:firstLine="709"/>
        <w:jc w:val="both"/>
        <w:rPr>
          <w:rFonts w:ascii="Times New Roman" w:hAnsi="Times New Roman" w:cs="Times New Roman"/>
          <w:i/>
          <w:sz w:val="28"/>
          <w:szCs w:val="28"/>
        </w:rPr>
      </w:pPr>
      <w:r w:rsidRPr="00A46EAA">
        <w:rPr>
          <w:rFonts w:ascii="Times New Roman" w:hAnsi="Times New Roman" w:cs="Times New Roman"/>
          <w:sz w:val="28"/>
          <w:szCs w:val="28"/>
        </w:rPr>
        <w:t xml:space="preserve">Tại Chương IV dự thảo đã quy định cụ thể </w:t>
      </w:r>
      <w:r w:rsidR="00757D7B" w:rsidRPr="00A46EAA">
        <w:rPr>
          <w:rFonts w:ascii="Times New Roman" w:hAnsi="Times New Roman" w:cs="Times New Roman"/>
          <w:sz w:val="28"/>
          <w:szCs w:val="28"/>
        </w:rPr>
        <w:t xml:space="preserve">về trách nhiệm báo cáo của </w:t>
      </w:r>
      <w:r w:rsidR="00E52D6B" w:rsidRPr="00A46EAA">
        <w:rPr>
          <w:rFonts w:ascii="Times New Roman" w:hAnsi="Times New Roman" w:cs="Times New Roman"/>
          <w:sz w:val="28"/>
          <w:szCs w:val="28"/>
        </w:rPr>
        <w:t>bên giao đại lý thanh toán</w:t>
      </w:r>
      <w:r w:rsidR="00757D7B" w:rsidRPr="00A46EAA">
        <w:rPr>
          <w:rFonts w:ascii="Times New Roman" w:hAnsi="Times New Roman" w:cs="Times New Roman"/>
          <w:sz w:val="28"/>
          <w:szCs w:val="28"/>
        </w:rPr>
        <w:t>; trách nhiệm của các đơn vị thuộc Ngân hàng Nhà nước</w:t>
      </w:r>
      <w:r w:rsidR="009E3D53" w:rsidRPr="00A46EAA">
        <w:rPr>
          <w:rFonts w:ascii="Times New Roman" w:hAnsi="Times New Roman" w:cs="Times New Roman"/>
          <w:sz w:val="28"/>
          <w:szCs w:val="28"/>
        </w:rPr>
        <w:t>.</w:t>
      </w:r>
    </w:p>
    <w:p w14:paraId="4D84A232" w14:textId="77777777" w:rsidR="0093640A" w:rsidRPr="00A46EAA" w:rsidRDefault="0093640A" w:rsidP="00A46EAA">
      <w:pPr>
        <w:spacing w:before="120" w:after="120" w:line="266" w:lineRule="auto"/>
        <w:ind w:firstLine="709"/>
        <w:jc w:val="both"/>
        <w:rPr>
          <w:rFonts w:ascii="Times New Roman" w:hAnsi="Times New Roman" w:cs="Times New Roman"/>
          <w:i/>
          <w:sz w:val="28"/>
          <w:szCs w:val="28"/>
        </w:rPr>
      </w:pPr>
      <w:r w:rsidRPr="00A46EAA">
        <w:rPr>
          <w:rFonts w:ascii="Times New Roman" w:hAnsi="Times New Roman" w:cs="Times New Roman"/>
          <w:i/>
          <w:sz w:val="28"/>
          <w:szCs w:val="28"/>
        </w:rPr>
        <w:t>2.</w:t>
      </w:r>
      <w:r w:rsidR="00E52D6B" w:rsidRPr="00A46EAA">
        <w:rPr>
          <w:rFonts w:ascii="Times New Roman" w:hAnsi="Times New Roman" w:cs="Times New Roman"/>
          <w:i/>
          <w:sz w:val="28"/>
          <w:szCs w:val="28"/>
        </w:rPr>
        <w:t>4</w:t>
      </w:r>
      <w:r w:rsidRPr="00A46EAA">
        <w:rPr>
          <w:rFonts w:ascii="Times New Roman" w:hAnsi="Times New Roman" w:cs="Times New Roman"/>
          <w:i/>
          <w:sz w:val="28"/>
          <w:szCs w:val="28"/>
        </w:rPr>
        <w:t xml:space="preserve">. Nội dung quy định tại Chương </w:t>
      </w:r>
      <w:r w:rsidR="005C6C61">
        <w:rPr>
          <w:rFonts w:ascii="Times New Roman" w:hAnsi="Times New Roman" w:cs="Times New Roman"/>
          <w:i/>
          <w:sz w:val="28"/>
          <w:szCs w:val="28"/>
        </w:rPr>
        <w:t>I</w:t>
      </w:r>
      <w:r w:rsidRPr="00A46EAA">
        <w:rPr>
          <w:rFonts w:ascii="Times New Roman" w:hAnsi="Times New Roman" w:cs="Times New Roman"/>
          <w:i/>
          <w:sz w:val="28"/>
          <w:szCs w:val="28"/>
        </w:rPr>
        <w:t>V</w:t>
      </w:r>
    </w:p>
    <w:p w14:paraId="744F3A3E" w14:textId="77777777" w:rsidR="003143E9" w:rsidRPr="00A46EAA" w:rsidRDefault="009E3D53" w:rsidP="00A46EAA">
      <w:pPr>
        <w:spacing w:before="120" w:after="120" w:line="266" w:lineRule="auto"/>
        <w:ind w:firstLine="709"/>
        <w:jc w:val="both"/>
        <w:rPr>
          <w:rFonts w:ascii="Times New Roman" w:hAnsi="Times New Roman" w:cs="Times New Roman"/>
          <w:sz w:val="28"/>
          <w:szCs w:val="28"/>
        </w:rPr>
      </w:pPr>
      <w:r w:rsidRPr="00A46EAA">
        <w:rPr>
          <w:rFonts w:ascii="Times New Roman" w:hAnsi="Times New Roman" w:cs="Times New Roman"/>
          <w:sz w:val="28"/>
          <w:szCs w:val="28"/>
        </w:rPr>
        <w:lastRenderedPageBreak/>
        <w:t xml:space="preserve">Tại Chương </w:t>
      </w:r>
      <w:r w:rsidR="005C6C61">
        <w:rPr>
          <w:rFonts w:ascii="Times New Roman" w:hAnsi="Times New Roman" w:cs="Times New Roman"/>
          <w:sz w:val="28"/>
          <w:szCs w:val="28"/>
        </w:rPr>
        <w:t>I</w:t>
      </w:r>
      <w:r w:rsidRPr="00A46EAA">
        <w:rPr>
          <w:rFonts w:ascii="Times New Roman" w:hAnsi="Times New Roman" w:cs="Times New Roman"/>
          <w:sz w:val="28"/>
          <w:szCs w:val="28"/>
        </w:rPr>
        <w:t>V dự thảo đã quy định cụ thể về</w:t>
      </w:r>
      <w:r w:rsidR="003143E9" w:rsidRPr="00A46EAA">
        <w:rPr>
          <w:rFonts w:ascii="Times New Roman" w:hAnsi="Times New Roman" w:cs="Times New Roman"/>
          <w:sz w:val="28"/>
          <w:szCs w:val="28"/>
        </w:rPr>
        <w:t xml:space="preserve"> hiệu lực thi hành; tổ chức thực hiện.</w:t>
      </w:r>
    </w:p>
    <w:p w14:paraId="1E7A53D0" w14:textId="77777777" w:rsidR="005C6C61" w:rsidRPr="00650A4F" w:rsidRDefault="005C6C61" w:rsidP="005C6C61">
      <w:pPr>
        <w:spacing w:before="240"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Trên đây là một số nội dung thuyết minh của Đơn vị soạn thảo về việc xây dựng dự thảo Thông tư để các cá nhân, tổ chức nghiên cứu và góp ý cho dự thảo Thông tư</w:t>
      </w:r>
      <w:r w:rsidRPr="003B4AC3">
        <w:rPr>
          <w:rFonts w:ascii="Times New Roman" w:hAnsi="Times New Roman" w:cs="Times New Roman"/>
          <w:sz w:val="28"/>
          <w:szCs w:val="28"/>
        </w:rPr>
        <w:t>.</w:t>
      </w:r>
      <w:r>
        <w:rPr>
          <w:rFonts w:ascii="Times New Roman" w:hAnsi="Times New Roman" w:cs="Times New Roman"/>
          <w:sz w:val="28"/>
          <w:szCs w:val="28"/>
        </w:rPr>
        <w:t>/.</w:t>
      </w:r>
    </w:p>
    <w:p w14:paraId="55EE0CA2" w14:textId="77777777" w:rsidR="00AD6E75" w:rsidRPr="003D2EA3" w:rsidRDefault="00DD347E" w:rsidP="003D2EA3">
      <w:pPr>
        <w:spacing w:before="120" w:line="360" w:lineRule="exact"/>
        <w:ind w:firstLine="709"/>
        <w:jc w:val="right"/>
        <w:rPr>
          <w:rFonts w:ascii="Times New Roman" w:eastAsia="Calibri" w:hAnsi="Times New Roman" w:cs="Times New Roman"/>
          <w:b/>
          <w:sz w:val="28"/>
          <w:szCs w:val="28"/>
          <w:lang w:val="pt-BR"/>
        </w:rPr>
      </w:pPr>
      <w:r w:rsidRPr="00650A4F">
        <w:rPr>
          <w:rFonts w:ascii="Times New Roman" w:eastAsia="Calibri" w:hAnsi="Times New Roman" w:cs="Times New Roman"/>
          <w:b/>
          <w:sz w:val="28"/>
          <w:szCs w:val="28"/>
          <w:lang w:val="pt-BR"/>
        </w:rPr>
        <w:t xml:space="preserve"> NGÂN HÀNG NHÀ NƯỚC</w:t>
      </w:r>
    </w:p>
    <w:sectPr w:rsidR="00AD6E75" w:rsidRPr="003D2EA3" w:rsidSect="00755505">
      <w:headerReference w:type="default" r:id="rId8"/>
      <w:headerReference w:type="first" r:id="rId9"/>
      <w:pgSz w:w="11907" w:h="16840" w:code="9"/>
      <w:pgMar w:top="1134" w:right="1134" w:bottom="851" w:left="1701" w:header="17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09995" w14:textId="77777777" w:rsidR="002844C3" w:rsidRDefault="002844C3" w:rsidP="003D2EA3">
      <w:pPr>
        <w:spacing w:after="0" w:line="240" w:lineRule="auto"/>
      </w:pPr>
      <w:r>
        <w:separator/>
      </w:r>
    </w:p>
  </w:endnote>
  <w:endnote w:type="continuationSeparator" w:id="0">
    <w:p w14:paraId="588DC7AB" w14:textId="77777777" w:rsidR="002844C3" w:rsidRDefault="002844C3" w:rsidP="003D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BEE1" w14:textId="77777777" w:rsidR="002844C3" w:rsidRDefault="002844C3" w:rsidP="003D2EA3">
      <w:pPr>
        <w:spacing w:after="0" w:line="240" w:lineRule="auto"/>
      </w:pPr>
      <w:r>
        <w:separator/>
      </w:r>
    </w:p>
  </w:footnote>
  <w:footnote w:type="continuationSeparator" w:id="0">
    <w:p w14:paraId="59D4BF7B" w14:textId="77777777" w:rsidR="002844C3" w:rsidRDefault="002844C3" w:rsidP="003D2EA3">
      <w:pPr>
        <w:spacing w:after="0" w:line="240" w:lineRule="auto"/>
      </w:pPr>
      <w:r>
        <w:continuationSeparator/>
      </w:r>
    </w:p>
  </w:footnote>
  <w:footnote w:id="1">
    <w:p w14:paraId="2612E769" w14:textId="77777777" w:rsidR="00706FCE" w:rsidRDefault="00706FCE" w:rsidP="00706FCE">
      <w:pPr>
        <w:pStyle w:val="FootnoteText"/>
      </w:pPr>
      <w:r>
        <w:rPr>
          <w:rStyle w:val="FootnoteReference"/>
        </w:rPr>
        <w:footnoteRef/>
      </w:r>
      <w:r>
        <w:t xml:space="preserve"> Quyết định số 149/QĐ-TTg ngày 22/01/2020 của Thủ tướng Chính phủ.</w:t>
      </w:r>
    </w:p>
  </w:footnote>
  <w:footnote w:id="2">
    <w:p w14:paraId="3E4480CC" w14:textId="77777777" w:rsidR="00632B23" w:rsidRPr="002E3B90" w:rsidRDefault="00632B23" w:rsidP="00632B23">
      <w:pPr>
        <w:pStyle w:val="FootnoteText"/>
      </w:pPr>
      <w:r w:rsidRPr="002E3B90">
        <w:rPr>
          <w:vertAlign w:val="superscript"/>
        </w:rPr>
        <w:footnoteRef/>
      </w:r>
      <w:r w:rsidRPr="002E3B90">
        <w:rPr>
          <w:lang w:val="es-NI"/>
        </w:rPr>
        <w:t xml:space="preserve"> Báo cáo về Tài chính toàn diện năm 2017 của Ngân hàng Thế giới.</w:t>
      </w:r>
    </w:p>
  </w:footnote>
  <w:footnote w:id="3">
    <w:p w14:paraId="650DE58A" w14:textId="77777777" w:rsidR="00486193" w:rsidRPr="00017BDD" w:rsidRDefault="00486193" w:rsidP="00486193">
      <w:pPr>
        <w:pStyle w:val="FootnoteText"/>
        <w:jc w:val="both"/>
      </w:pPr>
      <w:r w:rsidRPr="00017BDD">
        <w:rPr>
          <w:rStyle w:val="FootnoteReference"/>
        </w:rPr>
        <w:footnoteRef/>
      </w:r>
      <w:r w:rsidRPr="00017BDD">
        <w:t xml:space="preserve"> Tại Malaysia: tổ chức tài chính phải thiết lập hạn mức rút tiền trong ngày phù hợp cho khách hàng để nhiều khách hàng cùng được hưởng dịch vụ và giảm thiểu các rủi ro lây lan. Các hạn mức này có thể được thiết lập dựa trên đánh giá về trạng thái thanh khoản (liquidity position) của đại lý và không vượt</w:t>
      </w:r>
      <w:r w:rsidRPr="008D1369">
        <w:t xml:space="preserve"> </w:t>
      </w:r>
      <w:r w:rsidRPr="00017BDD">
        <w:t>quá các mức: (i) tổng RM500/tài khoản/ngày tại các đại lý riêng lẻ (là các doanh nghiệp nhỏ, độc lập được đăng ký là doanh nghiệp tư nhân tại ủy ban doanh  nghiệp của Malaysia (Companies Commission); (ii) tổng RM5,000/tài khoản/ngày tại các đại lý khác (bưu điện và trạm xăng).</w:t>
      </w:r>
    </w:p>
  </w:footnote>
  <w:footnote w:id="4">
    <w:p w14:paraId="612BD5F8" w14:textId="77777777" w:rsidR="00793EBE" w:rsidRPr="006C0201" w:rsidRDefault="00793EBE" w:rsidP="00793EBE">
      <w:pPr>
        <w:pStyle w:val="FootnoteText"/>
        <w:jc w:val="both"/>
      </w:pPr>
      <w:r w:rsidRPr="003F6873">
        <w:rPr>
          <w:rStyle w:val="FootnoteReference"/>
          <w:sz w:val="18"/>
          <w:szCs w:val="18"/>
        </w:rPr>
        <w:footnoteRef/>
      </w:r>
      <w:r w:rsidRPr="003F6873">
        <w:rPr>
          <w:sz w:val="18"/>
          <w:szCs w:val="18"/>
        </w:rPr>
        <w:t xml:space="preserve"> </w:t>
      </w:r>
      <w:r w:rsidRPr="006C0201">
        <w:t>Trong trường hợp NHTW nhận thấy hoạt động đại lý của tổ chức tài chính nào không phục vụ mục tiêu của tài chính toàn diện (đại lý ngân hàng chỉ được thực hiện tại thôn/bản với dân số ít nhất 2.000 người và không có điểm tiếp cận nào khác để thực hiện dịch vụ gửi và rút riền) thì sẽ thực hiện thanh tra, giám sát, thậm chí rút giấy phép thực hiện hoạt động này của tổ chức tài chính đó. (</w:t>
      </w:r>
      <w:r w:rsidRPr="006C0201">
        <w:rPr>
          <w:i/>
        </w:rPr>
        <w:t>Báo cáo chuyên đề về mô hình hoạt động đại lý – Viện Chiến lược NH</w:t>
      </w:r>
      <w:r w:rsidRPr="006C0201">
        <w:t>).</w:t>
      </w:r>
    </w:p>
  </w:footnote>
  <w:footnote w:id="5">
    <w:p w14:paraId="69BC6814" w14:textId="77777777" w:rsidR="00793EBE" w:rsidRPr="006C0201" w:rsidRDefault="00793EBE" w:rsidP="00793EBE">
      <w:pPr>
        <w:pStyle w:val="FootnoteText"/>
        <w:jc w:val="both"/>
      </w:pPr>
      <w:r w:rsidRPr="006C0201">
        <w:rPr>
          <w:rStyle w:val="FootnoteReference"/>
        </w:rPr>
        <w:footnoteRef/>
      </w:r>
      <w:r w:rsidRPr="006C0201">
        <w:t xml:space="preserve"> </w:t>
      </w:r>
      <w:bookmarkStart w:id="1" w:name="_Hlk77499798"/>
      <w:r>
        <w:t>N</w:t>
      </w:r>
      <w:r w:rsidRPr="006C0201">
        <w:t>gân hàng có 1 đại lý ở khu vực thành thị thì phải có 2 đại lý ở khu vực nông thôn, như vậy cũng tương ứng với tỷ lệ gần 70% điểm đại lý phải ở khu vực nông thôn, vùng sâu, vùng xa (</w:t>
      </w:r>
      <w:r w:rsidRPr="006C0201">
        <w:rPr>
          <w:i/>
        </w:rPr>
        <w:t xml:space="preserve">tham khảo </w:t>
      </w:r>
      <w:hyperlink r:id="rId1" w:history="1">
        <w:r w:rsidRPr="00B321F1">
          <w:rPr>
            <w:rStyle w:val="Hyperlink"/>
          </w:rPr>
          <w:t>https://www.dutchbanglabank.com/agent-banking/Guideline/agentbanking.pdf</w:t>
        </w:r>
      </w:hyperlink>
      <w:r w:rsidRPr="003931FC">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54682"/>
      <w:docPartObj>
        <w:docPartGallery w:val="Page Numbers (Top of Page)"/>
        <w:docPartUnique/>
      </w:docPartObj>
    </w:sdtPr>
    <w:sdtEndPr>
      <w:rPr>
        <w:noProof/>
      </w:rPr>
    </w:sdtEndPr>
    <w:sdtContent>
      <w:p w14:paraId="4095DBA1" w14:textId="77777777" w:rsidR="00755505" w:rsidRDefault="00755505">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50178475" w14:textId="77777777" w:rsidR="00AE4138" w:rsidRDefault="00AE4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217295"/>
      <w:docPartObj>
        <w:docPartGallery w:val="Page Numbers (Top of Page)"/>
        <w:docPartUnique/>
      </w:docPartObj>
    </w:sdtPr>
    <w:sdtEndPr>
      <w:rPr>
        <w:rFonts w:ascii="Times New Roman" w:hAnsi="Times New Roman" w:cs="Times New Roman"/>
        <w:noProof/>
        <w:sz w:val="24"/>
        <w:szCs w:val="24"/>
      </w:rPr>
    </w:sdtEndPr>
    <w:sdtContent>
      <w:p w14:paraId="327D80EF" w14:textId="77777777" w:rsidR="00AE4138" w:rsidRPr="00755505" w:rsidRDefault="00AE4138">
        <w:pPr>
          <w:pStyle w:val="Header"/>
          <w:jc w:val="center"/>
          <w:rPr>
            <w:rFonts w:ascii="Times New Roman" w:hAnsi="Times New Roman" w:cs="Times New Roman"/>
            <w:sz w:val="24"/>
            <w:szCs w:val="24"/>
          </w:rPr>
        </w:pPr>
        <w:r w:rsidRPr="00755505">
          <w:rPr>
            <w:rFonts w:ascii="Times New Roman" w:hAnsi="Times New Roman" w:cs="Times New Roman"/>
            <w:sz w:val="24"/>
            <w:szCs w:val="24"/>
          </w:rPr>
          <w:fldChar w:fldCharType="begin"/>
        </w:r>
        <w:r w:rsidRPr="00755505">
          <w:rPr>
            <w:rFonts w:ascii="Times New Roman" w:hAnsi="Times New Roman" w:cs="Times New Roman"/>
            <w:sz w:val="24"/>
            <w:szCs w:val="24"/>
          </w:rPr>
          <w:instrText xml:space="preserve"> PAGE   \* MERGEFORMAT </w:instrText>
        </w:r>
        <w:r w:rsidRPr="00755505">
          <w:rPr>
            <w:rFonts w:ascii="Times New Roman" w:hAnsi="Times New Roman" w:cs="Times New Roman"/>
            <w:sz w:val="24"/>
            <w:szCs w:val="24"/>
          </w:rPr>
          <w:fldChar w:fldCharType="separate"/>
        </w:r>
        <w:r w:rsidR="00755505">
          <w:rPr>
            <w:rFonts w:ascii="Times New Roman" w:hAnsi="Times New Roman" w:cs="Times New Roman"/>
            <w:noProof/>
            <w:sz w:val="24"/>
            <w:szCs w:val="24"/>
          </w:rPr>
          <w:t>1</w:t>
        </w:r>
        <w:r w:rsidRPr="00755505">
          <w:rPr>
            <w:rFonts w:ascii="Times New Roman" w:hAnsi="Times New Roman" w:cs="Times New Roman"/>
            <w:noProof/>
            <w:sz w:val="24"/>
            <w:szCs w:val="24"/>
          </w:rPr>
          <w:fldChar w:fldCharType="end"/>
        </w:r>
      </w:p>
    </w:sdtContent>
  </w:sdt>
  <w:p w14:paraId="13C82D10" w14:textId="77777777" w:rsidR="00A46EAA" w:rsidRDefault="00A46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53C8"/>
    <w:multiLevelType w:val="hybridMultilevel"/>
    <w:tmpl w:val="90E8BCD4"/>
    <w:lvl w:ilvl="0" w:tplc="0409000F">
      <w:start w:val="1"/>
      <w:numFmt w:val="decimal"/>
      <w:lvlText w:val="%1."/>
      <w:lvlJc w:val="left"/>
      <w:pPr>
        <w:ind w:left="277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5811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37F8"/>
    <w:rsid w:val="00003741"/>
    <w:rsid w:val="00010C21"/>
    <w:rsid w:val="00010E0A"/>
    <w:rsid w:val="00015A26"/>
    <w:rsid w:val="000179BF"/>
    <w:rsid w:val="000201C4"/>
    <w:rsid w:val="00055F17"/>
    <w:rsid w:val="00056F0D"/>
    <w:rsid w:val="00061E77"/>
    <w:rsid w:val="00086EFC"/>
    <w:rsid w:val="00091093"/>
    <w:rsid w:val="00096A02"/>
    <w:rsid w:val="000A1B19"/>
    <w:rsid w:val="000B100C"/>
    <w:rsid w:val="000C0B30"/>
    <w:rsid w:val="000D20AF"/>
    <w:rsid w:val="000E3151"/>
    <w:rsid w:val="000F5811"/>
    <w:rsid w:val="000F6A07"/>
    <w:rsid w:val="0010288F"/>
    <w:rsid w:val="00105BFB"/>
    <w:rsid w:val="00106671"/>
    <w:rsid w:val="00113A16"/>
    <w:rsid w:val="00123985"/>
    <w:rsid w:val="00127FBB"/>
    <w:rsid w:val="0013468B"/>
    <w:rsid w:val="00140823"/>
    <w:rsid w:val="001422AA"/>
    <w:rsid w:val="00153E3F"/>
    <w:rsid w:val="00160130"/>
    <w:rsid w:val="00161C11"/>
    <w:rsid w:val="00171E88"/>
    <w:rsid w:val="00186CC3"/>
    <w:rsid w:val="001A1FFA"/>
    <w:rsid w:val="001A52F7"/>
    <w:rsid w:val="001C1CEC"/>
    <w:rsid w:val="001C776D"/>
    <w:rsid w:val="001D77BC"/>
    <w:rsid w:val="00200E21"/>
    <w:rsid w:val="0022059E"/>
    <w:rsid w:val="00250D22"/>
    <w:rsid w:val="002622C3"/>
    <w:rsid w:val="00270B00"/>
    <w:rsid w:val="00272190"/>
    <w:rsid w:val="002844C3"/>
    <w:rsid w:val="002A0FDF"/>
    <w:rsid w:val="002A3BCD"/>
    <w:rsid w:val="002A7C0C"/>
    <w:rsid w:val="002B5E30"/>
    <w:rsid w:val="002C437A"/>
    <w:rsid w:val="002D342A"/>
    <w:rsid w:val="002E4A08"/>
    <w:rsid w:val="002F0B20"/>
    <w:rsid w:val="00302EB0"/>
    <w:rsid w:val="003040DC"/>
    <w:rsid w:val="003143E9"/>
    <w:rsid w:val="00321109"/>
    <w:rsid w:val="00321AF0"/>
    <w:rsid w:val="0034409C"/>
    <w:rsid w:val="003452FB"/>
    <w:rsid w:val="003478B4"/>
    <w:rsid w:val="00356C36"/>
    <w:rsid w:val="00360626"/>
    <w:rsid w:val="00366759"/>
    <w:rsid w:val="00383F4C"/>
    <w:rsid w:val="00386435"/>
    <w:rsid w:val="00396455"/>
    <w:rsid w:val="003B4AC3"/>
    <w:rsid w:val="003C7C04"/>
    <w:rsid w:val="003D1116"/>
    <w:rsid w:val="003D2EA3"/>
    <w:rsid w:val="003F05D1"/>
    <w:rsid w:val="003F1156"/>
    <w:rsid w:val="00400618"/>
    <w:rsid w:val="004034BF"/>
    <w:rsid w:val="004051C9"/>
    <w:rsid w:val="004068E7"/>
    <w:rsid w:val="004143EB"/>
    <w:rsid w:val="0042780E"/>
    <w:rsid w:val="00432A81"/>
    <w:rsid w:val="00434CE3"/>
    <w:rsid w:val="004374D7"/>
    <w:rsid w:val="00445531"/>
    <w:rsid w:val="00446257"/>
    <w:rsid w:val="00450D8B"/>
    <w:rsid w:val="00471A72"/>
    <w:rsid w:val="00475C3D"/>
    <w:rsid w:val="00481DF8"/>
    <w:rsid w:val="00486193"/>
    <w:rsid w:val="00490469"/>
    <w:rsid w:val="00491D79"/>
    <w:rsid w:val="004A530C"/>
    <w:rsid w:val="004A79C4"/>
    <w:rsid w:val="004D6B64"/>
    <w:rsid w:val="004E4D12"/>
    <w:rsid w:val="004F151A"/>
    <w:rsid w:val="004F2F8C"/>
    <w:rsid w:val="004F4103"/>
    <w:rsid w:val="0050112B"/>
    <w:rsid w:val="00501451"/>
    <w:rsid w:val="00503D7A"/>
    <w:rsid w:val="0051007F"/>
    <w:rsid w:val="005100D3"/>
    <w:rsid w:val="00525613"/>
    <w:rsid w:val="00533BF9"/>
    <w:rsid w:val="00540D9F"/>
    <w:rsid w:val="00546E8D"/>
    <w:rsid w:val="00551DE0"/>
    <w:rsid w:val="00554319"/>
    <w:rsid w:val="00556063"/>
    <w:rsid w:val="00596E42"/>
    <w:rsid w:val="005B0019"/>
    <w:rsid w:val="005C2479"/>
    <w:rsid w:val="005C6C61"/>
    <w:rsid w:val="005D03DD"/>
    <w:rsid w:val="005D26EB"/>
    <w:rsid w:val="005E2782"/>
    <w:rsid w:val="00606915"/>
    <w:rsid w:val="0061074A"/>
    <w:rsid w:val="00613B19"/>
    <w:rsid w:val="0062584B"/>
    <w:rsid w:val="00632528"/>
    <w:rsid w:val="00632B23"/>
    <w:rsid w:val="0064106E"/>
    <w:rsid w:val="006467F2"/>
    <w:rsid w:val="00650A4F"/>
    <w:rsid w:val="006611DB"/>
    <w:rsid w:val="0066392A"/>
    <w:rsid w:val="00671BA7"/>
    <w:rsid w:val="0068509B"/>
    <w:rsid w:val="00685556"/>
    <w:rsid w:val="00691BA3"/>
    <w:rsid w:val="00692459"/>
    <w:rsid w:val="006A042A"/>
    <w:rsid w:val="006B3397"/>
    <w:rsid w:val="006C605D"/>
    <w:rsid w:val="006E6B42"/>
    <w:rsid w:val="006F429F"/>
    <w:rsid w:val="00706FCE"/>
    <w:rsid w:val="00746021"/>
    <w:rsid w:val="007475FE"/>
    <w:rsid w:val="00755505"/>
    <w:rsid w:val="00757D7B"/>
    <w:rsid w:val="007606E0"/>
    <w:rsid w:val="00793EBE"/>
    <w:rsid w:val="00796D84"/>
    <w:rsid w:val="007A14E3"/>
    <w:rsid w:val="007A3515"/>
    <w:rsid w:val="007A35F4"/>
    <w:rsid w:val="007B696F"/>
    <w:rsid w:val="007B78E4"/>
    <w:rsid w:val="007C65FA"/>
    <w:rsid w:val="007C67ED"/>
    <w:rsid w:val="007E121D"/>
    <w:rsid w:val="007E4134"/>
    <w:rsid w:val="007E68AA"/>
    <w:rsid w:val="007E7666"/>
    <w:rsid w:val="007F01C2"/>
    <w:rsid w:val="007F4DDD"/>
    <w:rsid w:val="007F6AEC"/>
    <w:rsid w:val="00810C00"/>
    <w:rsid w:val="00830851"/>
    <w:rsid w:val="00832713"/>
    <w:rsid w:val="00833D10"/>
    <w:rsid w:val="00845EA7"/>
    <w:rsid w:val="00847E82"/>
    <w:rsid w:val="0086674E"/>
    <w:rsid w:val="00883332"/>
    <w:rsid w:val="008841FA"/>
    <w:rsid w:val="008B232E"/>
    <w:rsid w:val="008C0450"/>
    <w:rsid w:val="008C6226"/>
    <w:rsid w:val="008E38BA"/>
    <w:rsid w:val="008E5FEE"/>
    <w:rsid w:val="008E7351"/>
    <w:rsid w:val="008F229A"/>
    <w:rsid w:val="008F4487"/>
    <w:rsid w:val="008F60E4"/>
    <w:rsid w:val="009324D6"/>
    <w:rsid w:val="0093640A"/>
    <w:rsid w:val="00944AE9"/>
    <w:rsid w:val="00953FAB"/>
    <w:rsid w:val="009637F8"/>
    <w:rsid w:val="009715AA"/>
    <w:rsid w:val="00971E01"/>
    <w:rsid w:val="00977739"/>
    <w:rsid w:val="0098043A"/>
    <w:rsid w:val="00982D97"/>
    <w:rsid w:val="009A164C"/>
    <w:rsid w:val="009A78E1"/>
    <w:rsid w:val="009B5F43"/>
    <w:rsid w:val="009D45D3"/>
    <w:rsid w:val="009E0BDD"/>
    <w:rsid w:val="009E1B2E"/>
    <w:rsid w:val="009E3D53"/>
    <w:rsid w:val="009F2963"/>
    <w:rsid w:val="009F42D5"/>
    <w:rsid w:val="009F516B"/>
    <w:rsid w:val="009F5F3C"/>
    <w:rsid w:val="009F6450"/>
    <w:rsid w:val="00A02887"/>
    <w:rsid w:val="00A20BFC"/>
    <w:rsid w:val="00A22C30"/>
    <w:rsid w:val="00A46EAA"/>
    <w:rsid w:val="00A559B0"/>
    <w:rsid w:val="00A621E5"/>
    <w:rsid w:val="00A64DAD"/>
    <w:rsid w:val="00A70F37"/>
    <w:rsid w:val="00A76A23"/>
    <w:rsid w:val="00A86D7A"/>
    <w:rsid w:val="00AA5665"/>
    <w:rsid w:val="00AB0AC5"/>
    <w:rsid w:val="00AB1442"/>
    <w:rsid w:val="00AB4393"/>
    <w:rsid w:val="00AD6E75"/>
    <w:rsid w:val="00AE0814"/>
    <w:rsid w:val="00AE4138"/>
    <w:rsid w:val="00AF11A8"/>
    <w:rsid w:val="00AF5B96"/>
    <w:rsid w:val="00B07668"/>
    <w:rsid w:val="00B47548"/>
    <w:rsid w:val="00B61978"/>
    <w:rsid w:val="00B71460"/>
    <w:rsid w:val="00B83B16"/>
    <w:rsid w:val="00BA55E0"/>
    <w:rsid w:val="00BA7B77"/>
    <w:rsid w:val="00BC1614"/>
    <w:rsid w:val="00BC5C3C"/>
    <w:rsid w:val="00BC6EFF"/>
    <w:rsid w:val="00BD14B7"/>
    <w:rsid w:val="00BE3A04"/>
    <w:rsid w:val="00BE4418"/>
    <w:rsid w:val="00BE73AB"/>
    <w:rsid w:val="00BF078F"/>
    <w:rsid w:val="00C02564"/>
    <w:rsid w:val="00C042B7"/>
    <w:rsid w:val="00C07DF2"/>
    <w:rsid w:val="00C07F9E"/>
    <w:rsid w:val="00C13122"/>
    <w:rsid w:val="00C16767"/>
    <w:rsid w:val="00C17106"/>
    <w:rsid w:val="00C27E42"/>
    <w:rsid w:val="00C3265F"/>
    <w:rsid w:val="00C401C0"/>
    <w:rsid w:val="00C449C9"/>
    <w:rsid w:val="00C5048A"/>
    <w:rsid w:val="00C54F14"/>
    <w:rsid w:val="00C608B6"/>
    <w:rsid w:val="00C65977"/>
    <w:rsid w:val="00C65C01"/>
    <w:rsid w:val="00C768B9"/>
    <w:rsid w:val="00C77A0D"/>
    <w:rsid w:val="00C90F8A"/>
    <w:rsid w:val="00C93433"/>
    <w:rsid w:val="00CA2212"/>
    <w:rsid w:val="00CA6227"/>
    <w:rsid w:val="00CA6FCD"/>
    <w:rsid w:val="00CA7A47"/>
    <w:rsid w:val="00CB10E3"/>
    <w:rsid w:val="00CB6B50"/>
    <w:rsid w:val="00CC0F35"/>
    <w:rsid w:val="00CC122E"/>
    <w:rsid w:val="00CD2255"/>
    <w:rsid w:val="00CD6800"/>
    <w:rsid w:val="00CE57A6"/>
    <w:rsid w:val="00CE60CE"/>
    <w:rsid w:val="00CE63A0"/>
    <w:rsid w:val="00CF4273"/>
    <w:rsid w:val="00CF6B9A"/>
    <w:rsid w:val="00CF737F"/>
    <w:rsid w:val="00CF7C00"/>
    <w:rsid w:val="00D012B0"/>
    <w:rsid w:val="00D04575"/>
    <w:rsid w:val="00D1507E"/>
    <w:rsid w:val="00D30433"/>
    <w:rsid w:val="00D373CE"/>
    <w:rsid w:val="00D47137"/>
    <w:rsid w:val="00D50BCC"/>
    <w:rsid w:val="00D566F0"/>
    <w:rsid w:val="00D65BCE"/>
    <w:rsid w:val="00D765BD"/>
    <w:rsid w:val="00D902E0"/>
    <w:rsid w:val="00DA0B30"/>
    <w:rsid w:val="00DA2F71"/>
    <w:rsid w:val="00DA4F41"/>
    <w:rsid w:val="00DB4825"/>
    <w:rsid w:val="00DC611B"/>
    <w:rsid w:val="00DD347E"/>
    <w:rsid w:val="00DE6BC2"/>
    <w:rsid w:val="00E02D93"/>
    <w:rsid w:val="00E04283"/>
    <w:rsid w:val="00E1498B"/>
    <w:rsid w:val="00E218A8"/>
    <w:rsid w:val="00E236C4"/>
    <w:rsid w:val="00E438E5"/>
    <w:rsid w:val="00E46C70"/>
    <w:rsid w:val="00E52D6B"/>
    <w:rsid w:val="00E534C7"/>
    <w:rsid w:val="00E548CF"/>
    <w:rsid w:val="00E66176"/>
    <w:rsid w:val="00E70ED1"/>
    <w:rsid w:val="00E84775"/>
    <w:rsid w:val="00E928C5"/>
    <w:rsid w:val="00EC1F9D"/>
    <w:rsid w:val="00ED4341"/>
    <w:rsid w:val="00EE1CB3"/>
    <w:rsid w:val="00EE1D32"/>
    <w:rsid w:val="00EF6AF4"/>
    <w:rsid w:val="00F0413F"/>
    <w:rsid w:val="00F15578"/>
    <w:rsid w:val="00F25636"/>
    <w:rsid w:val="00F5505E"/>
    <w:rsid w:val="00F63609"/>
    <w:rsid w:val="00F65FC1"/>
    <w:rsid w:val="00F7644F"/>
    <w:rsid w:val="00F764F1"/>
    <w:rsid w:val="00F864C8"/>
    <w:rsid w:val="00F97553"/>
    <w:rsid w:val="00FB2241"/>
    <w:rsid w:val="00FB4E1B"/>
    <w:rsid w:val="00FD3521"/>
    <w:rsid w:val="00FD6259"/>
    <w:rsid w:val="00FF1CF8"/>
    <w:rsid w:val="00FF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3814DD"/>
  <w15:docId w15:val="{F0CAB807-07BE-47A6-8C0B-969E6DAD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06E"/>
    <w:pPr>
      <w:ind w:left="720"/>
      <w:contextualSpacing/>
    </w:pPr>
  </w:style>
  <w:style w:type="character" w:styleId="CommentReference">
    <w:name w:val="annotation reference"/>
    <w:basedOn w:val="DefaultParagraphFont"/>
    <w:uiPriority w:val="99"/>
    <w:semiHidden/>
    <w:unhideWhenUsed/>
    <w:rsid w:val="00E04283"/>
    <w:rPr>
      <w:sz w:val="16"/>
      <w:szCs w:val="16"/>
    </w:rPr>
  </w:style>
  <w:style w:type="paragraph" w:styleId="CommentText">
    <w:name w:val="annotation text"/>
    <w:basedOn w:val="Normal"/>
    <w:link w:val="CommentTextChar"/>
    <w:uiPriority w:val="99"/>
    <w:semiHidden/>
    <w:unhideWhenUsed/>
    <w:rsid w:val="00E04283"/>
    <w:pPr>
      <w:spacing w:after="0" w:line="240" w:lineRule="auto"/>
    </w:pPr>
    <w:rPr>
      <w:rFonts w:ascii="Times New Roman" w:eastAsia="Times New Roman" w:hAnsi="Times New Roman" w:cs="Times New Roman"/>
      <w:color w:val="0000FF"/>
      <w:sz w:val="20"/>
      <w:szCs w:val="20"/>
    </w:rPr>
  </w:style>
  <w:style w:type="character" w:customStyle="1" w:styleId="CommentTextChar">
    <w:name w:val="Comment Text Char"/>
    <w:basedOn w:val="DefaultParagraphFont"/>
    <w:link w:val="CommentText"/>
    <w:uiPriority w:val="99"/>
    <w:semiHidden/>
    <w:rsid w:val="00E04283"/>
    <w:rPr>
      <w:rFonts w:ascii="Times New Roman" w:eastAsia="Times New Roman" w:hAnsi="Times New Roman" w:cs="Times New Roman"/>
      <w:color w:val="0000FF"/>
      <w:sz w:val="20"/>
      <w:szCs w:val="20"/>
    </w:rPr>
  </w:style>
  <w:style w:type="paragraph" w:styleId="BalloonText">
    <w:name w:val="Balloon Text"/>
    <w:basedOn w:val="Normal"/>
    <w:link w:val="BalloonTextChar"/>
    <w:uiPriority w:val="99"/>
    <w:semiHidden/>
    <w:unhideWhenUsed/>
    <w:rsid w:val="00E04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83"/>
    <w:rPr>
      <w:rFonts w:ascii="Tahoma" w:hAnsi="Tahoma" w:cs="Tahoma"/>
      <w:sz w:val="16"/>
      <w:szCs w:val="16"/>
    </w:rPr>
  </w:style>
  <w:style w:type="paragraph" w:customStyle="1" w:styleId="Default">
    <w:name w:val="Default"/>
    <w:rsid w:val="003F05D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D2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EA3"/>
  </w:style>
  <w:style w:type="paragraph" w:styleId="Footer">
    <w:name w:val="footer"/>
    <w:basedOn w:val="Normal"/>
    <w:link w:val="FooterChar"/>
    <w:uiPriority w:val="99"/>
    <w:unhideWhenUsed/>
    <w:rsid w:val="003D2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EA3"/>
  </w:style>
  <w:style w:type="paragraph" w:styleId="FootnoteText">
    <w:name w:val="footnote text"/>
    <w:aliases w:val="Final Footnote Text,Footnote Text Char Char Char Char Char,Footnote Text Char Char Char Char Char Char Ch,Char Char,Char9,Footnote Text 2,fn,Footnotes,ft,fn cafc,Footnote ak,fn Char,footnote text Char,Footnotes Char,Footnote ak Char,З"/>
    <w:basedOn w:val="Normal"/>
    <w:link w:val="FootnoteTextChar"/>
    <w:qFormat/>
    <w:rsid w:val="00632B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inal Footnote Text Char,Footnote Text Char Char Char Char Char Char,Footnote Text Char Char Char Char Char Char Ch Char,Char Char Char,Char9 Char,Footnote Text 2 Char,fn Char1,Footnotes Char1,ft Char,fn cafc Char,Footnote ak Char1"/>
    <w:basedOn w:val="DefaultParagraphFont"/>
    <w:link w:val="FootnoteText"/>
    <w:qFormat/>
    <w:rsid w:val="00632B23"/>
    <w:rPr>
      <w:rFonts w:ascii="Times New Roman" w:eastAsia="Times New Roman" w:hAnsi="Times New Roman" w:cs="Times New Roman"/>
      <w:sz w:val="20"/>
      <w:szCs w:val="20"/>
    </w:rPr>
  </w:style>
  <w:style w:type="character" w:styleId="FootnoteReference">
    <w:name w:val="footnote reference"/>
    <w:aliases w:val="Footnote Reference1,Footnote,Ref,de nota al pie,Footnote text + 13 pt,Footnote text,ftref,4_G,fr,16 Point,Superscript 6 Point,BearingPoint,Footnote Text1,Footnote Text Char Char Char Char Char Char Ch Char Char Char Char Char Char C,R"/>
    <w:link w:val="CharChar1CharCharCharChar1CharCharCharCharCharCharCharChar"/>
    <w:qFormat/>
    <w:rsid w:val="00632B2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qFormat/>
    <w:rsid w:val="00632B23"/>
    <w:pPr>
      <w:spacing w:after="160" w:line="240" w:lineRule="exact"/>
    </w:pPr>
    <w:rPr>
      <w:vertAlign w:val="superscript"/>
    </w:rPr>
  </w:style>
  <w:style w:type="paragraph" w:styleId="BodyText2">
    <w:name w:val="Body Text 2"/>
    <w:basedOn w:val="Normal"/>
    <w:link w:val="BodyText2Char"/>
    <w:rsid w:val="006F429F"/>
    <w:pPr>
      <w:spacing w:after="0" w:line="240" w:lineRule="auto"/>
      <w:jc w:val="center"/>
    </w:pPr>
    <w:rPr>
      <w:rFonts w:ascii="Times New Roman" w:eastAsia="Times New Roman" w:hAnsi="Times New Roman" w:cs="Times New Roman"/>
      <w:b/>
      <w:bCs/>
      <w:szCs w:val="24"/>
      <w:lang w:val="x-none" w:eastAsia="x-none"/>
    </w:rPr>
  </w:style>
  <w:style w:type="character" w:customStyle="1" w:styleId="BodyText2Char">
    <w:name w:val="Body Text 2 Char"/>
    <w:basedOn w:val="DefaultParagraphFont"/>
    <w:link w:val="BodyText2"/>
    <w:rsid w:val="006F429F"/>
    <w:rPr>
      <w:rFonts w:ascii="Times New Roman" w:eastAsia="Times New Roman" w:hAnsi="Times New Roman" w:cs="Times New Roman"/>
      <w:b/>
      <w:bCs/>
      <w:szCs w:val="24"/>
      <w:lang w:val="x-none" w:eastAsia="x-none"/>
    </w:rPr>
  </w:style>
  <w:style w:type="character" w:styleId="Hyperlink">
    <w:name w:val="Hyperlink"/>
    <w:basedOn w:val="DefaultParagraphFont"/>
    <w:uiPriority w:val="99"/>
    <w:unhideWhenUsed/>
    <w:rsid w:val="00793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878">
      <w:bodyDiv w:val="1"/>
      <w:marLeft w:val="0"/>
      <w:marRight w:val="0"/>
      <w:marTop w:val="0"/>
      <w:marBottom w:val="0"/>
      <w:divBdr>
        <w:top w:val="none" w:sz="0" w:space="0" w:color="auto"/>
        <w:left w:val="none" w:sz="0" w:space="0" w:color="auto"/>
        <w:bottom w:val="none" w:sz="0" w:space="0" w:color="auto"/>
        <w:right w:val="none" w:sz="0" w:space="0" w:color="auto"/>
      </w:divBdr>
    </w:div>
    <w:div w:id="174271200">
      <w:bodyDiv w:val="1"/>
      <w:marLeft w:val="0"/>
      <w:marRight w:val="0"/>
      <w:marTop w:val="0"/>
      <w:marBottom w:val="0"/>
      <w:divBdr>
        <w:top w:val="none" w:sz="0" w:space="0" w:color="auto"/>
        <w:left w:val="none" w:sz="0" w:space="0" w:color="auto"/>
        <w:bottom w:val="none" w:sz="0" w:space="0" w:color="auto"/>
        <w:right w:val="none" w:sz="0" w:space="0" w:color="auto"/>
      </w:divBdr>
    </w:div>
    <w:div w:id="19450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dutchbanglabank.com/agent-banking/Guideline/agentbank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A7AFF-A8A8-455F-ACC2-E772BD054C6B}">
  <ds:schemaRefs>
    <ds:schemaRef ds:uri="http://schemas.openxmlformats.org/officeDocument/2006/bibliography"/>
  </ds:schemaRefs>
</ds:datastoreItem>
</file>

<file path=customXml/itemProps2.xml><?xml version="1.0" encoding="utf-8"?>
<ds:datastoreItem xmlns:ds="http://schemas.openxmlformats.org/officeDocument/2006/customXml" ds:itemID="{1E1A22B3-C706-45A9-8D54-B8B93DC8AA64}"/>
</file>

<file path=customXml/itemProps3.xml><?xml version="1.0" encoding="utf-8"?>
<ds:datastoreItem xmlns:ds="http://schemas.openxmlformats.org/officeDocument/2006/customXml" ds:itemID="{12C11B64-D91E-47AF-99C4-B126FD477F24}"/>
</file>

<file path=customXml/itemProps4.xml><?xml version="1.0" encoding="utf-8"?>
<ds:datastoreItem xmlns:ds="http://schemas.openxmlformats.org/officeDocument/2006/customXml" ds:itemID="{35DAD711-FB72-4953-8070-D6ADA4AFFCBA}"/>
</file>

<file path=docProps/app.xml><?xml version="1.0" encoding="utf-8"?>
<Properties xmlns="http://schemas.openxmlformats.org/officeDocument/2006/extended-properties" xmlns:vt="http://schemas.openxmlformats.org/officeDocument/2006/docPropsVTypes">
  <Template>Normal</Template>
  <TotalTime>1480</TotalTime>
  <Pages>8</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VTT-TT3004</cp:lastModifiedBy>
  <cp:revision>177</cp:revision>
  <cp:lastPrinted>2024-04-10T03:56:00Z</cp:lastPrinted>
  <dcterms:created xsi:type="dcterms:W3CDTF">2016-09-06T02:45:00Z</dcterms:created>
  <dcterms:modified xsi:type="dcterms:W3CDTF">2024-04-10T07:49:00Z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