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34C6" w14:textId="77777777" w:rsidR="00C14515" w:rsidRPr="007C6515" w:rsidRDefault="00C14515" w:rsidP="00C14515">
      <w:pPr>
        <w:rPr>
          <w:b/>
          <w:szCs w:val="28"/>
        </w:rPr>
      </w:pPr>
      <w:r w:rsidRPr="007C6515">
        <w:rPr>
          <w:b/>
          <w:szCs w:val="28"/>
        </w:rPr>
        <w:t>NGÂN HÀNG NHÀ NƯỚC VIỆT NAM</w:t>
      </w:r>
    </w:p>
    <w:p w14:paraId="68786293" w14:textId="77777777" w:rsidR="00C14515" w:rsidRPr="007C6515" w:rsidRDefault="00C14515" w:rsidP="00C14515">
      <w:pPr>
        <w:rPr>
          <w:b/>
          <w:szCs w:val="28"/>
        </w:rPr>
      </w:pPr>
      <w:r w:rsidRPr="007C6515">
        <w:rPr>
          <w:b/>
          <w:noProof/>
          <w:szCs w:val="28"/>
        </w:rPr>
        <mc:AlternateContent>
          <mc:Choice Requires="wps">
            <w:drawing>
              <wp:anchor distT="0" distB="0" distL="114300" distR="114300" simplePos="0" relativeHeight="251659264" behindDoc="0" locked="0" layoutInCell="1" allowOverlap="1" wp14:anchorId="5C1055FD" wp14:editId="79BFC38B">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0E3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" strokecolor="#5b9bd5 [3204]" strokeweight=".5pt">
                <v:stroke joinstyle="miter"/>
              </v:line>
            </w:pict>
          </mc:Fallback>
        </mc:AlternateContent>
      </w:r>
    </w:p>
    <w:p w14:paraId="6D6A88A7" w14:textId="77777777" w:rsidR="0032219B" w:rsidRPr="007C6515" w:rsidRDefault="00230F6E" w:rsidP="002979D4">
      <w:pPr>
        <w:spacing w:before="240"/>
        <w:jc w:val="center"/>
        <w:rPr>
          <w:b/>
          <w:sz w:val="28"/>
          <w:szCs w:val="28"/>
        </w:rPr>
      </w:pPr>
      <w:r w:rsidRPr="007C6515">
        <w:rPr>
          <w:b/>
          <w:sz w:val="28"/>
          <w:szCs w:val="28"/>
        </w:rPr>
        <w:t xml:space="preserve">BẢN THUYẾT MINH </w:t>
      </w:r>
      <w:r w:rsidR="00AA03BF" w:rsidRPr="007C6515">
        <w:rPr>
          <w:b/>
          <w:sz w:val="28"/>
          <w:szCs w:val="28"/>
        </w:rPr>
        <w:t>DỰ THẢO</w:t>
      </w:r>
      <w:r w:rsidRPr="007C6515">
        <w:rPr>
          <w:b/>
          <w:sz w:val="28"/>
          <w:szCs w:val="28"/>
        </w:rPr>
        <w:t xml:space="preserve"> THÔNG TƯ</w:t>
      </w:r>
    </w:p>
    <w:p w14:paraId="1FEA210F" w14:textId="25E22DF5" w:rsidR="0032219B" w:rsidRPr="007C6515" w:rsidRDefault="00F46CA6" w:rsidP="00833D85">
      <w:pPr>
        <w:jc w:val="center"/>
        <w:rPr>
          <w:b/>
          <w:sz w:val="28"/>
          <w:szCs w:val="28"/>
        </w:rPr>
      </w:pPr>
      <w:r w:rsidRPr="00F46CA6">
        <w:rPr>
          <w:b/>
          <w:sz w:val="28"/>
          <w:szCs w:val="28"/>
        </w:rPr>
        <w:t>Sửa đổi, bổ sung một số điều của Thông tư số 14/2018/TT-NHNN ngày 29 tháng 5 năm 2018 của Thống đốc Ngân hàng Nhà nước Việt Nam hướng dẫn thực hiện các biện pháp điều hành công cụ chính sách tiền tệ để hỗ trợ các tổ chức tín dụng cho vay phát triển nông nghiệp, nông thôn</w:t>
      </w:r>
      <w:r w:rsidR="00230F6E" w:rsidRPr="007C6515">
        <w:rPr>
          <w:b/>
          <w:noProof/>
        </w:rPr>
        <mc:AlternateContent>
          <mc:Choice Requires="wps">
            <w:drawing>
              <wp:anchor distT="0" distB="0" distL="114300" distR="114300" simplePos="0" relativeHeight="251658240" behindDoc="0" locked="0" layoutInCell="1" hidden="0" allowOverlap="1" wp14:anchorId="4CBD9645" wp14:editId="203AA8C3">
                <wp:simplePos x="0" y="0"/>
                <wp:positionH relativeFrom="column">
                  <wp:posOffset>1625600</wp:posOffset>
                </wp:positionH>
                <wp:positionV relativeFrom="paragraph">
                  <wp:posOffset>457200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C52AE7" id="_x0000_t32" coordsize="21600,21600" o:spt="32" o:oned="t" path="m,l21600,21600e" filled="f">
                <v:path arrowok="t" fillok="f" o:connecttype="none"/>
                <o:lock v:ext="edit" shapetype="t"/>
              </v:shapetype>
              <v:shape id="Straight Arrow Connector 2" o:spid="_x0000_s1026" type="#_x0000_t32" style="position:absolute;margin-left:128pt;margin-top:3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" strokecolor="black [3200]" strokeweight="1pt">
                <v:stroke startarrowwidth="narrow" startarrowlength="short" endarrowwidth="narrow" endarrowlength="short" joinstyle="miter"/>
              </v:shape>
            </w:pict>
          </mc:Fallback>
        </mc:AlternateContent>
      </w:r>
    </w:p>
    <w:p w14:paraId="740307F9" w14:textId="77777777" w:rsidR="0032219B" w:rsidRPr="007C6515" w:rsidRDefault="0032219B" w:rsidP="00B34976">
      <w:pPr>
        <w:tabs>
          <w:tab w:val="left" w:pos="2993"/>
        </w:tabs>
        <w:spacing w:before="120" w:after="120"/>
        <w:ind w:firstLine="709"/>
        <w:jc w:val="both"/>
        <w:rPr>
          <w:b/>
          <w:sz w:val="10"/>
          <w:szCs w:val="28"/>
        </w:rPr>
      </w:pPr>
    </w:p>
    <w:p w14:paraId="3355DF42" w14:textId="27378DF8" w:rsidR="0032219B" w:rsidRPr="007C6515" w:rsidRDefault="002C2DDC" w:rsidP="00E53F8C">
      <w:pPr>
        <w:spacing w:before="120" w:after="120"/>
        <w:ind w:firstLine="709"/>
        <w:jc w:val="both"/>
        <w:rPr>
          <w:b/>
          <w:sz w:val="28"/>
          <w:szCs w:val="28"/>
        </w:rPr>
      </w:pPr>
      <w:r w:rsidRPr="007C6515">
        <w:rPr>
          <w:b/>
          <w:sz w:val="28"/>
          <w:szCs w:val="28"/>
        </w:rPr>
        <w:t>1</w:t>
      </w:r>
      <w:r w:rsidR="00230F6E" w:rsidRPr="007C6515">
        <w:rPr>
          <w:b/>
          <w:sz w:val="28"/>
          <w:szCs w:val="28"/>
        </w:rPr>
        <w:t xml:space="preserve">. </w:t>
      </w:r>
      <w:r w:rsidR="00F46CA6">
        <w:rPr>
          <w:b/>
          <w:sz w:val="28"/>
          <w:szCs w:val="28"/>
        </w:rPr>
        <w:t>Sự cần thiế</w:t>
      </w:r>
      <w:r w:rsidR="00B7578D">
        <w:rPr>
          <w:b/>
          <w:sz w:val="28"/>
          <w:szCs w:val="28"/>
        </w:rPr>
        <w:t>t ban hàn hành dự thảo Thông tư:</w:t>
      </w:r>
    </w:p>
    <w:p w14:paraId="242A1D2A" w14:textId="55CEA7AD" w:rsidR="006C1766" w:rsidRDefault="00F46CA6" w:rsidP="00F46CA6">
      <w:pPr>
        <w:spacing w:before="120" w:after="120"/>
        <w:ind w:firstLine="709"/>
        <w:jc w:val="both"/>
        <w:rPr>
          <w:rFonts w:eastAsia="Calibri"/>
          <w:bCs/>
          <w:sz w:val="28"/>
          <w:szCs w:val="28"/>
          <w:lang w:val="nl-NL"/>
        </w:rPr>
      </w:pPr>
      <w:r w:rsidRPr="007C6515">
        <w:rPr>
          <w:rFonts w:eastAsia="Calibri"/>
          <w:bCs/>
          <w:sz w:val="28"/>
          <w:szCs w:val="28"/>
          <w:lang w:val="nl-NL"/>
        </w:rPr>
        <w:t xml:space="preserve">- Nghị định số 26/2025/NĐ-CP </w:t>
      </w:r>
      <w:r w:rsidR="009D4EFE">
        <w:rPr>
          <w:rFonts w:eastAsia="Calibri"/>
          <w:bCs/>
          <w:sz w:val="28"/>
          <w:szCs w:val="28"/>
          <w:lang w:val="nl-NL"/>
        </w:rPr>
        <w:t>n</w:t>
      </w:r>
      <w:r w:rsidR="009D4EFE" w:rsidRPr="007C6515">
        <w:rPr>
          <w:rFonts w:eastAsia="Calibri"/>
          <w:bCs/>
          <w:sz w:val="28"/>
          <w:szCs w:val="28"/>
          <w:lang w:val="nl-NL"/>
        </w:rPr>
        <w:t>gày 24/2/2025</w:t>
      </w:r>
      <w:r w:rsidR="009D4EFE">
        <w:rPr>
          <w:rFonts w:eastAsia="Calibri"/>
          <w:bCs/>
          <w:sz w:val="28"/>
          <w:szCs w:val="28"/>
          <w:lang w:val="nl-NL"/>
        </w:rPr>
        <w:t xml:space="preserve"> của</w:t>
      </w:r>
      <w:r w:rsidR="009D4EFE" w:rsidRPr="007C6515">
        <w:rPr>
          <w:rFonts w:eastAsia="Calibri"/>
          <w:bCs/>
          <w:sz w:val="28"/>
          <w:szCs w:val="28"/>
          <w:lang w:val="nl-NL"/>
        </w:rPr>
        <w:t xml:space="preserve"> Chính phủ ban hành</w:t>
      </w:r>
      <w:r w:rsidR="009D4EFE" w:rsidRPr="007C6515">
        <w:rPr>
          <w:rFonts w:eastAsia="Calibri"/>
          <w:bCs/>
          <w:sz w:val="28"/>
          <w:szCs w:val="28"/>
          <w:lang w:val="nl-NL"/>
        </w:rPr>
        <w:t xml:space="preserve"> </w:t>
      </w:r>
      <w:r w:rsidRPr="007C6515">
        <w:rPr>
          <w:rFonts w:eastAsia="Calibri"/>
          <w:bCs/>
          <w:sz w:val="28"/>
          <w:szCs w:val="28"/>
          <w:lang w:val="nl-NL"/>
        </w:rPr>
        <w:t>quy định chức năng, nhiệm vụ, quyền hạn và cơ cấu tổ chức của NHNN, trong đó sắp xếp, tổ chức lại một số đơn vị Vụ, cục, NHNN chi nhánh</w:t>
      </w:r>
      <w:r w:rsidRPr="007C6515">
        <w:rPr>
          <w:bCs/>
          <w:sz w:val="28"/>
          <w:szCs w:val="28"/>
        </w:rPr>
        <w:t xml:space="preserve">, </w:t>
      </w:r>
      <w:r w:rsidR="006C1766">
        <w:rPr>
          <w:bCs/>
          <w:sz w:val="28"/>
          <w:szCs w:val="28"/>
        </w:rPr>
        <w:t xml:space="preserve">do đó, một số quy định về các đơn vị </w:t>
      </w:r>
      <w:r w:rsidR="009D4EFE">
        <w:rPr>
          <w:bCs/>
          <w:sz w:val="28"/>
          <w:szCs w:val="28"/>
        </w:rPr>
        <w:t xml:space="preserve">thuộc diện sắp xếp tổ chức lại </w:t>
      </w:r>
      <w:r w:rsidR="006C1766">
        <w:rPr>
          <w:bCs/>
          <w:sz w:val="28"/>
          <w:szCs w:val="28"/>
        </w:rPr>
        <w:t xml:space="preserve">tại Thông tư </w:t>
      </w:r>
      <w:r w:rsidR="006C1766" w:rsidRPr="006C1766">
        <w:rPr>
          <w:bCs/>
          <w:sz w:val="28"/>
          <w:szCs w:val="28"/>
        </w:rPr>
        <w:t xml:space="preserve">14/2018/TT-NHNN </w:t>
      </w:r>
      <w:r w:rsidRPr="007C6515">
        <w:rPr>
          <w:rFonts w:eastAsia="Calibri"/>
          <w:bCs/>
          <w:sz w:val="28"/>
          <w:szCs w:val="28"/>
          <w:lang w:val="nl-NL"/>
        </w:rPr>
        <w:t xml:space="preserve">cần </w:t>
      </w:r>
      <w:r w:rsidR="006C1766">
        <w:rPr>
          <w:rFonts w:eastAsia="Calibri"/>
          <w:bCs/>
          <w:sz w:val="28"/>
          <w:szCs w:val="28"/>
          <w:lang w:val="nl-NL"/>
        </w:rPr>
        <w:t xml:space="preserve">được sửa đổi, bổ sung </w:t>
      </w:r>
      <w:r w:rsidRPr="007C6515">
        <w:rPr>
          <w:rFonts w:eastAsia="Calibri"/>
          <w:bCs/>
          <w:sz w:val="28"/>
          <w:szCs w:val="28"/>
          <w:lang w:val="nl-NL"/>
        </w:rPr>
        <w:t>để phù hợp với quy định tại Nghị định 26/2025/NĐ-CP</w:t>
      </w:r>
      <w:r w:rsidR="006C1766">
        <w:rPr>
          <w:rFonts w:eastAsia="Calibri"/>
          <w:bCs/>
          <w:sz w:val="28"/>
          <w:szCs w:val="28"/>
          <w:lang w:val="nl-NL"/>
        </w:rPr>
        <w:t xml:space="preserve"> và chức năng, nhiệm vụ các đơn vị </w:t>
      </w:r>
      <w:r w:rsidR="009D4EFE">
        <w:rPr>
          <w:rFonts w:eastAsia="Calibri"/>
          <w:bCs/>
          <w:sz w:val="28"/>
          <w:szCs w:val="28"/>
          <w:lang w:val="nl-NL"/>
        </w:rPr>
        <w:t xml:space="preserve">sau khi sắp xếp, tổ chức lại. </w:t>
      </w:r>
    </w:p>
    <w:p w14:paraId="1F6078C7" w14:textId="608C3FFA" w:rsidR="00F46CA6" w:rsidRDefault="00F46CA6" w:rsidP="00F46CA6">
      <w:pPr>
        <w:spacing w:before="120" w:after="120"/>
        <w:ind w:firstLine="709"/>
        <w:jc w:val="both"/>
        <w:rPr>
          <w:rFonts w:eastAsia="Calibri"/>
          <w:bCs/>
          <w:sz w:val="28"/>
          <w:szCs w:val="28"/>
          <w:lang w:val="nl-NL"/>
        </w:rPr>
      </w:pPr>
      <w:r>
        <w:rPr>
          <w:rFonts w:eastAsia="Calibri"/>
          <w:bCs/>
          <w:sz w:val="28"/>
          <w:szCs w:val="28"/>
          <w:lang w:val="nl-NL"/>
        </w:rPr>
        <w:t>-</w:t>
      </w:r>
      <w:r w:rsidR="006C1766">
        <w:rPr>
          <w:rFonts w:eastAsia="Calibri"/>
          <w:bCs/>
          <w:sz w:val="28"/>
          <w:szCs w:val="28"/>
          <w:lang w:val="nl-NL"/>
        </w:rPr>
        <w:t xml:space="preserve"> Tại </w:t>
      </w:r>
      <w:r w:rsidR="006C1766" w:rsidRPr="006C1766">
        <w:rPr>
          <w:rFonts w:eastAsia="Calibri"/>
          <w:bCs/>
          <w:sz w:val="28"/>
          <w:szCs w:val="28"/>
          <w:lang w:val="nl-NL"/>
        </w:rPr>
        <w:t>Nghị quyết 66/NQ-CP ngày 26/3/2025</w:t>
      </w:r>
      <w:r w:rsidR="006C1766">
        <w:rPr>
          <w:rFonts w:eastAsia="Calibri"/>
          <w:bCs/>
          <w:sz w:val="28"/>
          <w:szCs w:val="28"/>
          <w:lang w:val="nl-NL"/>
        </w:rPr>
        <w:t xml:space="preserve"> và một số văn bản của Chính phủ, Thủ tướng Chính phủ </w:t>
      </w:r>
      <w:r w:rsidR="009D4EFE">
        <w:rPr>
          <w:rFonts w:eastAsia="Calibri"/>
          <w:bCs/>
          <w:sz w:val="28"/>
          <w:szCs w:val="28"/>
          <w:lang w:val="nl-NL"/>
        </w:rPr>
        <w:t xml:space="preserve">có </w:t>
      </w:r>
      <w:r w:rsidR="006C1766">
        <w:rPr>
          <w:rFonts w:eastAsia="Calibri"/>
          <w:bCs/>
          <w:sz w:val="28"/>
          <w:szCs w:val="28"/>
          <w:lang w:val="nl-NL"/>
        </w:rPr>
        <w:t xml:space="preserve">chỉ đạo </w:t>
      </w:r>
      <w:r w:rsidR="006C1766" w:rsidRPr="006C1766">
        <w:rPr>
          <w:rFonts w:eastAsia="Calibri"/>
          <w:bCs/>
          <w:sz w:val="28"/>
          <w:szCs w:val="28"/>
          <w:lang w:val="nl-NL"/>
        </w:rPr>
        <w:t xml:space="preserve">về công </w:t>
      </w:r>
      <w:r w:rsidR="006C1766">
        <w:rPr>
          <w:rFonts w:eastAsia="Calibri"/>
          <w:bCs/>
          <w:sz w:val="28"/>
          <w:szCs w:val="28"/>
          <w:lang w:val="nl-NL"/>
        </w:rPr>
        <w:t>thủ tục hành chính</w:t>
      </w:r>
      <w:r w:rsidR="006C1766" w:rsidRPr="006C1766">
        <w:rPr>
          <w:rFonts w:eastAsia="Calibri"/>
          <w:bCs/>
          <w:sz w:val="28"/>
          <w:szCs w:val="28"/>
          <w:lang w:val="nl-NL"/>
        </w:rPr>
        <w:t>, chuyển đổi số quốc gia, tăng cường kết nối, chia sẻ dữ liệu</w:t>
      </w:r>
      <w:r w:rsidR="006C1766">
        <w:rPr>
          <w:rFonts w:eastAsia="Calibri"/>
          <w:bCs/>
          <w:sz w:val="28"/>
          <w:szCs w:val="28"/>
          <w:lang w:val="nl-NL"/>
        </w:rPr>
        <w:t xml:space="preserve">, </w:t>
      </w:r>
      <w:r w:rsidR="006C1766" w:rsidRPr="006C1766">
        <w:rPr>
          <w:rFonts w:eastAsia="Calibri"/>
          <w:bCs/>
          <w:sz w:val="28"/>
          <w:szCs w:val="28"/>
          <w:lang w:val="nl-NL"/>
        </w:rPr>
        <w:t xml:space="preserve">trong đó có </w:t>
      </w:r>
      <w:r w:rsidR="006C1766">
        <w:rPr>
          <w:rFonts w:eastAsia="Calibri"/>
          <w:bCs/>
          <w:sz w:val="28"/>
          <w:szCs w:val="28"/>
          <w:lang w:val="nl-NL"/>
        </w:rPr>
        <w:t xml:space="preserve">đề ra </w:t>
      </w:r>
      <w:r w:rsidR="006C1766" w:rsidRPr="006C1766">
        <w:rPr>
          <w:rFonts w:eastAsia="Calibri"/>
          <w:bCs/>
          <w:sz w:val="28"/>
          <w:szCs w:val="28"/>
          <w:lang w:val="nl-NL"/>
        </w:rPr>
        <w:t>nhiệm vụ nâng cấp TTHC lên dịch vụ công trực tuyến, dịch vụ công trực tuyến toàn trình, hoặc tăng cường triển khai TTHC trên môi trường điện tử.</w:t>
      </w:r>
      <w:r w:rsidR="006C1766">
        <w:rPr>
          <w:rFonts w:eastAsia="Calibri"/>
          <w:bCs/>
          <w:sz w:val="28"/>
          <w:szCs w:val="28"/>
          <w:lang w:val="nl-NL"/>
        </w:rPr>
        <w:t xml:space="preserve"> Theo đó, </w:t>
      </w:r>
      <w:r w:rsidR="006C1766" w:rsidRPr="006C1766">
        <w:rPr>
          <w:rFonts w:eastAsia="Calibri"/>
          <w:bCs/>
          <w:sz w:val="28"/>
          <w:szCs w:val="28"/>
          <w:lang w:val="nl-NL"/>
        </w:rPr>
        <w:t>để chuẩn bị sẵn sàng cho việc nâng cấp TTHC áp dụng tỷ lệ DTBB hỗ trợ</w:t>
      </w:r>
      <w:r w:rsidR="006C1766">
        <w:rPr>
          <w:rFonts w:eastAsia="Calibri"/>
          <w:bCs/>
          <w:sz w:val="28"/>
          <w:szCs w:val="28"/>
          <w:lang w:val="nl-NL"/>
        </w:rPr>
        <w:t>,</w:t>
      </w:r>
      <w:r w:rsidR="006C1766" w:rsidRPr="006C1766">
        <w:rPr>
          <w:rFonts w:eastAsia="Calibri"/>
          <w:bCs/>
          <w:sz w:val="28"/>
          <w:szCs w:val="28"/>
          <w:lang w:val="nl-NL"/>
        </w:rPr>
        <w:t xml:space="preserve"> Thông tư 14</w:t>
      </w:r>
      <w:r w:rsidR="006C1766">
        <w:rPr>
          <w:rFonts w:eastAsia="Calibri"/>
          <w:bCs/>
          <w:sz w:val="28"/>
          <w:szCs w:val="28"/>
          <w:lang w:val="nl-NL"/>
        </w:rPr>
        <w:t>/2018/TT-NHNN</w:t>
      </w:r>
      <w:r w:rsidR="006C1766" w:rsidRPr="006C1766">
        <w:rPr>
          <w:rFonts w:eastAsia="Calibri"/>
          <w:bCs/>
          <w:sz w:val="28"/>
          <w:szCs w:val="28"/>
          <w:lang w:val="nl-NL"/>
        </w:rPr>
        <w:t xml:space="preserve"> cần được sửa đổi, bổ sung thêm hình thức trực tuyến khi TCTD gửi văn bản đề nghị và NHNN thông báo kết quả xử lý đề nghị áp dụng tỷ lệ DTBB hỗ trợ</w:t>
      </w:r>
      <w:r w:rsidR="006C1766">
        <w:rPr>
          <w:rFonts w:eastAsia="Calibri"/>
          <w:bCs/>
          <w:sz w:val="28"/>
          <w:szCs w:val="28"/>
          <w:lang w:val="nl-NL"/>
        </w:rPr>
        <w:t>.</w:t>
      </w:r>
    </w:p>
    <w:p w14:paraId="1E6A13A0" w14:textId="7B4E5B49" w:rsidR="006C1766" w:rsidRDefault="006C1766" w:rsidP="00F46CA6">
      <w:pPr>
        <w:spacing w:before="120" w:after="120"/>
        <w:ind w:firstLine="709"/>
        <w:jc w:val="both"/>
        <w:rPr>
          <w:rFonts w:eastAsia="Calibri"/>
          <w:bCs/>
          <w:sz w:val="28"/>
          <w:szCs w:val="28"/>
          <w:lang w:val="nl-NL"/>
        </w:rPr>
      </w:pPr>
      <w:r>
        <w:rPr>
          <w:rFonts w:eastAsia="Calibri"/>
          <w:bCs/>
          <w:sz w:val="28"/>
          <w:szCs w:val="28"/>
          <w:lang w:val="nl-NL"/>
        </w:rPr>
        <w:t xml:space="preserve">- </w:t>
      </w:r>
      <w:r w:rsidRPr="006C1766">
        <w:rPr>
          <w:rFonts w:eastAsia="Calibri"/>
          <w:bCs/>
          <w:sz w:val="28"/>
          <w:szCs w:val="28"/>
          <w:lang w:val="nl-NL"/>
        </w:rPr>
        <w:t xml:space="preserve">Tại Nghị định 55/2015/NĐ-CP </w:t>
      </w:r>
      <w:r w:rsidR="00B7578D" w:rsidRPr="006C1766">
        <w:rPr>
          <w:rFonts w:eastAsia="Calibri"/>
          <w:bCs/>
          <w:sz w:val="28"/>
          <w:szCs w:val="28"/>
          <w:lang w:val="nl-NL"/>
        </w:rPr>
        <w:t>(đã được sửa đổi, bổ sung</w:t>
      </w:r>
      <w:r w:rsidR="00B7578D">
        <w:rPr>
          <w:rFonts w:eastAsia="Calibri"/>
          <w:bCs/>
          <w:sz w:val="28"/>
          <w:szCs w:val="28"/>
          <w:lang w:val="nl-NL"/>
        </w:rPr>
        <w:t>)</w:t>
      </w:r>
      <w:r w:rsidR="00B7578D" w:rsidRPr="006C1766">
        <w:rPr>
          <w:rFonts w:eastAsia="Calibri"/>
          <w:bCs/>
          <w:sz w:val="28"/>
          <w:szCs w:val="28"/>
          <w:lang w:val="nl-NL"/>
        </w:rPr>
        <w:t xml:space="preserve"> về chính sách tín dụng phục vụ phát triển nông nghiệp, nông thôn</w:t>
      </w:r>
      <w:r w:rsidR="00B7578D">
        <w:rPr>
          <w:rFonts w:eastAsia="Calibri"/>
          <w:bCs/>
          <w:sz w:val="28"/>
          <w:szCs w:val="28"/>
          <w:lang w:val="nl-NL"/>
        </w:rPr>
        <w:t xml:space="preserve"> </w:t>
      </w:r>
      <w:r w:rsidRPr="006C1766">
        <w:rPr>
          <w:rFonts w:eastAsia="Calibri"/>
          <w:bCs/>
          <w:sz w:val="28"/>
          <w:szCs w:val="28"/>
          <w:lang w:val="nl-NL"/>
        </w:rPr>
        <w:t xml:space="preserve">và Thông tư 10/2015/TT-NHNN ngày 22/7/2015 </w:t>
      </w:r>
      <w:r w:rsidR="00B7578D">
        <w:rPr>
          <w:rFonts w:eastAsia="Calibri"/>
          <w:bCs/>
          <w:sz w:val="28"/>
          <w:szCs w:val="28"/>
          <w:lang w:val="nl-NL"/>
        </w:rPr>
        <w:t xml:space="preserve">(đã được sửa đổi, bổ sung) </w:t>
      </w:r>
      <w:r w:rsidR="00B7578D">
        <w:rPr>
          <w:rFonts w:eastAsia="Calibri"/>
          <w:bCs/>
          <w:sz w:val="28"/>
          <w:szCs w:val="28"/>
          <w:lang w:val="nl-NL"/>
        </w:rPr>
        <w:t xml:space="preserve">hướng dẫn Nghị định này </w:t>
      </w:r>
      <w:r>
        <w:rPr>
          <w:rFonts w:eastAsia="Calibri"/>
          <w:bCs/>
          <w:sz w:val="28"/>
          <w:szCs w:val="28"/>
          <w:lang w:val="nl-NL"/>
        </w:rPr>
        <w:t>có quy định về đối tượng TCTD cho vay nông nghiệp, nông thôn</w:t>
      </w:r>
      <w:r w:rsidR="00B7578D">
        <w:rPr>
          <w:rFonts w:eastAsia="Calibri"/>
          <w:bCs/>
          <w:sz w:val="28"/>
          <w:szCs w:val="28"/>
          <w:lang w:val="nl-NL"/>
        </w:rPr>
        <w:t xml:space="preserve">, </w:t>
      </w:r>
      <w:r w:rsidRPr="006C1766">
        <w:rPr>
          <w:rFonts w:eastAsia="Calibri"/>
          <w:bCs/>
          <w:sz w:val="28"/>
          <w:szCs w:val="28"/>
          <w:lang w:val="nl-NL"/>
        </w:rPr>
        <w:t xml:space="preserve">trong đó, dự thảo Thông tư thay thế </w:t>
      </w:r>
      <w:r w:rsidR="00B7578D">
        <w:rPr>
          <w:rFonts w:eastAsia="Calibri"/>
          <w:bCs/>
          <w:sz w:val="28"/>
          <w:szCs w:val="28"/>
          <w:lang w:val="nl-NL"/>
        </w:rPr>
        <w:t xml:space="preserve">Thông tư 10/2015/TT-NHNN </w:t>
      </w:r>
      <w:r w:rsidRPr="006C1766">
        <w:rPr>
          <w:rFonts w:eastAsia="Calibri"/>
          <w:bCs/>
          <w:sz w:val="28"/>
          <w:szCs w:val="28"/>
          <w:lang w:val="nl-NL"/>
        </w:rPr>
        <w:t xml:space="preserve">đang </w:t>
      </w:r>
      <w:r w:rsidR="00B7578D">
        <w:rPr>
          <w:rFonts w:eastAsia="Calibri"/>
          <w:bCs/>
          <w:sz w:val="28"/>
          <w:szCs w:val="28"/>
          <w:lang w:val="nl-NL"/>
        </w:rPr>
        <w:t xml:space="preserve">được </w:t>
      </w:r>
      <w:r w:rsidRPr="006C1766">
        <w:rPr>
          <w:rFonts w:eastAsia="Calibri"/>
          <w:bCs/>
          <w:sz w:val="28"/>
          <w:szCs w:val="28"/>
          <w:lang w:val="nl-NL"/>
        </w:rPr>
        <w:t xml:space="preserve">sửa đổi, bổ sung </w:t>
      </w:r>
      <w:r w:rsidR="00B7578D">
        <w:rPr>
          <w:rFonts w:eastAsia="Calibri"/>
          <w:bCs/>
          <w:sz w:val="28"/>
          <w:szCs w:val="28"/>
          <w:lang w:val="nl-NL"/>
        </w:rPr>
        <w:t xml:space="preserve">về </w:t>
      </w:r>
      <w:r w:rsidRPr="006C1766">
        <w:rPr>
          <w:rFonts w:eastAsia="Calibri"/>
          <w:bCs/>
          <w:sz w:val="28"/>
          <w:szCs w:val="28"/>
          <w:lang w:val="nl-NL"/>
        </w:rPr>
        <w:t>đối tượng TCTD được cho vay nông nghiệp, nông thôn.</w:t>
      </w:r>
      <w:r w:rsidR="00B7578D">
        <w:rPr>
          <w:rFonts w:eastAsia="Calibri"/>
          <w:bCs/>
          <w:sz w:val="28"/>
          <w:szCs w:val="28"/>
          <w:lang w:val="nl-NL"/>
        </w:rPr>
        <w:t xml:space="preserve"> Vì vậy, để thống nhất với đối tượng TCTD được cho vay nông nghiệp, nông thôn tại các văn bản quy định này, Thông tư 14/2018/TT-NHNN cần được sửa đổi về đối tượng TCTD áp dụng Thông tư.  </w:t>
      </w:r>
      <w:r w:rsidRPr="006C1766">
        <w:rPr>
          <w:rFonts w:eastAsia="Calibri"/>
          <w:bCs/>
          <w:sz w:val="28"/>
          <w:szCs w:val="28"/>
          <w:lang w:val="nl-NL"/>
        </w:rPr>
        <w:t xml:space="preserve"> </w:t>
      </w:r>
      <w:bookmarkStart w:id="0" w:name="_GoBack"/>
      <w:bookmarkEnd w:id="0"/>
    </w:p>
    <w:p w14:paraId="10010471" w14:textId="68A158B6" w:rsidR="00B7578D" w:rsidRDefault="00B7578D" w:rsidP="00B7578D">
      <w:pPr>
        <w:spacing w:before="240" w:after="120"/>
        <w:ind w:firstLine="709"/>
        <w:jc w:val="both"/>
        <w:rPr>
          <w:rFonts w:eastAsia="Calibri"/>
          <w:bCs/>
          <w:sz w:val="28"/>
          <w:szCs w:val="28"/>
          <w:lang w:val="nl-NL"/>
        </w:rPr>
      </w:pPr>
      <w:r w:rsidRPr="00B7578D">
        <w:rPr>
          <w:rFonts w:eastAsia="Calibri"/>
          <w:b/>
          <w:bCs/>
          <w:sz w:val="28"/>
          <w:szCs w:val="28"/>
          <w:lang w:val="nl-NL"/>
        </w:rPr>
        <w:t>2. Bố cục của dự thảo Thông tư</w:t>
      </w:r>
      <w:r>
        <w:rPr>
          <w:rFonts w:eastAsia="Calibri"/>
          <w:bCs/>
          <w:sz w:val="28"/>
          <w:szCs w:val="28"/>
          <w:lang w:val="nl-NL"/>
        </w:rPr>
        <w:t>:</w:t>
      </w:r>
    </w:p>
    <w:p w14:paraId="06DA130E" w14:textId="77777777" w:rsidR="00B7578D" w:rsidRDefault="00B7578D" w:rsidP="00B7578D">
      <w:pPr>
        <w:spacing w:before="120" w:after="120"/>
        <w:ind w:firstLine="709"/>
        <w:jc w:val="both"/>
        <w:rPr>
          <w:rFonts w:eastAsia="Calibri"/>
          <w:bCs/>
          <w:sz w:val="28"/>
          <w:szCs w:val="28"/>
          <w:lang w:val="nl-NL"/>
        </w:rPr>
      </w:pPr>
      <w:r>
        <w:rPr>
          <w:rFonts w:eastAsia="Calibri"/>
          <w:bCs/>
          <w:sz w:val="28"/>
          <w:szCs w:val="28"/>
          <w:lang w:val="nl-NL"/>
        </w:rPr>
        <w:t>Dự thảo Thông tư gồm 4 Điều:</w:t>
      </w:r>
    </w:p>
    <w:p w14:paraId="3E0DF0CB" w14:textId="439E731B" w:rsidR="00B7578D" w:rsidRPr="00B7578D" w:rsidRDefault="00B7578D" w:rsidP="00B7578D">
      <w:pPr>
        <w:spacing w:before="120" w:after="120"/>
        <w:ind w:firstLine="709"/>
        <w:jc w:val="both"/>
        <w:rPr>
          <w:rFonts w:eastAsia="Calibri"/>
          <w:bCs/>
          <w:sz w:val="28"/>
          <w:szCs w:val="28"/>
          <w:lang w:val="nl-NL"/>
        </w:rPr>
      </w:pPr>
      <w:r w:rsidRPr="00B7578D">
        <w:rPr>
          <w:rFonts w:eastAsia="Calibri"/>
          <w:bCs/>
          <w:sz w:val="28"/>
          <w:szCs w:val="28"/>
          <w:lang w:val="nl-NL"/>
        </w:rPr>
        <w:t>Điều 1</w:t>
      </w:r>
      <w:r>
        <w:rPr>
          <w:rFonts w:eastAsia="Calibri"/>
          <w:bCs/>
          <w:sz w:val="28"/>
          <w:szCs w:val="28"/>
          <w:lang w:val="nl-NL"/>
        </w:rPr>
        <w:t>:</w:t>
      </w:r>
      <w:r w:rsidRPr="00B7578D">
        <w:rPr>
          <w:rFonts w:eastAsia="Calibri"/>
          <w:bCs/>
          <w:sz w:val="28"/>
          <w:szCs w:val="28"/>
          <w:lang w:val="nl-NL"/>
        </w:rPr>
        <w:t xml:space="preserve"> Sửa đổi, bổ sung một số điều của Thông tư số 14/2018/TT-NHNN </w:t>
      </w:r>
    </w:p>
    <w:p w14:paraId="37DB6E05" w14:textId="1ADF732C" w:rsidR="00B7578D" w:rsidRPr="00B7578D" w:rsidRDefault="00B7578D" w:rsidP="00B7578D">
      <w:pPr>
        <w:spacing w:before="120" w:after="120"/>
        <w:ind w:firstLine="709"/>
        <w:jc w:val="both"/>
        <w:rPr>
          <w:rFonts w:eastAsia="Calibri"/>
          <w:bCs/>
          <w:sz w:val="28"/>
          <w:szCs w:val="28"/>
          <w:lang w:val="nl-NL"/>
        </w:rPr>
      </w:pPr>
      <w:r w:rsidRPr="00B7578D">
        <w:rPr>
          <w:rFonts w:eastAsia="Calibri"/>
          <w:bCs/>
          <w:sz w:val="28"/>
          <w:szCs w:val="28"/>
          <w:lang w:val="nl-NL"/>
        </w:rPr>
        <w:lastRenderedPageBreak/>
        <w:t>Điều 2</w:t>
      </w:r>
      <w:r>
        <w:rPr>
          <w:rFonts w:eastAsia="Calibri"/>
          <w:bCs/>
          <w:sz w:val="28"/>
          <w:szCs w:val="28"/>
          <w:lang w:val="nl-NL"/>
        </w:rPr>
        <w:t xml:space="preserve">: </w:t>
      </w:r>
      <w:r w:rsidRPr="00B7578D">
        <w:rPr>
          <w:rFonts w:eastAsia="Calibri"/>
          <w:bCs/>
          <w:sz w:val="28"/>
          <w:szCs w:val="28"/>
          <w:lang w:val="nl-NL"/>
        </w:rPr>
        <w:t>Thay thế một số cụm từ của Thông tư số</w:t>
      </w:r>
      <w:r>
        <w:rPr>
          <w:rFonts w:eastAsia="Calibri"/>
          <w:bCs/>
          <w:sz w:val="28"/>
          <w:szCs w:val="28"/>
          <w:lang w:val="nl-NL"/>
        </w:rPr>
        <w:t xml:space="preserve"> 14/2018/TT-NHNN</w:t>
      </w:r>
    </w:p>
    <w:p w14:paraId="78187A39" w14:textId="2BB7F4C2" w:rsidR="00B7578D" w:rsidRPr="00B7578D" w:rsidRDefault="00B7578D" w:rsidP="00B7578D">
      <w:pPr>
        <w:spacing w:before="120" w:after="120"/>
        <w:ind w:firstLine="709"/>
        <w:jc w:val="both"/>
        <w:rPr>
          <w:rFonts w:eastAsia="Calibri"/>
          <w:bCs/>
          <w:sz w:val="28"/>
          <w:szCs w:val="28"/>
          <w:lang w:val="nl-NL"/>
        </w:rPr>
      </w:pPr>
      <w:r w:rsidRPr="00B7578D">
        <w:rPr>
          <w:rFonts w:eastAsia="Calibri"/>
          <w:bCs/>
          <w:sz w:val="28"/>
          <w:szCs w:val="28"/>
          <w:lang w:val="nl-NL"/>
        </w:rPr>
        <w:t>Điề</w:t>
      </w:r>
      <w:r>
        <w:rPr>
          <w:rFonts w:eastAsia="Calibri"/>
          <w:bCs/>
          <w:sz w:val="28"/>
          <w:szCs w:val="28"/>
          <w:lang w:val="nl-NL"/>
        </w:rPr>
        <w:t>u 3:</w:t>
      </w:r>
      <w:r w:rsidRPr="00B7578D">
        <w:rPr>
          <w:rFonts w:eastAsia="Calibri"/>
          <w:bCs/>
          <w:sz w:val="28"/>
          <w:szCs w:val="28"/>
          <w:lang w:val="nl-NL"/>
        </w:rPr>
        <w:t xml:space="preserve"> Trách nhiệm tổ chức thực hiện</w:t>
      </w:r>
    </w:p>
    <w:p w14:paraId="194E3704" w14:textId="5DE907E3" w:rsidR="00B7578D" w:rsidRDefault="00B7578D" w:rsidP="00B7578D">
      <w:pPr>
        <w:spacing w:before="120" w:after="120"/>
        <w:ind w:firstLine="709"/>
        <w:jc w:val="both"/>
        <w:rPr>
          <w:rFonts w:eastAsia="Calibri"/>
          <w:bCs/>
          <w:sz w:val="28"/>
          <w:szCs w:val="28"/>
          <w:lang w:val="nl-NL"/>
        </w:rPr>
      </w:pPr>
      <w:r w:rsidRPr="00B7578D">
        <w:rPr>
          <w:rFonts w:eastAsia="Calibri"/>
          <w:bCs/>
          <w:sz w:val="28"/>
          <w:szCs w:val="28"/>
          <w:lang w:val="nl-NL"/>
        </w:rPr>
        <w:t>Điề</w:t>
      </w:r>
      <w:r>
        <w:rPr>
          <w:rFonts w:eastAsia="Calibri"/>
          <w:bCs/>
          <w:sz w:val="28"/>
          <w:szCs w:val="28"/>
          <w:lang w:val="nl-NL"/>
        </w:rPr>
        <w:t>u 4:</w:t>
      </w:r>
      <w:r w:rsidRPr="00B7578D">
        <w:rPr>
          <w:rFonts w:eastAsia="Calibri"/>
          <w:bCs/>
          <w:sz w:val="28"/>
          <w:szCs w:val="28"/>
          <w:lang w:val="nl-NL"/>
        </w:rPr>
        <w:t xml:space="preserve"> Điều khoản thi hành</w:t>
      </w:r>
    </w:p>
    <w:p w14:paraId="20C98732" w14:textId="115EA0BA" w:rsidR="00371644" w:rsidRDefault="005D0107" w:rsidP="005D0107">
      <w:pPr>
        <w:spacing w:before="240" w:after="120"/>
        <w:ind w:firstLine="567"/>
        <w:jc w:val="both"/>
        <w:rPr>
          <w:b/>
          <w:sz w:val="28"/>
          <w:szCs w:val="28"/>
          <w:lang w:val="en-AU"/>
        </w:rPr>
      </w:pPr>
      <w:r>
        <w:rPr>
          <w:b/>
          <w:sz w:val="28"/>
          <w:szCs w:val="28"/>
          <w:lang w:val="en-AU"/>
        </w:rPr>
        <w:t>3</w:t>
      </w:r>
      <w:r w:rsidR="00371644" w:rsidRPr="007C6515">
        <w:rPr>
          <w:b/>
          <w:sz w:val="28"/>
          <w:szCs w:val="28"/>
          <w:lang w:val="en-AU"/>
        </w:rPr>
        <w:t xml:space="preserve">. Bảng so sánh, thuyết minh các nội dung sửa đổi, bổ sung </w:t>
      </w:r>
      <w:r w:rsidR="00A6119E">
        <w:rPr>
          <w:b/>
          <w:sz w:val="28"/>
          <w:szCs w:val="28"/>
          <w:lang w:val="en-AU"/>
        </w:rPr>
        <w:t xml:space="preserve">Thông tư 14/2018/TT-NHNN </w:t>
      </w:r>
      <w:r w:rsidR="00371644" w:rsidRPr="007C6515">
        <w:rPr>
          <w:b/>
          <w:sz w:val="28"/>
          <w:szCs w:val="28"/>
          <w:lang w:val="en-AU"/>
        </w:rPr>
        <w:t>tại Dự thảo Thông tư:</w:t>
      </w:r>
    </w:p>
    <w:tbl>
      <w:tblPr>
        <w:tblStyle w:val="TableGrid"/>
        <w:tblW w:w="14170" w:type="dxa"/>
        <w:tblInd w:w="-5" w:type="dxa"/>
        <w:tblLook w:val="04A0" w:firstRow="1" w:lastRow="0" w:firstColumn="1" w:lastColumn="0" w:noHBand="0" w:noVBand="1"/>
      </w:tblPr>
      <w:tblGrid>
        <w:gridCol w:w="708"/>
        <w:gridCol w:w="4390"/>
        <w:gridCol w:w="5670"/>
        <w:gridCol w:w="3402"/>
      </w:tblGrid>
      <w:tr w:rsidR="00B7578D" w:rsidRPr="00A2552F" w14:paraId="108EAA29" w14:textId="77777777" w:rsidTr="00B7578D">
        <w:trPr>
          <w:tblHeader/>
        </w:trPr>
        <w:tc>
          <w:tcPr>
            <w:tcW w:w="708" w:type="dxa"/>
            <w:shd w:val="clear" w:color="auto" w:fill="E2EFD9" w:themeFill="accent6" w:themeFillTint="33"/>
          </w:tcPr>
          <w:p w14:paraId="2494F3DE" w14:textId="77777777" w:rsidR="00B7578D" w:rsidRPr="00A2552F" w:rsidRDefault="00B7578D" w:rsidP="008E2E8B">
            <w:pPr>
              <w:spacing w:before="60" w:after="60"/>
              <w:jc w:val="center"/>
              <w:rPr>
                <w:rFonts w:cs="Times New Roman"/>
                <w:b/>
                <w:sz w:val="24"/>
                <w:szCs w:val="24"/>
              </w:rPr>
            </w:pPr>
            <w:r w:rsidRPr="00A2552F">
              <w:rPr>
                <w:rFonts w:cs="Times New Roman"/>
                <w:b/>
                <w:sz w:val="24"/>
                <w:szCs w:val="24"/>
              </w:rPr>
              <w:t>STT</w:t>
            </w:r>
          </w:p>
        </w:tc>
        <w:tc>
          <w:tcPr>
            <w:tcW w:w="4390" w:type="dxa"/>
            <w:shd w:val="clear" w:color="auto" w:fill="E2EFD9" w:themeFill="accent6" w:themeFillTint="33"/>
          </w:tcPr>
          <w:p w14:paraId="4F60CD15" w14:textId="63412FF9" w:rsidR="00B7578D" w:rsidRPr="00A2552F" w:rsidRDefault="00B7578D" w:rsidP="005D0107">
            <w:pPr>
              <w:spacing w:before="60" w:after="60"/>
              <w:jc w:val="center"/>
              <w:rPr>
                <w:rFonts w:cs="Times New Roman"/>
                <w:b/>
                <w:sz w:val="24"/>
                <w:szCs w:val="24"/>
              </w:rPr>
            </w:pPr>
            <w:r w:rsidRPr="00A2552F">
              <w:rPr>
                <w:rFonts w:cs="Times New Roman"/>
                <w:b/>
                <w:sz w:val="24"/>
                <w:szCs w:val="24"/>
              </w:rPr>
              <w:t>Thông tư 14/2018/TT-NHNN</w:t>
            </w:r>
          </w:p>
        </w:tc>
        <w:tc>
          <w:tcPr>
            <w:tcW w:w="5670" w:type="dxa"/>
            <w:shd w:val="clear" w:color="auto" w:fill="E2EFD9" w:themeFill="accent6" w:themeFillTint="33"/>
          </w:tcPr>
          <w:p w14:paraId="4FA889B4" w14:textId="77777777" w:rsidR="00B7578D" w:rsidRPr="00A2552F" w:rsidRDefault="00B7578D" w:rsidP="008E2E8B">
            <w:pPr>
              <w:spacing w:before="60" w:after="60"/>
              <w:jc w:val="center"/>
              <w:rPr>
                <w:rFonts w:cs="Times New Roman"/>
                <w:b/>
                <w:sz w:val="24"/>
                <w:szCs w:val="24"/>
              </w:rPr>
            </w:pPr>
            <w:r w:rsidRPr="00A2552F">
              <w:rPr>
                <w:rFonts w:cs="Times New Roman"/>
                <w:b/>
                <w:sz w:val="24"/>
                <w:szCs w:val="24"/>
              </w:rPr>
              <w:t>Dự thảo Thông tư</w:t>
            </w:r>
          </w:p>
        </w:tc>
        <w:tc>
          <w:tcPr>
            <w:tcW w:w="3402" w:type="dxa"/>
            <w:shd w:val="clear" w:color="auto" w:fill="E2EFD9" w:themeFill="accent6" w:themeFillTint="33"/>
          </w:tcPr>
          <w:p w14:paraId="0FB792FD" w14:textId="77777777" w:rsidR="00B7578D" w:rsidRPr="00A2552F" w:rsidRDefault="00B7578D" w:rsidP="008E2E8B">
            <w:pPr>
              <w:spacing w:before="60" w:after="60"/>
              <w:jc w:val="center"/>
              <w:rPr>
                <w:rFonts w:cs="Times New Roman"/>
                <w:b/>
                <w:sz w:val="24"/>
                <w:szCs w:val="24"/>
              </w:rPr>
            </w:pPr>
            <w:r w:rsidRPr="00A2552F">
              <w:rPr>
                <w:rFonts w:cs="Times New Roman"/>
                <w:b/>
                <w:sz w:val="24"/>
                <w:szCs w:val="24"/>
              </w:rPr>
              <w:t>Thuyết minh/căn cứ đề xuất</w:t>
            </w:r>
          </w:p>
        </w:tc>
      </w:tr>
      <w:tr w:rsidR="00B7578D" w:rsidRPr="00A2552F" w14:paraId="68D5C834" w14:textId="77777777" w:rsidTr="00B7578D">
        <w:tc>
          <w:tcPr>
            <w:tcW w:w="708" w:type="dxa"/>
          </w:tcPr>
          <w:p w14:paraId="4C22ADDA" w14:textId="77777777" w:rsidR="00B7578D" w:rsidRPr="00A2552F" w:rsidRDefault="00B7578D" w:rsidP="008E2E8B">
            <w:pPr>
              <w:tabs>
                <w:tab w:val="left" w:pos="1647"/>
              </w:tabs>
              <w:spacing w:before="120" w:line="247" w:lineRule="auto"/>
              <w:jc w:val="center"/>
              <w:rPr>
                <w:rFonts w:cs="Times New Roman"/>
                <w:b/>
                <w:sz w:val="24"/>
                <w:szCs w:val="24"/>
              </w:rPr>
            </w:pPr>
            <w:r w:rsidRPr="00A2552F">
              <w:rPr>
                <w:rFonts w:cs="Times New Roman"/>
                <w:b/>
                <w:sz w:val="24"/>
                <w:szCs w:val="24"/>
              </w:rPr>
              <w:t>1</w:t>
            </w:r>
          </w:p>
        </w:tc>
        <w:tc>
          <w:tcPr>
            <w:tcW w:w="4390" w:type="dxa"/>
          </w:tcPr>
          <w:p w14:paraId="69745E8E" w14:textId="77777777" w:rsidR="00B7578D" w:rsidRPr="00A2552F" w:rsidRDefault="00B7578D" w:rsidP="008E2E8B">
            <w:pPr>
              <w:tabs>
                <w:tab w:val="left" w:pos="1647"/>
              </w:tabs>
              <w:spacing w:before="120" w:line="247" w:lineRule="auto"/>
              <w:jc w:val="both"/>
              <w:rPr>
                <w:rFonts w:cs="Times New Roman"/>
                <w:b/>
                <w:sz w:val="24"/>
                <w:szCs w:val="24"/>
              </w:rPr>
            </w:pPr>
            <w:r w:rsidRPr="00A2552F">
              <w:rPr>
                <w:rFonts w:cs="Times New Roman"/>
                <w:b/>
                <w:sz w:val="24"/>
                <w:szCs w:val="24"/>
              </w:rPr>
              <w:t>Khoản 2. Đối tượng áp dụng:</w:t>
            </w:r>
          </w:p>
          <w:p w14:paraId="305C700A"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t>Các ngân hàng thương mại, ngân hàng hợp tác xã, tổ chức tín dụng phi ngân hàng (trừ công ty cho thuê tài chính, công ty tài chính bao thanh toán), tổ chức tài chính vi mô, quỹ tín dụng nhân dân và chi nhánh ngân hàng nước ngoài tại Việt Nam (sau đây gọi là tổ chức tín dụng)</w:t>
            </w:r>
          </w:p>
        </w:tc>
        <w:tc>
          <w:tcPr>
            <w:tcW w:w="5670" w:type="dxa"/>
          </w:tcPr>
          <w:p w14:paraId="6542EC2C" w14:textId="77777777" w:rsidR="00B7578D" w:rsidRPr="00A2552F" w:rsidRDefault="00B7578D" w:rsidP="008E2E8B">
            <w:pPr>
              <w:tabs>
                <w:tab w:val="left" w:pos="1647"/>
              </w:tabs>
              <w:spacing w:before="120" w:line="247" w:lineRule="auto"/>
              <w:jc w:val="both"/>
              <w:rPr>
                <w:rFonts w:cs="Times New Roman"/>
                <w:sz w:val="24"/>
                <w:szCs w:val="24"/>
              </w:rPr>
            </w:pPr>
          </w:p>
          <w:p w14:paraId="536B4B32"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t>Tổ chức tín dụng, chi nhánh ngân hàng nước ngoài thực hiện cho vay phục vụ phát triển nông nghiệp, nông thôn theo quy định tại khoản 1 Điều 2 Nghị định số 55/2015/NĐ-CP (sau đây gọi là tổ chức tín dụng)</w:t>
            </w:r>
          </w:p>
        </w:tc>
        <w:tc>
          <w:tcPr>
            <w:tcW w:w="3402" w:type="dxa"/>
          </w:tcPr>
          <w:p w14:paraId="563096A1" w14:textId="77777777" w:rsidR="00B7578D" w:rsidRPr="00A2552F" w:rsidRDefault="00B7578D" w:rsidP="008E2E8B">
            <w:pPr>
              <w:spacing w:before="60" w:after="60" w:line="247" w:lineRule="auto"/>
              <w:jc w:val="both"/>
              <w:rPr>
                <w:rFonts w:cs="Times New Roman"/>
                <w:sz w:val="24"/>
                <w:szCs w:val="24"/>
              </w:rPr>
            </w:pPr>
          </w:p>
          <w:p w14:paraId="210F73AF" w14:textId="77777777" w:rsidR="00B7578D" w:rsidRPr="00A2552F" w:rsidRDefault="00B7578D" w:rsidP="008E2E8B">
            <w:pPr>
              <w:spacing w:before="60" w:after="60" w:line="247" w:lineRule="auto"/>
              <w:jc w:val="both"/>
              <w:rPr>
                <w:rFonts w:cs="Times New Roman"/>
                <w:sz w:val="24"/>
                <w:szCs w:val="24"/>
              </w:rPr>
            </w:pPr>
            <w:r w:rsidRPr="00A2552F">
              <w:rPr>
                <w:rFonts w:cs="Times New Roman"/>
                <w:sz w:val="24"/>
                <w:szCs w:val="24"/>
              </w:rPr>
              <w:t>Sửa đổi, bổ sung để thống nhất với đối tượng TCTD được thực hiện cho vay nông nghiệp, nông thôn tại Nghị định 55/2015/NĐ-CP (đã được sửa đổi, bổ sung bởi Nghị định số 116/2018/NĐ-CP và Nghị định số 156/2025/NĐ-CP) và Thông tư của NHNN hướng dẫn Nghị định này (Thông tư 10/2015/TT-NHNN đang được sửa đổi, bổ sung).</w:t>
            </w:r>
          </w:p>
        </w:tc>
      </w:tr>
      <w:tr w:rsidR="00B7578D" w:rsidRPr="00A2552F" w14:paraId="1373425E" w14:textId="77777777" w:rsidTr="00B7578D">
        <w:tc>
          <w:tcPr>
            <w:tcW w:w="708" w:type="dxa"/>
          </w:tcPr>
          <w:p w14:paraId="6C6E659A" w14:textId="77777777" w:rsidR="00B7578D" w:rsidRPr="00A2552F" w:rsidRDefault="00B7578D" w:rsidP="008E2E8B">
            <w:pPr>
              <w:tabs>
                <w:tab w:val="left" w:pos="1647"/>
              </w:tabs>
              <w:spacing w:before="120" w:line="247" w:lineRule="auto"/>
              <w:jc w:val="center"/>
              <w:rPr>
                <w:rFonts w:cs="Times New Roman"/>
                <w:b/>
                <w:sz w:val="24"/>
                <w:szCs w:val="24"/>
              </w:rPr>
            </w:pPr>
            <w:r w:rsidRPr="00A2552F">
              <w:rPr>
                <w:rFonts w:cs="Times New Roman"/>
                <w:b/>
                <w:sz w:val="24"/>
                <w:szCs w:val="24"/>
              </w:rPr>
              <w:t>2</w:t>
            </w:r>
          </w:p>
        </w:tc>
        <w:tc>
          <w:tcPr>
            <w:tcW w:w="4390" w:type="dxa"/>
          </w:tcPr>
          <w:p w14:paraId="623CC8AB" w14:textId="77777777" w:rsidR="00B7578D" w:rsidRPr="00A2552F" w:rsidRDefault="00B7578D" w:rsidP="008E2E8B">
            <w:pPr>
              <w:tabs>
                <w:tab w:val="left" w:pos="1647"/>
              </w:tabs>
              <w:spacing w:before="120" w:line="247" w:lineRule="auto"/>
              <w:jc w:val="both"/>
              <w:rPr>
                <w:rFonts w:cs="Times New Roman"/>
                <w:sz w:val="24"/>
                <w:szCs w:val="24"/>
              </w:rPr>
            </w:pPr>
            <w:r w:rsidRPr="00A2552F">
              <w:rPr>
                <w:rFonts w:cs="Times New Roman"/>
                <w:b/>
                <w:sz w:val="24"/>
                <w:szCs w:val="24"/>
              </w:rPr>
              <w:t>Khoản 1 Điều 4</w:t>
            </w:r>
            <w:r w:rsidRPr="00A2552F">
              <w:rPr>
                <w:rFonts w:cs="Times New Roman"/>
                <w:sz w:val="24"/>
                <w:szCs w:val="24"/>
              </w:rPr>
              <w:t>:</w:t>
            </w:r>
          </w:p>
          <w:p w14:paraId="50EB2E8C"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t>1. Tổ chức tín dụng xác định tỷ trọng tín dụng nông nghiệp, nông thôn bình quân theo quy định tại điểm b khoản 2 Điều 3 Thông tư này, trường hợp đáp ứng tiêu chí áp dụng tỷ lệ dự trữ bắt buộc (DTBB) hỗ trợ quy định tại điểm a khoản 2 Điều 3 Thông tư này, gửi 01 văn bản đề nghị áp dụng tỷ lệ DTBB hỗ trợ qua đường bưu điện hoặc trực tiếp đến NHNN (Vụ Tín dụng các ngành kinh tế), trong đó nêu rõ mức tỷ lệ DTBB hỗ trợ, cụ thể như sau:</w:t>
            </w:r>
          </w:p>
          <w:p w14:paraId="6965964F"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lastRenderedPageBreak/>
              <w:t>a) Giai đoạn 1: Gửi văn bản đề nghị áp dụng tỷ lệ DTBB hỗ trợ giai đoạn 1 theo Phụ lục 01 đính kèm Thông tư này trước ngày 15 tháng 01;</w:t>
            </w:r>
          </w:p>
          <w:p w14:paraId="794452A7" w14:textId="77777777" w:rsidR="00B7578D" w:rsidRPr="00A2552F" w:rsidRDefault="00B7578D" w:rsidP="008E2E8B">
            <w:pPr>
              <w:tabs>
                <w:tab w:val="left" w:pos="1647"/>
              </w:tabs>
              <w:spacing w:before="120" w:line="247" w:lineRule="auto"/>
              <w:jc w:val="both"/>
              <w:rPr>
                <w:rFonts w:cs="Times New Roman"/>
                <w:b/>
                <w:sz w:val="24"/>
                <w:szCs w:val="24"/>
              </w:rPr>
            </w:pPr>
            <w:r w:rsidRPr="00A2552F">
              <w:rPr>
                <w:rFonts w:cs="Times New Roman"/>
                <w:i/>
                <w:sz w:val="24"/>
                <w:szCs w:val="24"/>
              </w:rPr>
              <w:t>b) Giai đoạn 2: Gửi văn bản đề nghị áp dụng tỷ lệ DTBB hỗ trợ giai đoạn 2 theo Phụ lục 02 đính kèm Thông tư này trước ngày 15 tháng 7</w:t>
            </w:r>
            <w:r w:rsidRPr="00A2552F">
              <w:rPr>
                <w:rFonts w:cs="Times New Roman"/>
                <w:sz w:val="24"/>
                <w:szCs w:val="24"/>
              </w:rPr>
              <w:t>.</w:t>
            </w:r>
          </w:p>
        </w:tc>
        <w:tc>
          <w:tcPr>
            <w:tcW w:w="5670" w:type="dxa"/>
          </w:tcPr>
          <w:p w14:paraId="4D23B778" w14:textId="77777777" w:rsidR="00B7578D" w:rsidRPr="00A2552F" w:rsidRDefault="00B7578D" w:rsidP="008E2E8B">
            <w:pPr>
              <w:tabs>
                <w:tab w:val="left" w:pos="1647"/>
              </w:tabs>
              <w:spacing w:before="120" w:line="247" w:lineRule="auto"/>
              <w:jc w:val="both"/>
              <w:rPr>
                <w:rFonts w:cs="Times New Roman"/>
                <w:sz w:val="24"/>
                <w:szCs w:val="24"/>
              </w:rPr>
            </w:pPr>
          </w:p>
          <w:p w14:paraId="6E425886"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t xml:space="preserve">1. Tổ chức tín dụng xác định tỷ trọng tín dụng nông nghiệp, nông thôn bình quân theo quy định tại điểm b khoản 2 Điều 3 Thông tư này, trường hợp đáp ứng tiêu chí áp dụng tỷ lệ dự trữ bắt buộc hỗ trợ quy định tại điểm a khoản 2 Điều 3 Thông tư này, gửi trực tiếp hoặc qua dịch vụ bưu chính đến Bộ phận Một cửa của Ngân hàng Nhà nước </w:t>
            </w:r>
            <w:r w:rsidRPr="00A2552F">
              <w:rPr>
                <w:rFonts w:cs="Times New Roman"/>
                <w:i/>
                <w:sz w:val="24"/>
                <w:szCs w:val="24"/>
                <w:u w:val="single"/>
              </w:rPr>
              <w:t>hoặc nộp trực tuyến qua Cổng dịch vụ công quốc gia hoặc Cổng dịch vụ công Ngân hàng Nhà nước</w:t>
            </w:r>
            <w:r w:rsidRPr="00A2552F">
              <w:rPr>
                <w:rFonts w:cs="Times New Roman"/>
                <w:i/>
                <w:sz w:val="24"/>
                <w:szCs w:val="24"/>
              </w:rPr>
              <w:t xml:space="preserve"> văn bản đề nghị áp dụng tỷ lệ dự trữ bắt buộc hỗ trợ, trong đó nêu rõ mức tỷ lệ dự trữ bắt buộc hỗ trợ, cụ thể như sau:</w:t>
            </w:r>
          </w:p>
          <w:p w14:paraId="024AF608"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lastRenderedPageBreak/>
              <w:t>a) Giai đoạn 1: Gửi văn bản đề nghị áp dụng tỷ lệ dự trữ bắt buộc hỗ trợ giai đoạn 1 theo Phụ lục 01 đính kèm Thông tư này trước ngày 15 tháng 01;</w:t>
            </w:r>
          </w:p>
          <w:p w14:paraId="10CD535F" w14:textId="77777777" w:rsidR="00B7578D" w:rsidRPr="00A2552F" w:rsidRDefault="00B7578D" w:rsidP="008E2E8B">
            <w:pPr>
              <w:tabs>
                <w:tab w:val="left" w:pos="1647"/>
              </w:tabs>
              <w:spacing w:before="120" w:line="247" w:lineRule="auto"/>
              <w:jc w:val="both"/>
              <w:rPr>
                <w:rFonts w:cs="Times New Roman"/>
                <w:sz w:val="24"/>
                <w:szCs w:val="24"/>
              </w:rPr>
            </w:pPr>
            <w:r w:rsidRPr="00A2552F">
              <w:rPr>
                <w:rFonts w:cs="Times New Roman"/>
                <w:i/>
                <w:sz w:val="24"/>
                <w:szCs w:val="24"/>
              </w:rPr>
              <w:t>b) Giai đoạn 2: Gửi văn bản đề nghị áp dụng tỷ lệ dự trữ bắt buộc hỗ trợ giai đoạn 2 theo Phụ lục 02 đính kèm Thông tư này trước ngày 15 tháng 7.</w:t>
            </w:r>
          </w:p>
        </w:tc>
        <w:tc>
          <w:tcPr>
            <w:tcW w:w="3402" w:type="dxa"/>
          </w:tcPr>
          <w:p w14:paraId="30041B69" w14:textId="77777777" w:rsidR="00B7578D" w:rsidRPr="00A2552F" w:rsidRDefault="00B7578D" w:rsidP="008E2E8B">
            <w:pPr>
              <w:spacing w:before="60" w:after="60" w:line="247" w:lineRule="auto"/>
              <w:jc w:val="both"/>
              <w:rPr>
                <w:rFonts w:cs="Times New Roman"/>
                <w:sz w:val="24"/>
                <w:szCs w:val="24"/>
              </w:rPr>
            </w:pPr>
          </w:p>
          <w:p w14:paraId="289C68F5" w14:textId="77777777" w:rsidR="00B7578D" w:rsidRPr="00A2552F" w:rsidRDefault="00B7578D" w:rsidP="008E2E8B">
            <w:pPr>
              <w:spacing w:before="60" w:after="60" w:line="247" w:lineRule="auto"/>
              <w:jc w:val="both"/>
              <w:rPr>
                <w:rFonts w:cs="Times New Roman"/>
                <w:sz w:val="24"/>
                <w:szCs w:val="24"/>
              </w:rPr>
            </w:pPr>
            <w:r w:rsidRPr="00A2552F">
              <w:rPr>
                <w:rFonts w:cs="Times New Roman"/>
                <w:sz w:val="24"/>
                <w:szCs w:val="24"/>
              </w:rPr>
              <w:t>Bổ sung hình thức nộp trực tuyến để thực hiện Nghị quyết 66/NQ-CP ngày 26/3/2025 Về Chương trình cắt giảm, đơn giản hóa thủ tục hành chính liên quan đến hoạt động sản xuất, kinh doanh năm 2025 và 2026.</w:t>
            </w:r>
          </w:p>
        </w:tc>
      </w:tr>
      <w:tr w:rsidR="00B7578D" w:rsidRPr="00A2552F" w14:paraId="24C461D2" w14:textId="77777777" w:rsidTr="00B7578D">
        <w:tc>
          <w:tcPr>
            <w:tcW w:w="708" w:type="dxa"/>
          </w:tcPr>
          <w:p w14:paraId="47C5CEF0" w14:textId="77777777" w:rsidR="00B7578D" w:rsidRPr="00A2552F" w:rsidRDefault="00B7578D" w:rsidP="008E2E8B">
            <w:pPr>
              <w:tabs>
                <w:tab w:val="left" w:pos="1647"/>
              </w:tabs>
              <w:spacing w:before="120" w:line="247" w:lineRule="auto"/>
              <w:jc w:val="center"/>
              <w:rPr>
                <w:rFonts w:cs="Times New Roman"/>
                <w:b/>
                <w:sz w:val="24"/>
                <w:szCs w:val="24"/>
              </w:rPr>
            </w:pPr>
            <w:r w:rsidRPr="00A2552F">
              <w:rPr>
                <w:rFonts w:cs="Times New Roman"/>
                <w:b/>
                <w:sz w:val="24"/>
                <w:szCs w:val="24"/>
              </w:rPr>
              <w:lastRenderedPageBreak/>
              <w:t>3</w:t>
            </w:r>
          </w:p>
        </w:tc>
        <w:tc>
          <w:tcPr>
            <w:tcW w:w="4390" w:type="dxa"/>
          </w:tcPr>
          <w:p w14:paraId="0AA0AF46" w14:textId="77777777" w:rsidR="00B7578D" w:rsidRPr="00A2552F" w:rsidRDefault="00B7578D" w:rsidP="008E2E8B">
            <w:pPr>
              <w:tabs>
                <w:tab w:val="left" w:pos="1647"/>
              </w:tabs>
              <w:spacing w:before="120" w:line="247" w:lineRule="auto"/>
              <w:jc w:val="both"/>
              <w:rPr>
                <w:rFonts w:cs="Times New Roman"/>
                <w:sz w:val="24"/>
                <w:szCs w:val="24"/>
              </w:rPr>
            </w:pPr>
            <w:r w:rsidRPr="00A2552F">
              <w:rPr>
                <w:rFonts w:cs="Times New Roman"/>
                <w:b/>
                <w:sz w:val="24"/>
                <w:szCs w:val="24"/>
              </w:rPr>
              <w:t>Khoản 1 Điều 6 như sau</w:t>
            </w:r>
            <w:r w:rsidRPr="00A2552F">
              <w:rPr>
                <w:rFonts w:cs="Times New Roman"/>
                <w:sz w:val="24"/>
                <w:szCs w:val="24"/>
              </w:rPr>
              <w:t>:</w:t>
            </w:r>
          </w:p>
          <w:p w14:paraId="5170BAFD"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t xml:space="preserve">1. Vụ Tín dụng các ngành kinh tế: Trên cơ sở văn bản đề nghị áp dụng tỷ lệ DTBB hỗ trợ của TCTD, xem xét, trình Thống đốc NHNN phê duyệt và thông báo cho TCTD về mức tỷ lệ DTBB hỗ trợ áp dụng hoặc thông báo không chấp thuận áp dụng mức tỷ lệ DTBB hỗ trợ theo quy định tại khoản 2 Điều 4 Thông tư này, đồng gửi Sở Giao dịch, NHNN chi nhánh tỉnh, thành phố trực thuộc Trung ương nơi TCTD đặt trụ sở chính (hoặc nơi chi nhánh ngân hàng nước ngoài đặt trụ sở) và các đơn vị liên quan để thực hiện. </w:t>
            </w:r>
          </w:p>
        </w:tc>
        <w:tc>
          <w:tcPr>
            <w:tcW w:w="5670" w:type="dxa"/>
          </w:tcPr>
          <w:p w14:paraId="6CC25C57" w14:textId="77777777" w:rsidR="00B7578D" w:rsidRPr="00A2552F" w:rsidRDefault="00B7578D" w:rsidP="008E2E8B">
            <w:pPr>
              <w:tabs>
                <w:tab w:val="left" w:pos="1647"/>
              </w:tabs>
              <w:spacing w:before="120" w:line="247" w:lineRule="auto"/>
              <w:jc w:val="both"/>
              <w:rPr>
                <w:rFonts w:cs="Times New Roman"/>
                <w:sz w:val="24"/>
                <w:szCs w:val="24"/>
              </w:rPr>
            </w:pPr>
          </w:p>
          <w:p w14:paraId="775D6D0A" w14:textId="77777777" w:rsidR="00B7578D" w:rsidRPr="00A2552F" w:rsidRDefault="00B7578D" w:rsidP="008E2E8B">
            <w:pPr>
              <w:tabs>
                <w:tab w:val="left" w:pos="1647"/>
              </w:tabs>
              <w:spacing w:before="120" w:line="247" w:lineRule="auto"/>
              <w:jc w:val="both"/>
              <w:rPr>
                <w:rFonts w:cs="Times New Roman"/>
                <w:i/>
                <w:sz w:val="24"/>
                <w:szCs w:val="24"/>
              </w:rPr>
            </w:pPr>
            <w:r w:rsidRPr="00A2552F">
              <w:rPr>
                <w:rFonts w:cs="Times New Roman"/>
                <w:i/>
                <w:sz w:val="24"/>
                <w:szCs w:val="24"/>
              </w:rPr>
              <w:t xml:space="preserve">1. Vụ Tín dụng các ngành kinh tế: Trên cơ sở văn bản đề nghị áp dụng tỷ lệ dự trữ bắt buộc hỗ trợ của tổ chức tín dụng, xem xét, trình Thống đốc Ngân hàng Nhà nước phê duyệt và có văn bản </w:t>
            </w:r>
            <w:r w:rsidRPr="00A2552F">
              <w:rPr>
                <w:rFonts w:cs="Times New Roman"/>
                <w:i/>
                <w:sz w:val="24"/>
                <w:szCs w:val="24"/>
                <w:u w:val="single"/>
              </w:rPr>
              <w:t>(bao gồm cả văn bản dạng điện tử)</w:t>
            </w:r>
            <w:r w:rsidRPr="00A2552F">
              <w:rPr>
                <w:rFonts w:cs="Times New Roman"/>
                <w:i/>
                <w:sz w:val="24"/>
                <w:szCs w:val="24"/>
              </w:rPr>
              <w:t xml:space="preserve"> để thông báo cho tổ chức tín dụng về mức tỷ lệ dự trữ bắt buộc hỗ trợ áp dụng hoặc không chấp thuận áp dụng mức tỷ lệ dự trữ bắt buộc hỗ trợ theo quy định tại khoản 2 Điều 4 Thông tư này, đồng gửi Sở Giao dịch, </w:t>
            </w:r>
            <w:r w:rsidRPr="00A2552F">
              <w:rPr>
                <w:rFonts w:cs="Times New Roman"/>
                <w:i/>
                <w:sz w:val="24"/>
                <w:szCs w:val="24"/>
                <w:u w:val="single"/>
              </w:rPr>
              <w:t>Ngân hàng Nhà nước chi nhánh Khu vực</w:t>
            </w:r>
            <w:r w:rsidRPr="00A2552F">
              <w:rPr>
                <w:rFonts w:cs="Times New Roman"/>
                <w:i/>
                <w:sz w:val="24"/>
                <w:szCs w:val="24"/>
              </w:rPr>
              <w:t xml:space="preserve"> nơi tổ chức tín dụng đặt trụ sở chính (hoặc nơi chi nhánh ngân hàng nước ngoài đặt trụ sở) và các đơn vị liên quan để thực hiện.</w:t>
            </w:r>
          </w:p>
        </w:tc>
        <w:tc>
          <w:tcPr>
            <w:tcW w:w="3402" w:type="dxa"/>
          </w:tcPr>
          <w:p w14:paraId="562D0727" w14:textId="77777777" w:rsidR="00B7578D" w:rsidRPr="00A2552F" w:rsidRDefault="00B7578D" w:rsidP="008E2E8B">
            <w:pPr>
              <w:spacing w:before="60" w:after="60" w:line="247" w:lineRule="auto"/>
              <w:jc w:val="both"/>
              <w:rPr>
                <w:rFonts w:cs="Times New Roman"/>
                <w:sz w:val="24"/>
                <w:szCs w:val="24"/>
              </w:rPr>
            </w:pPr>
          </w:p>
          <w:p w14:paraId="18783A03" w14:textId="77777777" w:rsidR="00B7578D" w:rsidRPr="00A2552F" w:rsidRDefault="00B7578D" w:rsidP="008E2E8B">
            <w:pPr>
              <w:spacing w:before="60" w:after="60" w:line="247" w:lineRule="auto"/>
              <w:jc w:val="both"/>
              <w:rPr>
                <w:rFonts w:cs="Times New Roman"/>
                <w:sz w:val="24"/>
                <w:szCs w:val="24"/>
                <w:lang w:val="vi-VN"/>
              </w:rPr>
            </w:pPr>
            <w:r w:rsidRPr="00A2552F">
              <w:rPr>
                <w:rFonts w:cs="Times New Roman"/>
                <w:sz w:val="24"/>
                <w:szCs w:val="24"/>
              </w:rPr>
              <w:t>Sửa đổi, bổ sung để làm rõ có hình thức trả kết quả nộp trực tuyến theo Nghị quyết 66/NQ-CP ngày 26/3/2025 Về Chương trình cắt giảm, đơn giản hóa thủ tục hành chính liên quan đến hoạt động sản xuất, kinh doanh năm 2025 và 2026.</w:t>
            </w:r>
            <w:r w:rsidRPr="00A2552F">
              <w:rPr>
                <w:rFonts w:cs="Times New Roman"/>
                <w:sz w:val="24"/>
                <w:szCs w:val="24"/>
                <w:lang w:val="vi-VN"/>
              </w:rPr>
              <w:t xml:space="preserve"> </w:t>
            </w:r>
          </w:p>
          <w:p w14:paraId="57564C92" w14:textId="77777777" w:rsidR="00B7578D" w:rsidRPr="00A2552F" w:rsidRDefault="00B7578D" w:rsidP="008E2E8B">
            <w:pPr>
              <w:spacing w:before="60" w:after="60" w:line="247" w:lineRule="auto"/>
              <w:jc w:val="both"/>
              <w:rPr>
                <w:rFonts w:cs="Times New Roman"/>
                <w:sz w:val="24"/>
                <w:szCs w:val="24"/>
                <w:lang w:val="vi-VN"/>
              </w:rPr>
            </w:pPr>
            <w:r w:rsidRPr="00A2552F">
              <w:rPr>
                <w:rFonts w:cs="Times New Roman"/>
                <w:sz w:val="24"/>
                <w:szCs w:val="24"/>
                <w:lang w:val="vi-VN"/>
              </w:rPr>
              <w:t xml:space="preserve">Đồng thời, sửa đổi tên </w:t>
            </w:r>
            <w:r w:rsidRPr="00A2552F">
              <w:rPr>
                <w:rFonts w:cs="Times New Roman"/>
                <w:i/>
                <w:sz w:val="24"/>
                <w:szCs w:val="24"/>
              </w:rPr>
              <w:t>NHNN chi nhánh tỉnh, thành phố trực thuộc Trung ương</w:t>
            </w:r>
            <w:r w:rsidRPr="00A2552F">
              <w:rPr>
                <w:rFonts w:cs="Times New Roman"/>
                <w:sz w:val="24"/>
                <w:szCs w:val="24"/>
                <w:lang w:val="vi-VN"/>
              </w:rPr>
              <w:t xml:space="preserve"> phù hợp với cơ cấu, tổ chức bộ máy NHNN theo Nghị định 26/2025/NĐ-CP</w:t>
            </w:r>
          </w:p>
        </w:tc>
      </w:tr>
      <w:tr w:rsidR="00B7578D" w:rsidRPr="00A2552F" w14:paraId="792320EF" w14:textId="77777777" w:rsidTr="00B7578D">
        <w:tc>
          <w:tcPr>
            <w:tcW w:w="708" w:type="dxa"/>
          </w:tcPr>
          <w:p w14:paraId="1CE97488" w14:textId="77777777" w:rsidR="00B7578D" w:rsidRPr="00A2552F" w:rsidRDefault="00B7578D" w:rsidP="008E2E8B">
            <w:pPr>
              <w:tabs>
                <w:tab w:val="left" w:pos="1647"/>
              </w:tabs>
              <w:spacing w:before="120" w:line="247" w:lineRule="auto"/>
              <w:jc w:val="center"/>
              <w:rPr>
                <w:rFonts w:cs="Times New Roman"/>
                <w:b/>
                <w:sz w:val="24"/>
                <w:szCs w:val="24"/>
              </w:rPr>
            </w:pPr>
            <w:r w:rsidRPr="00A2552F">
              <w:rPr>
                <w:rFonts w:cs="Times New Roman"/>
                <w:b/>
                <w:sz w:val="24"/>
                <w:szCs w:val="24"/>
              </w:rPr>
              <w:t>4</w:t>
            </w:r>
          </w:p>
        </w:tc>
        <w:tc>
          <w:tcPr>
            <w:tcW w:w="4390" w:type="dxa"/>
          </w:tcPr>
          <w:p w14:paraId="43284492" w14:textId="77777777" w:rsidR="00B7578D" w:rsidRPr="00A2552F" w:rsidRDefault="00B7578D" w:rsidP="008E2E8B">
            <w:pPr>
              <w:tabs>
                <w:tab w:val="left" w:pos="1647"/>
              </w:tabs>
              <w:spacing w:before="120" w:line="247" w:lineRule="auto"/>
              <w:jc w:val="both"/>
              <w:rPr>
                <w:rFonts w:cs="Times New Roman"/>
                <w:sz w:val="24"/>
                <w:szCs w:val="24"/>
              </w:rPr>
            </w:pPr>
            <w:r w:rsidRPr="00A2552F">
              <w:rPr>
                <w:rFonts w:cs="Times New Roman"/>
                <w:b/>
                <w:sz w:val="24"/>
                <w:szCs w:val="24"/>
              </w:rPr>
              <w:t>Khoản 2 và khoản 4 Điều 6</w:t>
            </w:r>
            <w:r w:rsidRPr="00A2552F">
              <w:rPr>
                <w:rFonts w:cs="Times New Roman"/>
                <w:sz w:val="24"/>
                <w:szCs w:val="24"/>
              </w:rPr>
              <w:t>:</w:t>
            </w:r>
          </w:p>
          <w:p w14:paraId="7ADB7398" w14:textId="77777777" w:rsidR="00B7578D" w:rsidRPr="00A2552F" w:rsidRDefault="00B7578D" w:rsidP="008E2E8B">
            <w:pPr>
              <w:spacing w:before="120"/>
              <w:jc w:val="both"/>
              <w:rPr>
                <w:rFonts w:cs="Times New Roman"/>
                <w:i/>
                <w:sz w:val="24"/>
                <w:szCs w:val="24"/>
              </w:rPr>
            </w:pPr>
            <w:r w:rsidRPr="00A2552F">
              <w:rPr>
                <w:rFonts w:cs="Times New Roman"/>
                <w:i/>
                <w:sz w:val="24"/>
                <w:szCs w:val="24"/>
              </w:rPr>
              <w:t>2. Cơ quan Thanh tra, giám sát ngân hàng thực hiện thanh tra, giám sát và xử lý hoặc kiến nghị xử lý theo thẩm quyền việc thực hiện các quy định tại Thông tư này của TCTD.</w:t>
            </w:r>
          </w:p>
          <w:p w14:paraId="4FEE9743" w14:textId="77777777" w:rsidR="00B7578D" w:rsidRPr="00A2552F" w:rsidRDefault="00B7578D" w:rsidP="008E2E8B">
            <w:pPr>
              <w:spacing w:before="120"/>
              <w:jc w:val="both"/>
              <w:rPr>
                <w:rFonts w:cs="Times New Roman"/>
                <w:i/>
                <w:sz w:val="24"/>
                <w:szCs w:val="24"/>
              </w:rPr>
            </w:pPr>
            <w:r w:rsidRPr="00A2552F">
              <w:rPr>
                <w:rFonts w:cs="Times New Roman"/>
                <w:i/>
                <w:sz w:val="24"/>
                <w:szCs w:val="24"/>
              </w:rPr>
              <w:t>…..</w:t>
            </w:r>
          </w:p>
          <w:p w14:paraId="0F2DC7B9" w14:textId="77777777" w:rsidR="00B7578D" w:rsidRPr="00A2552F" w:rsidRDefault="00B7578D" w:rsidP="008E2E8B">
            <w:pPr>
              <w:spacing w:before="120"/>
              <w:jc w:val="both"/>
              <w:rPr>
                <w:rFonts w:cs="Times New Roman"/>
                <w:sz w:val="24"/>
                <w:szCs w:val="24"/>
              </w:rPr>
            </w:pPr>
            <w:r w:rsidRPr="00A2552F">
              <w:rPr>
                <w:rFonts w:cs="Times New Roman"/>
                <w:i/>
                <w:sz w:val="24"/>
                <w:szCs w:val="24"/>
              </w:rPr>
              <w:lastRenderedPageBreak/>
              <w:t>4. NHNN chi nhánh tỉnh, thành phố trực thuộc Trung ương nơi TCTD đặt trụ sở chính (hoặc nơi chi nhánh ngân hàng nước ngoài đặt trụ sở) theo dõi, phối hợp cùng với các đơn vị liên quan thuộc NHNN trong việc triển khai thực hiện Thông tư này</w:t>
            </w:r>
            <w:r w:rsidRPr="00A2552F">
              <w:rPr>
                <w:rFonts w:cs="Times New Roman"/>
                <w:sz w:val="24"/>
                <w:szCs w:val="24"/>
              </w:rPr>
              <w:t xml:space="preserve">. </w:t>
            </w:r>
          </w:p>
        </w:tc>
        <w:tc>
          <w:tcPr>
            <w:tcW w:w="5670" w:type="dxa"/>
          </w:tcPr>
          <w:p w14:paraId="6A53CAA3" w14:textId="77777777" w:rsidR="00B7578D" w:rsidRPr="00A2552F" w:rsidRDefault="00B7578D" w:rsidP="008E2E8B">
            <w:pPr>
              <w:tabs>
                <w:tab w:val="left" w:pos="1647"/>
              </w:tabs>
              <w:spacing w:before="120" w:line="247" w:lineRule="auto"/>
              <w:jc w:val="both"/>
              <w:rPr>
                <w:rFonts w:cs="Times New Roman"/>
                <w:sz w:val="24"/>
                <w:szCs w:val="24"/>
              </w:rPr>
            </w:pPr>
            <w:r w:rsidRPr="00A2552F">
              <w:rPr>
                <w:rFonts w:cs="Times New Roman"/>
                <w:sz w:val="24"/>
                <w:szCs w:val="24"/>
              </w:rPr>
              <w:lastRenderedPageBreak/>
              <w:t>- Dự thảo Thông tư quy định:</w:t>
            </w:r>
          </w:p>
          <w:p w14:paraId="2B91C587" w14:textId="77777777" w:rsidR="00B7578D" w:rsidRPr="00A2552F" w:rsidRDefault="00B7578D" w:rsidP="008E2E8B">
            <w:pPr>
              <w:tabs>
                <w:tab w:val="left" w:pos="1647"/>
              </w:tabs>
              <w:spacing w:before="120" w:line="247" w:lineRule="auto"/>
              <w:jc w:val="both"/>
              <w:rPr>
                <w:rFonts w:cs="Times New Roman"/>
                <w:sz w:val="24"/>
                <w:szCs w:val="24"/>
              </w:rPr>
            </w:pPr>
            <w:r w:rsidRPr="00A2552F">
              <w:rPr>
                <w:rFonts w:cs="Times New Roman"/>
                <w:sz w:val="24"/>
                <w:szCs w:val="24"/>
              </w:rPr>
              <w:t xml:space="preserve">1. </w:t>
            </w:r>
            <w:r w:rsidRPr="00A2552F">
              <w:rPr>
                <w:rFonts w:cs="Times New Roman"/>
                <w:sz w:val="24"/>
                <w:szCs w:val="24"/>
                <w:lang w:val="vi-VN"/>
              </w:rPr>
              <w:t>Thay thế cụm từ “</w:t>
            </w:r>
            <w:r w:rsidRPr="00A2552F">
              <w:rPr>
                <w:rFonts w:cs="Times New Roman"/>
                <w:i/>
                <w:sz w:val="24"/>
                <w:szCs w:val="24"/>
                <w:lang w:val="vi-VN"/>
              </w:rPr>
              <w:t>Cơ quan Thanh tra, giám sát ngân hàng</w:t>
            </w:r>
            <w:r w:rsidRPr="00A2552F">
              <w:rPr>
                <w:rFonts w:cs="Times New Roman"/>
                <w:sz w:val="24"/>
                <w:szCs w:val="24"/>
                <w:lang w:val="vi-VN"/>
              </w:rPr>
              <w:t xml:space="preserve">” </w:t>
            </w:r>
            <w:r w:rsidRPr="00A2552F">
              <w:rPr>
                <w:rFonts w:cs="Times New Roman"/>
                <w:sz w:val="24"/>
                <w:szCs w:val="24"/>
              </w:rPr>
              <w:t>bằng cụm từ</w:t>
            </w:r>
            <w:r w:rsidRPr="00A2552F">
              <w:rPr>
                <w:rFonts w:cs="Times New Roman"/>
                <w:sz w:val="24"/>
                <w:szCs w:val="24"/>
                <w:lang w:val="vi-VN"/>
              </w:rPr>
              <w:t xml:space="preserve"> “</w:t>
            </w:r>
            <w:r w:rsidRPr="00A2552F">
              <w:rPr>
                <w:rFonts w:cs="Times New Roman"/>
                <w:i/>
                <w:sz w:val="24"/>
                <w:szCs w:val="24"/>
                <w:lang w:val="vi-VN"/>
              </w:rPr>
              <w:t>Thanh tra Ngân hàng Nhà nước, Cục Quản lý</w:t>
            </w:r>
            <w:r w:rsidRPr="00A2552F">
              <w:rPr>
                <w:rFonts w:cs="Times New Roman"/>
                <w:i/>
                <w:sz w:val="24"/>
                <w:szCs w:val="24"/>
              </w:rPr>
              <w:t>, giám sát tổ chức tín dụng</w:t>
            </w:r>
            <w:r w:rsidRPr="00A2552F">
              <w:rPr>
                <w:rFonts w:cs="Times New Roman"/>
                <w:sz w:val="24"/>
                <w:szCs w:val="24"/>
              </w:rPr>
              <w:t>” tại khoản 2 Điều 6.</w:t>
            </w:r>
          </w:p>
          <w:p w14:paraId="12539E9E" w14:textId="77777777" w:rsidR="00B7578D" w:rsidRPr="00A2552F" w:rsidRDefault="00B7578D" w:rsidP="008E2E8B">
            <w:pPr>
              <w:tabs>
                <w:tab w:val="left" w:pos="1647"/>
              </w:tabs>
              <w:spacing w:before="120" w:line="247" w:lineRule="auto"/>
              <w:jc w:val="both"/>
              <w:rPr>
                <w:rFonts w:cs="Times New Roman"/>
                <w:sz w:val="24"/>
                <w:szCs w:val="24"/>
              </w:rPr>
            </w:pPr>
          </w:p>
          <w:p w14:paraId="2CF8CD52" w14:textId="77777777" w:rsidR="00B7578D" w:rsidRPr="00A2552F" w:rsidRDefault="00B7578D" w:rsidP="008E2E8B">
            <w:pPr>
              <w:tabs>
                <w:tab w:val="left" w:pos="1647"/>
              </w:tabs>
              <w:spacing w:before="120" w:line="247" w:lineRule="auto"/>
              <w:jc w:val="both"/>
              <w:rPr>
                <w:rFonts w:cs="Times New Roman"/>
                <w:sz w:val="24"/>
                <w:szCs w:val="24"/>
              </w:rPr>
            </w:pPr>
          </w:p>
          <w:p w14:paraId="5FE985EC" w14:textId="77777777" w:rsidR="00B7578D" w:rsidRPr="00A2552F" w:rsidRDefault="00B7578D" w:rsidP="008E2E8B">
            <w:pPr>
              <w:tabs>
                <w:tab w:val="left" w:pos="1647"/>
              </w:tabs>
              <w:spacing w:line="247" w:lineRule="auto"/>
              <w:jc w:val="both"/>
              <w:rPr>
                <w:rFonts w:cs="Times New Roman"/>
                <w:sz w:val="24"/>
                <w:szCs w:val="24"/>
                <w:lang w:val="vi-VN"/>
              </w:rPr>
            </w:pPr>
            <w:r w:rsidRPr="00A2552F">
              <w:rPr>
                <w:rFonts w:cs="Times New Roman"/>
                <w:sz w:val="24"/>
                <w:szCs w:val="24"/>
              </w:rPr>
              <w:lastRenderedPageBreak/>
              <w:t xml:space="preserve">2. </w:t>
            </w:r>
            <w:r w:rsidRPr="00A2552F">
              <w:rPr>
                <w:rFonts w:cs="Times New Roman"/>
                <w:sz w:val="24"/>
                <w:szCs w:val="24"/>
                <w:lang w:val="vi-VN"/>
              </w:rPr>
              <w:t>Thay thế cụm từ “</w:t>
            </w:r>
            <w:r w:rsidRPr="00A2552F">
              <w:rPr>
                <w:rFonts w:cs="Times New Roman"/>
                <w:i/>
                <w:sz w:val="24"/>
                <w:szCs w:val="24"/>
                <w:lang w:val="vi-VN"/>
              </w:rPr>
              <w:t>Ngân hàng Nhà nước chi nhánh tỉnh, thành phố trực thuộc Trung ương</w:t>
            </w:r>
            <w:r w:rsidRPr="00A2552F">
              <w:rPr>
                <w:rFonts w:cs="Times New Roman"/>
                <w:sz w:val="24"/>
                <w:szCs w:val="24"/>
                <w:lang w:val="vi-VN"/>
              </w:rPr>
              <w:t>” bằng cụm từ “</w:t>
            </w:r>
            <w:r w:rsidRPr="00A2552F">
              <w:rPr>
                <w:rFonts w:cs="Times New Roman"/>
                <w:i/>
                <w:sz w:val="24"/>
                <w:szCs w:val="24"/>
                <w:lang w:val="vi-VN"/>
              </w:rPr>
              <w:t xml:space="preserve">Ngân hàng Nhà nước </w:t>
            </w:r>
            <w:r w:rsidRPr="00A2552F">
              <w:rPr>
                <w:rFonts w:cs="Times New Roman"/>
                <w:i/>
                <w:sz w:val="24"/>
                <w:szCs w:val="24"/>
              </w:rPr>
              <w:t>chi nhánh K</w:t>
            </w:r>
            <w:r w:rsidRPr="00A2552F">
              <w:rPr>
                <w:rFonts w:cs="Times New Roman"/>
                <w:i/>
                <w:sz w:val="24"/>
                <w:szCs w:val="24"/>
                <w:lang w:val="vi-VN"/>
              </w:rPr>
              <w:t>hu vực</w:t>
            </w:r>
            <w:r w:rsidRPr="00A2552F">
              <w:rPr>
                <w:rFonts w:cs="Times New Roman"/>
                <w:sz w:val="24"/>
                <w:szCs w:val="24"/>
                <w:lang w:val="vi-VN"/>
              </w:rPr>
              <w:t xml:space="preserve">” tại khoản </w:t>
            </w:r>
            <w:r w:rsidRPr="00A2552F">
              <w:rPr>
                <w:rFonts w:cs="Times New Roman"/>
                <w:sz w:val="24"/>
                <w:szCs w:val="24"/>
              </w:rPr>
              <w:t xml:space="preserve">4 </w:t>
            </w:r>
            <w:r w:rsidRPr="00A2552F">
              <w:rPr>
                <w:rFonts w:cs="Times New Roman"/>
                <w:sz w:val="24"/>
                <w:szCs w:val="24"/>
                <w:lang w:val="vi-VN"/>
              </w:rPr>
              <w:t>Điều 6.</w:t>
            </w:r>
          </w:p>
          <w:p w14:paraId="1CC3A559" w14:textId="77777777" w:rsidR="00B7578D" w:rsidRPr="00A2552F" w:rsidRDefault="00B7578D" w:rsidP="008E2E8B">
            <w:pPr>
              <w:spacing w:before="120"/>
              <w:jc w:val="both"/>
              <w:rPr>
                <w:rFonts w:cs="Times New Roman"/>
                <w:sz w:val="24"/>
                <w:szCs w:val="24"/>
              </w:rPr>
            </w:pPr>
          </w:p>
          <w:p w14:paraId="757B254E" w14:textId="77777777" w:rsidR="00B7578D" w:rsidRPr="00A2552F" w:rsidRDefault="00B7578D" w:rsidP="008E2E8B">
            <w:pPr>
              <w:spacing w:before="120"/>
              <w:jc w:val="both"/>
              <w:rPr>
                <w:rFonts w:cs="Times New Roman"/>
                <w:sz w:val="24"/>
                <w:szCs w:val="24"/>
              </w:rPr>
            </w:pPr>
            <w:r w:rsidRPr="00A2552F">
              <w:rPr>
                <w:rFonts w:cs="Times New Roman"/>
                <w:sz w:val="24"/>
                <w:szCs w:val="24"/>
              </w:rPr>
              <w:t xml:space="preserve">- Theo đó, khoản 2 và khoản 4 Điều 6 Thông tư 14 sau khi được sửa đổi, bổ sung sẽ như sau: </w:t>
            </w:r>
          </w:p>
          <w:p w14:paraId="10530C56" w14:textId="77777777" w:rsidR="00B7578D" w:rsidRPr="00A2552F" w:rsidRDefault="00B7578D" w:rsidP="008E2E8B">
            <w:pPr>
              <w:spacing w:before="120"/>
              <w:jc w:val="both"/>
              <w:rPr>
                <w:rFonts w:cs="Times New Roman"/>
                <w:i/>
                <w:sz w:val="24"/>
                <w:szCs w:val="24"/>
              </w:rPr>
            </w:pPr>
            <w:r w:rsidRPr="00A2552F">
              <w:rPr>
                <w:rFonts w:cs="Times New Roman"/>
                <w:i/>
                <w:sz w:val="24"/>
                <w:szCs w:val="24"/>
              </w:rPr>
              <w:t xml:space="preserve">2. </w:t>
            </w:r>
            <w:r w:rsidRPr="00A2552F">
              <w:rPr>
                <w:rFonts w:cs="Times New Roman"/>
                <w:i/>
                <w:sz w:val="24"/>
                <w:szCs w:val="24"/>
                <w:lang w:val="vi-VN"/>
              </w:rPr>
              <w:t>Thanh tra Ngân hàng Nhà nước, Cục Quản lý</w:t>
            </w:r>
            <w:r w:rsidRPr="00A2552F">
              <w:rPr>
                <w:rFonts w:cs="Times New Roman"/>
                <w:i/>
                <w:sz w:val="24"/>
                <w:szCs w:val="24"/>
              </w:rPr>
              <w:t>, giám sát tổ chức tín dụng thực hiện thanh tra, giám sát và xử lý hoặc kiến nghị xử lý theo thẩm quyền việc thực hiện các quy định tại Thông tư này của TCTD.</w:t>
            </w:r>
          </w:p>
          <w:p w14:paraId="5D0D0167" w14:textId="77777777" w:rsidR="00B7578D" w:rsidRPr="00A2552F" w:rsidRDefault="00B7578D" w:rsidP="008E2E8B">
            <w:pPr>
              <w:spacing w:before="120"/>
              <w:jc w:val="both"/>
              <w:rPr>
                <w:rFonts w:cs="Times New Roman"/>
                <w:sz w:val="24"/>
                <w:szCs w:val="24"/>
              </w:rPr>
            </w:pPr>
            <w:r w:rsidRPr="00A2552F">
              <w:rPr>
                <w:rFonts w:cs="Times New Roman"/>
                <w:i/>
                <w:sz w:val="24"/>
                <w:szCs w:val="24"/>
              </w:rPr>
              <w:t xml:space="preserve">4. </w:t>
            </w:r>
            <w:r w:rsidRPr="00A2552F">
              <w:rPr>
                <w:rFonts w:cs="Times New Roman"/>
                <w:i/>
                <w:sz w:val="24"/>
                <w:szCs w:val="24"/>
                <w:lang w:val="vi-VN"/>
              </w:rPr>
              <w:t xml:space="preserve">Ngân hàng Nhà nước </w:t>
            </w:r>
            <w:r w:rsidRPr="00A2552F">
              <w:rPr>
                <w:rFonts w:cs="Times New Roman"/>
                <w:i/>
                <w:sz w:val="24"/>
                <w:szCs w:val="24"/>
              </w:rPr>
              <w:t>chi nhánh K</w:t>
            </w:r>
            <w:r w:rsidRPr="00A2552F">
              <w:rPr>
                <w:rFonts w:cs="Times New Roman"/>
                <w:i/>
                <w:sz w:val="24"/>
                <w:szCs w:val="24"/>
                <w:lang w:val="vi-VN"/>
              </w:rPr>
              <w:t>hu vực</w:t>
            </w:r>
            <w:r w:rsidRPr="00A2552F">
              <w:rPr>
                <w:rFonts w:cs="Times New Roman"/>
                <w:i/>
                <w:sz w:val="24"/>
                <w:szCs w:val="24"/>
              </w:rPr>
              <w:t xml:space="preserve"> nơi TCTD đặt trụ sở chính (hoặc nơi chi nhánh ngân hàng nước ngoài đặt trụ sở) theo dõi, phối hợp cùng với các đơn vị liên quan thuộc NHNN trong việc triển khai thực hiện Thông tư này</w:t>
            </w:r>
            <w:r w:rsidRPr="00A2552F">
              <w:rPr>
                <w:rFonts w:cs="Times New Roman"/>
                <w:sz w:val="24"/>
                <w:szCs w:val="24"/>
              </w:rPr>
              <w:t>.</w:t>
            </w:r>
          </w:p>
        </w:tc>
        <w:tc>
          <w:tcPr>
            <w:tcW w:w="3402" w:type="dxa"/>
          </w:tcPr>
          <w:p w14:paraId="56FBB52B" w14:textId="77777777" w:rsidR="00B7578D" w:rsidRPr="00A2552F" w:rsidRDefault="00B7578D" w:rsidP="008E2E8B">
            <w:pPr>
              <w:spacing w:before="60" w:after="60" w:line="247" w:lineRule="auto"/>
              <w:jc w:val="both"/>
              <w:rPr>
                <w:rFonts w:cs="Times New Roman"/>
                <w:sz w:val="24"/>
                <w:szCs w:val="24"/>
              </w:rPr>
            </w:pPr>
          </w:p>
          <w:p w14:paraId="116209EA" w14:textId="77777777" w:rsidR="00B7578D" w:rsidRPr="00A2552F" w:rsidRDefault="00B7578D" w:rsidP="008E2E8B">
            <w:pPr>
              <w:spacing w:before="60" w:after="60" w:line="247" w:lineRule="auto"/>
              <w:jc w:val="both"/>
              <w:rPr>
                <w:rFonts w:cs="Times New Roman"/>
                <w:sz w:val="24"/>
                <w:szCs w:val="24"/>
              </w:rPr>
            </w:pPr>
            <w:r w:rsidRPr="00A2552F">
              <w:rPr>
                <w:rFonts w:cs="Times New Roman"/>
                <w:sz w:val="24"/>
                <w:szCs w:val="24"/>
              </w:rPr>
              <w:t>Sửa đổi để phù hợp với cơ cấu tổ chức bộ máy NHNN quy định tại Điều 3 Nghị định 26/2025/NĐ-CP và chức năng, nhiệm vụ của các đơn vị đơn vị sau khi được sắp xếp, tổ chức lại.</w:t>
            </w:r>
          </w:p>
        </w:tc>
      </w:tr>
    </w:tbl>
    <w:p w14:paraId="4FE064E2" w14:textId="77777777" w:rsidR="00B7578D" w:rsidRPr="00B7578D" w:rsidRDefault="00B7578D" w:rsidP="00371644">
      <w:pPr>
        <w:ind w:firstLine="567"/>
        <w:jc w:val="both"/>
        <w:rPr>
          <w:sz w:val="28"/>
          <w:szCs w:val="28"/>
          <w:lang w:val="en-AU"/>
        </w:rPr>
      </w:pPr>
    </w:p>
    <w:p w14:paraId="6E8B0EA3" w14:textId="77777777" w:rsidR="00B7578D" w:rsidRDefault="00B7578D" w:rsidP="00371644">
      <w:pPr>
        <w:ind w:firstLine="567"/>
        <w:jc w:val="both"/>
        <w:rPr>
          <w:b/>
          <w:sz w:val="28"/>
          <w:szCs w:val="28"/>
          <w:lang w:val="en-AU"/>
        </w:rPr>
      </w:pPr>
    </w:p>
    <w:p w14:paraId="67BD6991" w14:textId="77777777" w:rsidR="00B7578D" w:rsidRPr="007C6515" w:rsidRDefault="00B7578D" w:rsidP="00371644">
      <w:pPr>
        <w:ind w:firstLine="567"/>
        <w:jc w:val="both"/>
        <w:rPr>
          <w:b/>
          <w:sz w:val="28"/>
          <w:szCs w:val="28"/>
          <w:lang w:val="en-AU"/>
        </w:rPr>
      </w:pPr>
    </w:p>
    <w:p w14:paraId="6E544F72" w14:textId="77777777" w:rsidR="00371644" w:rsidRPr="007C6515" w:rsidRDefault="00371644" w:rsidP="00371644">
      <w:pPr>
        <w:ind w:firstLine="567"/>
        <w:jc w:val="both"/>
        <w:rPr>
          <w:b/>
          <w:sz w:val="28"/>
          <w:szCs w:val="28"/>
          <w:lang w:val="en-AU"/>
        </w:rPr>
      </w:pPr>
    </w:p>
    <w:p w14:paraId="73B58E1E" w14:textId="31818039" w:rsidR="00371644" w:rsidRPr="007C6515" w:rsidRDefault="00371644" w:rsidP="001D24BC">
      <w:pPr>
        <w:spacing w:before="120" w:after="120"/>
        <w:ind w:firstLine="567"/>
        <w:jc w:val="both"/>
        <w:rPr>
          <w:b/>
        </w:rPr>
      </w:pPr>
    </w:p>
    <w:p w14:paraId="171A03CC" w14:textId="77777777" w:rsidR="00371644" w:rsidRPr="007C6515" w:rsidRDefault="00371644" w:rsidP="001D24BC">
      <w:pPr>
        <w:spacing w:before="120" w:after="120"/>
        <w:ind w:firstLine="567"/>
        <w:jc w:val="both"/>
        <w:rPr>
          <w:b/>
          <w:sz w:val="28"/>
          <w:szCs w:val="28"/>
        </w:rPr>
      </w:pPr>
    </w:p>
    <w:sectPr w:rsidR="00371644" w:rsidRPr="007C6515" w:rsidSect="00B7578D">
      <w:headerReference w:type="default" r:id="rId12"/>
      <w:pgSz w:w="16840" w:h="11907" w:orient="landscape" w:code="9"/>
      <w:pgMar w:top="1134" w:right="1134" w:bottom="907" w:left="1701" w:header="284" w:footer="28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A9B9" w14:textId="77777777" w:rsidR="001E4E6D" w:rsidRDefault="001E4E6D">
      <w:r>
        <w:separator/>
      </w:r>
    </w:p>
  </w:endnote>
  <w:endnote w:type="continuationSeparator" w:id="0">
    <w:p w14:paraId="520B876B" w14:textId="77777777" w:rsidR="001E4E6D" w:rsidRDefault="001E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04F78" w14:textId="77777777" w:rsidR="001E4E6D" w:rsidRDefault="001E4E6D">
      <w:r>
        <w:separator/>
      </w:r>
    </w:p>
  </w:footnote>
  <w:footnote w:type="continuationSeparator" w:id="0">
    <w:p w14:paraId="2562C659" w14:textId="77777777" w:rsidR="001E4E6D" w:rsidRDefault="001E4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FCFA" w14:textId="086AB8D1" w:rsidR="00E2109F" w:rsidRDefault="00E2109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62F7D">
      <w:rPr>
        <w:noProof/>
        <w:color w:val="000000"/>
      </w:rPr>
      <w:t>4</w:t>
    </w:r>
    <w:r>
      <w:rPr>
        <w:color w:val="000000"/>
      </w:rPr>
      <w:fldChar w:fldCharType="end"/>
    </w:r>
  </w:p>
  <w:p w14:paraId="6C08BD7D" w14:textId="77777777" w:rsidR="00E2109F" w:rsidRDefault="00E2109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2059E"/>
    <w:multiLevelType w:val="hybridMultilevel"/>
    <w:tmpl w:val="3E26847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02C4E"/>
    <w:rsid w:val="00003760"/>
    <w:rsid w:val="000114FC"/>
    <w:rsid w:val="000127D4"/>
    <w:rsid w:val="0002077B"/>
    <w:rsid w:val="00027103"/>
    <w:rsid w:val="00030192"/>
    <w:rsid w:val="00031E10"/>
    <w:rsid w:val="00033A3A"/>
    <w:rsid w:val="00037336"/>
    <w:rsid w:val="00042444"/>
    <w:rsid w:val="000478AA"/>
    <w:rsid w:val="000500CF"/>
    <w:rsid w:val="00055DD2"/>
    <w:rsid w:val="00056289"/>
    <w:rsid w:val="000572E8"/>
    <w:rsid w:val="00070B8B"/>
    <w:rsid w:val="00075A74"/>
    <w:rsid w:val="00075B29"/>
    <w:rsid w:val="00077106"/>
    <w:rsid w:val="000773B9"/>
    <w:rsid w:val="00084077"/>
    <w:rsid w:val="000856DB"/>
    <w:rsid w:val="00086AD9"/>
    <w:rsid w:val="000907AC"/>
    <w:rsid w:val="000915CE"/>
    <w:rsid w:val="00093585"/>
    <w:rsid w:val="00094207"/>
    <w:rsid w:val="000949C9"/>
    <w:rsid w:val="000978AD"/>
    <w:rsid w:val="000A1A27"/>
    <w:rsid w:val="000A7BA9"/>
    <w:rsid w:val="000A7D94"/>
    <w:rsid w:val="000B0E11"/>
    <w:rsid w:val="000B11B2"/>
    <w:rsid w:val="000B28DB"/>
    <w:rsid w:val="000B3375"/>
    <w:rsid w:val="000B46C3"/>
    <w:rsid w:val="000B7483"/>
    <w:rsid w:val="000C0BBF"/>
    <w:rsid w:val="000C4D49"/>
    <w:rsid w:val="000C5C67"/>
    <w:rsid w:val="000D0508"/>
    <w:rsid w:val="000D1576"/>
    <w:rsid w:val="000D19E4"/>
    <w:rsid w:val="000D490B"/>
    <w:rsid w:val="000E07B2"/>
    <w:rsid w:val="000E1876"/>
    <w:rsid w:val="000E4233"/>
    <w:rsid w:val="000E4F55"/>
    <w:rsid w:val="000F0909"/>
    <w:rsid w:val="000F4B36"/>
    <w:rsid w:val="000F5017"/>
    <w:rsid w:val="000F79B0"/>
    <w:rsid w:val="000F7F19"/>
    <w:rsid w:val="00101D0C"/>
    <w:rsid w:val="0010290D"/>
    <w:rsid w:val="001031A9"/>
    <w:rsid w:val="0010531F"/>
    <w:rsid w:val="00107F78"/>
    <w:rsid w:val="00111CAB"/>
    <w:rsid w:val="0011327F"/>
    <w:rsid w:val="00113B1E"/>
    <w:rsid w:val="0011596E"/>
    <w:rsid w:val="00116B93"/>
    <w:rsid w:val="001175C1"/>
    <w:rsid w:val="00121161"/>
    <w:rsid w:val="001245CF"/>
    <w:rsid w:val="00127136"/>
    <w:rsid w:val="00131253"/>
    <w:rsid w:val="001340AA"/>
    <w:rsid w:val="00135B2B"/>
    <w:rsid w:val="00136FF1"/>
    <w:rsid w:val="00137E39"/>
    <w:rsid w:val="00142D16"/>
    <w:rsid w:val="001440E6"/>
    <w:rsid w:val="00146097"/>
    <w:rsid w:val="001518BC"/>
    <w:rsid w:val="0015580B"/>
    <w:rsid w:val="0016042E"/>
    <w:rsid w:val="00160DB6"/>
    <w:rsid w:val="00164550"/>
    <w:rsid w:val="001657B1"/>
    <w:rsid w:val="00170000"/>
    <w:rsid w:val="001705AA"/>
    <w:rsid w:val="00170B41"/>
    <w:rsid w:val="0017220B"/>
    <w:rsid w:val="00172C3D"/>
    <w:rsid w:val="00172E14"/>
    <w:rsid w:val="001813B6"/>
    <w:rsid w:val="00182132"/>
    <w:rsid w:val="00182AE2"/>
    <w:rsid w:val="00182EF7"/>
    <w:rsid w:val="001835C2"/>
    <w:rsid w:val="00185072"/>
    <w:rsid w:val="0018534C"/>
    <w:rsid w:val="0018549A"/>
    <w:rsid w:val="001855F6"/>
    <w:rsid w:val="0018622D"/>
    <w:rsid w:val="0018713C"/>
    <w:rsid w:val="001948D7"/>
    <w:rsid w:val="001977C0"/>
    <w:rsid w:val="001A7A33"/>
    <w:rsid w:val="001B5754"/>
    <w:rsid w:val="001D24BC"/>
    <w:rsid w:val="001D27B0"/>
    <w:rsid w:val="001E2042"/>
    <w:rsid w:val="001E2E0C"/>
    <w:rsid w:val="001E396B"/>
    <w:rsid w:val="001E4E6D"/>
    <w:rsid w:val="001E7679"/>
    <w:rsid w:val="001F1E04"/>
    <w:rsid w:val="00202BF7"/>
    <w:rsid w:val="0020640A"/>
    <w:rsid w:val="00210C6F"/>
    <w:rsid w:val="00211FD1"/>
    <w:rsid w:val="00212C95"/>
    <w:rsid w:val="00214A1B"/>
    <w:rsid w:val="002164D7"/>
    <w:rsid w:val="00216B4D"/>
    <w:rsid w:val="00221F4D"/>
    <w:rsid w:val="00230F6E"/>
    <w:rsid w:val="00232B99"/>
    <w:rsid w:val="00233497"/>
    <w:rsid w:val="00240126"/>
    <w:rsid w:val="00240826"/>
    <w:rsid w:val="00250BD4"/>
    <w:rsid w:val="002514F5"/>
    <w:rsid w:val="00255B88"/>
    <w:rsid w:val="00256EB4"/>
    <w:rsid w:val="00263578"/>
    <w:rsid w:val="00275A1A"/>
    <w:rsid w:val="002764C2"/>
    <w:rsid w:val="00282885"/>
    <w:rsid w:val="00293381"/>
    <w:rsid w:val="00294179"/>
    <w:rsid w:val="00294C7B"/>
    <w:rsid w:val="00295014"/>
    <w:rsid w:val="00295CB7"/>
    <w:rsid w:val="002979D4"/>
    <w:rsid w:val="002A0165"/>
    <w:rsid w:val="002A1615"/>
    <w:rsid w:val="002A5D26"/>
    <w:rsid w:val="002A6424"/>
    <w:rsid w:val="002A663D"/>
    <w:rsid w:val="002B7BDF"/>
    <w:rsid w:val="002C0859"/>
    <w:rsid w:val="002C0B07"/>
    <w:rsid w:val="002C1651"/>
    <w:rsid w:val="002C2DDC"/>
    <w:rsid w:val="002C5296"/>
    <w:rsid w:val="002D00B1"/>
    <w:rsid w:val="002D0FE1"/>
    <w:rsid w:val="002D20FD"/>
    <w:rsid w:val="002D3649"/>
    <w:rsid w:val="002E3190"/>
    <w:rsid w:val="002E3FC3"/>
    <w:rsid w:val="002E4A47"/>
    <w:rsid w:val="002F0AF8"/>
    <w:rsid w:val="002F1860"/>
    <w:rsid w:val="002F6339"/>
    <w:rsid w:val="002F6E54"/>
    <w:rsid w:val="002F70EC"/>
    <w:rsid w:val="00302253"/>
    <w:rsid w:val="00304FEE"/>
    <w:rsid w:val="00306CA8"/>
    <w:rsid w:val="0031314B"/>
    <w:rsid w:val="00314D3F"/>
    <w:rsid w:val="0031508A"/>
    <w:rsid w:val="003166BE"/>
    <w:rsid w:val="00317212"/>
    <w:rsid w:val="00320233"/>
    <w:rsid w:val="0032219B"/>
    <w:rsid w:val="0032559E"/>
    <w:rsid w:val="0033245C"/>
    <w:rsid w:val="00334B53"/>
    <w:rsid w:val="00345593"/>
    <w:rsid w:val="00346FEE"/>
    <w:rsid w:val="0036010F"/>
    <w:rsid w:val="00362EF2"/>
    <w:rsid w:val="00363D85"/>
    <w:rsid w:val="003668A5"/>
    <w:rsid w:val="00367E91"/>
    <w:rsid w:val="00371644"/>
    <w:rsid w:val="00371D83"/>
    <w:rsid w:val="00373F23"/>
    <w:rsid w:val="003745C2"/>
    <w:rsid w:val="00374822"/>
    <w:rsid w:val="00375210"/>
    <w:rsid w:val="0037652E"/>
    <w:rsid w:val="00377197"/>
    <w:rsid w:val="0038068C"/>
    <w:rsid w:val="00380B5C"/>
    <w:rsid w:val="003812E7"/>
    <w:rsid w:val="00392D1D"/>
    <w:rsid w:val="00394AC2"/>
    <w:rsid w:val="00395109"/>
    <w:rsid w:val="003961F0"/>
    <w:rsid w:val="0039705E"/>
    <w:rsid w:val="00397CEF"/>
    <w:rsid w:val="003A31DB"/>
    <w:rsid w:val="003A7885"/>
    <w:rsid w:val="003B203E"/>
    <w:rsid w:val="003B4214"/>
    <w:rsid w:val="003B55D5"/>
    <w:rsid w:val="003C0F74"/>
    <w:rsid w:val="003C4B73"/>
    <w:rsid w:val="003C7EB9"/>
    <w:rsid w:val="003D625F"/>
    <w:rsid w:val="003E202B"/>
    <w:rsid w:val="003E28E7"/>
    <w:rsid w:val="003E7D6D"/>
    <w:rsid w:val="003F0DAD"/>
    <w:rsid w:val="003F170A"/>
    <w:rsid w:val="003F630D"/>
    <w:rsid w:val="0040033C"/>
    <w:rsid w:val="0040049A"/>
    <w:rsid w:val="00402C2B"/>
    <w:rsid w:val="00405963"/>
    <w:rsid w:val="00407323"/>
    <w:rsid w:val="00410E56"/>
    <w:rsid w:val="0041460D"/>
    <w:rsid w:val="00417577"/>
    <w:rsid w:val="004208C6"/>
    <w:rsid w:val="00423086"/>
    <w:rsid w:val="0042584B"/>
    <w:rsid w:val="00427DAB"/>
    <w:rsid w:val="0043255B"/>
    <w:rsid w:val="00432FA2"/>
    <w:rsid w:val="00434209"/>
    <w:rsid w:val="00434D1A"/>
    <w:rsid w:val="00436983"/>
    <w:rsid w:val="00437AAD"/>
    <w:rsid w:val="004444DF"/>
    <w:rsid w:val="004460DA"/>
    <w:rsid w:val="0044721A"/>
    <w:rsid w:val="0044759A"/>
    <w:rsid w:val="0045018D"/>
    <w:rsid w:val="00452394"/>
    <w:rsid w:val="00456D06"/>
    <w:rsid w:val="00457500"/>
    <w:rsid w:val="00462C9D"/>
    <w:rsid w:val="00465D2B"/>
    <w:rsid w:val="0047078F"/>
    <w:rsid w:val="00470DA6"/>
    <w:rsid w:val="0047163D"/>
    <w:rsid w:val="004728FD"/>
    <w:rsid w:val="00472B1F"/>
    <w:rsid w:val="00473D61"/>
    <w:rsid w:val="004748AB"/>
    <w:rsid w:val="00474C58"/>
    <w:rsid w:val="00476B31"/>
    <w:rsid w:val="00476FEF"/>
    <w:rsid w:val="00485861"/>
    <w:rsid w:val="0049026B"/>
    <w:rsid w:val="0049213F"/>
    <w:rsid w:val="00496864"/>
    <w:rsid w:val="00497A17"/>
    <w:rsid w:val="004A17D6"/>
    <w:rsid w:val="004A2B29"/>
    <w:rsid w:val="004B3D70"/>
    <w:rsid w:val="004B5789"/>
    <w:rsid w:val="004C2060"/>
    <w:rsid w:val="004C2339"/>
    <w:rsid w:val="004D5825"/>
    <w:rsid w:val="004D7219"/>
    <w:rsid w:val="004E0EF7"/>
    <w:rsid w:val="004E747A"/>
    <w:rsid w:val="004F018E"/>
    <w:rsid w:val="004F2543"/>
    <w:rsid w:val="004F3644"/>
    <w:rsid w:val="00506E81"/>
    <w:rsid w:val="005075CC"/>
    <w:rsid w:val="005101F3"/>
    <w:rsid w:val="0051170B"/>
    <w:rsid w:val="00514FED"/>
    <w:rsid w:val="005220E5"/>
    <w:rsid w:val="0052339C"/>
    <w:rsid w:val="00526357"/>
    <w:rsid w:val="00532FC0"/>
    <w:rsid w:val="0053509F"/>
    <w:rsid w:val="0053515B"/>
    <w:rsid w:val="005373CA"/>
    <w:rsid w:val="005375A4"/>
    <w:rsid w:val="00541186"/>
    <w:rsid w:val="00544640"/>
    <w:rsid w:val="0054537E"/>
    <w:rsid w:val="005470C1"/>
    <w:rsid w:val="00553F14"/>
    <w:rsid w:val="0055772A"/>
    <w:rsid w:val="005647A4"/>
    <w:rsid w:val="00565D56"/>
    <w:rsid w:val="00572CF4"/>
    <w:rsid w:val="005763BE"/>
    <w:rsid w:val="00581582"/>
    <w:rsid w:val="00582126"/>
    <w:rsid w:val="00582E28"/>
    <w:rsid w:val="00582EBF"/>
    <w:rsid w:val="00592B0B"/>
    <w:rsid w:val="00593C7A"/>
    <w:rsid w:val="0059633A"/>
    <w:rsid w:val="005B2467"/>
    <w:rsid w:val="005C0475"/>
    <w:rsid w:val="005D0107"/>
    <w:rsid w:val="005D15E5"/>
    <w:rsid w:val="005D3E0C"/>
    <w:rsid w:val="005E1658"/>
    <w:rsid w:val="005E4F9A"/>
    <w:rsid w:val="005E6523"/>
    <w:rsid w:val="005E731A"/>
    <w:rsid w:val="005E75FA"/>
    <w:rsid w:val="00606421"/>
    <w:rsid w:val="006073D3"/>
    <w:rsid w:val="00616039"/>
    <w:rsid w:val="00616B18"/>
    <w:rsid w:val="00617029"/>
    <w:rsid w:val="00617919"/>
    <w:rsid w:val="00621BBD"/>
    <w:rsid w:val="00621CA8"/>
    <w:rsid w:val="00636F9A"/>
    <w:rsid w:val="0064016E"/>
    <w:rsid w:val="006405F2"/>
    <w:rsid w:val="00641908"/>
    <w:rsid w:val="0064222F"/>
    <w:rsid w:val="006439EC"/>
    <w:rsid w:val="00651751"/>
    <w:rsid w:val="00651D6E"/>
    <w:rsid w:val="00652CE1"/>
    <w:rsid w:val="00661118"/>
    <w:rsid w:val="00661B7A"/>
    <w:rsid w:val="006630CB"/>
    <w:rsid w:val="0066719D"/>
    <w:rsid w:val="0066743B"/>
    <w:rsid w:val="00672C73"/>
    <w:rsid w:val="00676083"/>
    <w:rsid w:val="00684E91"/>
    <w:rsid w:val="00685912"/>
    <w:rsid w:val="006869FF"/>
    <w:rsid w:val="0069323A"/>
    <w:rsid w:val="006A0C15"/>
    <w:rsid w:val="006A178B"/>
    <w:rsid w:val="006A6026"/>
    <w:rsid w:val="006A61F0"/>
    <w:rsid w:val="006A7954"/>
    <w:rsid w:val="006A7FC9"/>
    <w:rsid w:val="006B2986"/>
    <w:rsid w:val="006B535D"/>
    <w:rsid w:val="006B6C64"/>
    <w:rsid w:val="006C1766"/>
    <w:rsid w:val="006C2768"/>
    <w:rsid w:val="006C35AD"/>
    <w:rsid w:val="006C444E"/>
    <w:rsid w:val="006C4904"/>
    <w:rsid w:val="006C5313"/>
    <w:rsid w:val="006C65C3"/>
    <w:rsid w:val="006D07A9"/>
    <w:rsid w:val="006D3951"/>
    <w:rsid w:val="006D794B"/>
    <w:rsid w:val="006E03E9"/>
    <w:rsid w:val="006E2307"/>
    <w:rsid w:val="006E2497"/>
    <w:rsid w:val="006E387C"/>
    <w:rsid w:val="006E6441"/>
    <w:rsid w:val="006E7A06"/>
    <w:rsid w:val="006E7EAC"/>
    <w:rsid w:val="006F296F"/>
    <w:rsid w:val="006F2D60"/>
    <w:rsid w:val="006F3BB4"/>
    <w:rsid w:val="006F48CC"/>
    <w:rsid w:val="006F6609"/>
    <w:rsid w:val="00700E7A"/>
    <w:rsid w:val="007020FB"/>
    <w:rsid w:val="007049FD"/>
    <w:rsid w:val="00706206"/>
    <w:rsid w:val="0071192F"/>
    <w:rsid w:val="00713F7A"/>
    <w:rsid w:val="00714DD3"/>
    <w:rsid w:val="007174DD"/>
    <w:rsid w:val="00732C7F"/>
    <w:rsid w:val="00732D0B"/>
    <w:rsid w:val="0073507D"/>
    <w:rsid w:val="007403DB"/>
    <w:rsid w:val="00741623"/>
    <w:rsid w:val="00742697"/>
    <w:rsid w:val="00743D74"/>
    <w:rsid w:val="0074768B"/>
    <w:rsid w:val="00747AD0"/>
    <w:rsid w:val="00756712"/>
    <w:rsid w:val="007572E3"/>
    <w:rsid w:val="00757C00"/>
    <w:rsid w:val="00763130"/>
    <w:rsid w:val="00764AB0"/>
    <w:rsid w:val="00767E0E"/>
    <w:rsid w:val="00772636"/>
    <w:rsid w:val="007735A3"/>
    <w:rsid w:val="0078087B"/>
    <w:rsid w:val="007A3B70"/>
    <w:rsid w:val="007B68D5"/>
    <w:rsid w:val="007C15BE"/>
    <w:rsid w:val="007C2457"/>
    <w:rsid w:val="007C2612"/>
    <w:rsid w:val="007C6515"/>
    <w:rsid w:val="007D1652"/>
    <w:rsid w:val="007D4910"/>
    <w:rsid w:val="007D6A1C"/>
    <w:rsid w:val="007D79FC"/>
    <w:rsid w:val="007E5D8F"/>
    <w:rsid w:val="007E605D"/>
    <w:rsid w:val="007E698B"/>
    <w:rsid w:val="007E78B9"/>
    <w:rsid w:val="007F17BD"/>
    <w:rsid w:val="007F2DB3"/>
    <w:rsid w:val="007F35BA"/>
    <w:rsid w:val="007F49EC"/>
    <w:rsid w:val="00800CCF"/>
    <w:rsid w:val="00801F85"/>
    <w:rsid w:val="00806308"/>
    <w:rsid w:val="00812BF4"/>
    <w:rsid w:val="008256DE"/>
    <w:rsid w:val="00826160"/>
    <w:rsid w:val="008261C3"/>
    <w:rsid w:val="00833D85"/>
    <w:rsid w:val="00834D70"/>
    <w:rsid w:val="00836115"/>
    <w:rsid w:val="008373D7"/>
    <w:rsid w:val="008406D2"/>
    <w:rsid w:val="00844877"/>
    <w:rsid w:val="00847128"/>
    <w:rsid w:val="00852D50"/>
    <w:rsid w:val="00855801"/>
    <w:rsid w:val="0086330B"/>
    <w:rsid w:val="008634E8"/>
    <w:rsid w:val="00865B0A"/>
    <w:rsid w:val="00870201"/>
    <w:rsid w:val="008768ED"/>
    <w:rsid w:val="0087762A"/>
    <w:rsid w:val="008818E6"/>
    <w:rsid w:val="00884E24"/>
    <w:rsid w:val="00885243"/>
    <w:rsid w:val="008856BC"/>
    <w:rsid w:val="00886741"/>
    <w:rsid w:val="008877DA"/>
    <w:rsid w:val="00891243"/>
    <w:rsid w:val="008912E0"/>
    <w:rsid w:val="008A303D"/>
    <w:rsid w:val="008B4610"/>
    <w:rsid w:val="008B4BD8"/>
    <w:rsid w:val="008B7C33"/>
    <w:rsid w:val="008C3D48"/>
    <w:rsid w:val="008C3EE4"/>
    <w:rsid w:val="008C40A1"/>
    <w:rsid w:val="008C6CE4"/>
    <w:rsid w:val="008D074C"/>
    <w:rsid w:val="008D3B67"/>
    <w:rsid w:val="008D4317"/>
    <w:rsid w:val="008D521F"/>
    <w:rsid w:val="008D6C18"/>
    <w:rsid w:val="008E2A67"/>
    <w:rsid w:val="008F777B"/>
    <w:rsid w:val="00900088"/>
    <w:rsid w:val="00902571"/>
    <w:rsid w:val="0090362F"/>
    <w:rsid w:val="00907BB6"/>
    <w:rsid w:val="00914315"/>
    <w:rsid w:val="0092246F"/>
    <w:rsid w:val="0092284E"/>
    <w:rsid w:val="00923F5F"/>
    <w:rsid w:val="00931676"/>
    <w:rsid w:val="009324B8"/>
    <w:rsid w:val="009338C0"/>
    <w:rsid w:val="009342AA"/>
    <w:rsid w:val="0093444A"/>
    <w:rsid w:val="00934861"/>
    <w:rsid w:val="00934987"/>
    <w:rsid w:val="00937AB6"/>
    <w:rsid w:val="00940F43"/>
    <w:rsid w:val="00941652"/>
    <w:rsid w:val="0094416E"/>
    <w:rsid w:val="00944190"/>
    <w:rsid w:val="009509BE"/>
    <w:rsid w:val="00956760"/>
    <w:rsid w:val="00966284"/>
    <w:rsid w:val="00967EE5"/>
    <w:rsid w:val="009742DA"/>
    <w:rsid w:val="00974A34"/>
    <w:rsid w:val="00981C39"/>
    <w:rsid w:val="00982FF8"/>
    <w:rsid w:val="00985213"/>
    <w:rsid w:val="00991313"/>
    <w:rsid w:val="00993829"/>
    <w:rsid w:val="00993957"/>
    <w:rsid w:val="00994EA0"/>
    <w:rsid w:val="009A070A"/>
    <w:rsid w:val="009A1FE5"/>
    <w:rsid w:val="009A2059"/>
    <w:rsid w:val="009A3E48"/>
    <w:rsid w:val="009A7FA6"/>
    <w:rsid w:val="009C1BDE"/>
    <w:rsid w:val="009C6FDF"/>
    <w:rsid w:val="009D0736"/>
    <w:rsid w:val="009D1BB3"/>
    <w:rsid w:val="009D4EFE"/>
    <w:rsid w:val="009D53BB"/>
    <w:rsid w:val="009E543C"/>
    <w:rsid w:val="009F2DB0"/>
    <w:rsid w:val="009F3E57"/>
    <w:rsid w:val="009F4494"/>
    <w:rsid w:val="00A00EE3"/>
    <w:rsid w:val="00A10DAB"/>
    <w:rsid w:val="00A11E0C"/>
    <w:rsid w:val="00A12D09"/>
    <w:rsid w:val="00A17AA5"/>
    <w:rsid w:val="00A21252"/>
    <w:rsid w:val="00A24A68"/>
    <w:rsid w:val="00A25EE7"/>
    <w:rsid w:val="00A31236"/>
    <w:rsid w:val="00A3499D"/>
    <w:rsid w:val="00A44201"/>
    <w:rsid w:val="00A53DC2"/>
    <w:rsid w:val="00A54908"/>
    <w:rsid w:val="00A54D55"/>
    <w:rsid w:val="00A607B6"/>
    <w:rsid w:val="00A6119E"/>
    <w:rsid w:val="00A652F8"/>
    <w:rsid w:val="00A6743E"/>
    <w:rsid w:val="00A67794"/>
    <w:rsid w:val="00A80219"/>
    <w:rsid w:val="00A80525"/>
    <w:rsid w:val="00A80851"/>
    <w:rsid w:val="00A830B1"/>
    <w:rsid w:val="00A842AA"/>
    <w:rsid w:val="00A901B4"/>
    <w:rsid w:val="00A901CB"/>
    <w:rsid w:val="00A92587"/>
    <w:rsid w:val="00A95997"/>
    <w:rsid w:val="00A9741C"/>
    <w:rsid w:val="00AA03BF"/>
    <w:rsid w:val="00AA0B61"/>
    <w:rsid w:val="00AA2E9B"/>
    <w:rsid w:val="00AA4AAB"/>
    <w:rsid w:val="00AA7422"/>
    <w:rsid w:val="00AB258B"/>
    <w:rsid w:val="00AB521B"/>
    <w:rsid w:val="00AB6F6D"/>
    <w:rsid w:val="00AB79BF"/>
    <w:rsid w:val="00AC29B7"/>
    <w:rsid w:val="00AC30AC"/>
    <w:rsid w:val="00AC3654"/>
    <w:rsid w:val="00AC58E1"/>
    <w:rsid w:val="00AC676A"/>
    <w:rsid w:val="00AD2195"/>
    <w:rsid w:val="00AD2347"/>
    <w:rsid w:val="00AD29DF"/>
    <w:rsid w:val="00AE078F"/>
    <w:rsid w:val="00AE2A69"/>
    <w:rsid w:val="00AE31CE"/>
    <w:rsid w:val="00AE37A7"/>
    <w:rsid w:val="00AE540C"/>
    <w:rsid w:val="00AE5CA4"/>
    <w:rsid w:val="00AE65F1"/>
    <w:rsid w:val="00AE6643"/>
    <w:rsid w:val="00AF3F48"/>
    <w:rsid w:val="00AF43A1"/>
    <w:rsid w:val="00B02AB8"/>
    <w:rsid w:val="00B032CB"/>
    <w:rsid w:val="00B0429C"/>
    <w:rsid w:val="00B048E3"/>
    <w:rsid w:val="00B04BD2"/>
    <w:rsid w:val="00B06945"/>
    <w:rsid w:val="00B11AA0"/>
    <w:rsid w:val="00B142CD"/>
    <w:rsid w:val="00B14FC1"/>
    <w:rsid w:val="00B159F9"/>
    <w:rsid w:val="00B170FD"/>
    <w:rsid w:val="00B22782"/>
    <w:rsid w:val="00B268D5"/>
    <w:rsid w:val="00B2756A"/>
    <w:rsid w:val="00B3086E"/>
    <w:rsid w:val="00B3144E"/>
    <w:rsid w:val="00B34976"/>
    <w:rsid w:val="00B368C0"/>
    <w:rsid w:val="00B37D98"/>
    <w:rsid w:val="00B410C8"/>
    <w:rsid w:val="00B42C64"/>
    <w:rsid w:val="00B42E65"/>
    <w:rsid w:val="00B50A9D"/>
    <w:rsid w:val="00B52621"/>
    <w:rsid w:val="00B575B8"/>
    <w:rsid w:val="00B679A4"/>
    <w:rsid w:val="00B67EB7"/>
    <w:rsid w:val="00B7072B"/>
    <w:rsid w:val="00B70B2A"/>
    <w:rsid w:val="00B7578D"/>
    <w:rsid w:val="00B766F5"/>
    <w:rsid w:val="00B81046"/>
    <w:rsid w:val="00B934FB"/>
    <w:rsid w:val="00B94726"/>
    <w:rsid w:val="00BA1193"/>
    <w:rsid w:val="00BA20A2"/>
    <w:rsid w:val="00BA39DF"/>
    <w:rsid w:val="00BB12FC"/>
    <w:rsid w:val="00BB2676"/>
    <w:rsid w:val="00BB58AC"/>
    <w:rsid w:val="00BC097C"/>
    <w:rsid w:val="00BC3E51"/>
    <w:rsid w:val="00BC607C"/>
    <w:rsid w:val="00BD071E"/>
    <w:rsid w:val="00BD55C0"/>
    <w:rsid w:val="00BD5EF9"/>
    <w:rsid w:val="00BE23B3"/>
    <w:rsid w:val="00BE2694"/>
    <w:rsid w:val="00BE45E9"/>
    <w:rsid w:val="00BE526F"/>
    <w:rsid w:val="00BE56FE"/>
    <w:rsid w:val="00BF0C2F"/>
    <w:rsid w:val="00BF2936"/>
    <w:rsid w:val="00C049F6"/>
    <w:rsid w:val="00C06315"/>
    <w:rsid w:val="00C13677"/>
    <w:rsid w:val="00C137CB"/>
    <w:rsid w:val="00C13C38"/>
    <w:rsid w:val="00C14515"/>
    <w:rsid w:val="00C21C39"/>
    <w:rsid w:val="00C24696"/>
    <w:rsid w:val="00C34AFD"/>
    <w:rsid w:val="00C34C22"/>
    <w:rsid w:val="00C37AC9"/>
    <w:rsid w:val="00C42E99"/>
    <w:rsid w:val="00C43044"/>
    <w:rsid w:val="00C47C3D"/>
    <w:rsid w:val="00C51C69"/>
    <w:rsid w:val="00C52288"/>
    <w:rsid w:val="00C56242"/>
    <w:rsid w:val="00C57603"/>
    <w:rsid w:val="00C613D6"/>
    <w:rsid w:val="00C61BEF"/>
    <w:rsid w:val="00C759C8"/>
    <w:rsid w:val="00C81684"/>
    <w:rsid w:val="00C84B5A"/>
    <w:rsid w:val="00C850D4"/>
    <w:rsid w:val="00C96C87"/>
    <w:rsid w:val="00CA05B5"/>
    <w:rsid w:val="00CA33E9"/>
    <w:rsid w:val="00CA61C7"/>
    <w:rsid w:val="00CA768E"/>
    <w:rsid w:val="00CA7B92"/>
    <w:rsid w:val="00CB0857"/>
    <w:rsid w:val="00CB4BEE"/>
    <w:rsid w:val="00CB711C"/>
    <w:rsid w:val="00CC1E21"/>
    <w:rsid w:val="00CC61A3"/>
    <w:rsid w:val="00CC737B"/>
    <w:rsid w:val="00CD1A69"/>
    <w:rsid w:val="00CD70D0"/>
    <w:rsid w:val="00CE0924"/>
    <w:rsid w:val="00CE22BA"/>
    <w:rsid w:val="00CE67B5"/>
    <w:rsid w:val="00CF0629"/>
    <w:rsid w:val="00CF0B74"/>
    <w:rsid w:val="00CF2EFD"/>
    <w:rsid w:val="00D045CC"/>
    <w:rsid w:val="00D05068"/>
    <w:rsid w:val="00D13987"/>
    <w:rsid w:val="00D16AC2"/>
    <w:rsid w:val="00D1706B"/>
    <w:rsid w:val="00D228BC"/>
    <w:rsid w:val="00D27ED2"/>
    <w:rsid w:val="00D3130F"/>
    <w:rsid w:val="00D35891"/>
    <w:rsid w:val="00D37DF8"/>
    <w:rsid w:val="00D37FDB"/>
    <w:rsid w:val="00D50CB0"/>
    <w:rsid w:val="00D521D9"/>
    <w:rsid w:val="00D53BB1"/>
    <w:rsid w:val="00D55A5D"/>
    <w:rsid w:val="00D56FC1"/>
    <w:rsid w:val="00D61708"/>
    <w:rsid w:val="00D6559B"/>
    <w:rsid w:val="00D81272"/>
    <w:rsid w:val="00D863BA"/>
    <w:rsid w:val="00D90726"/>
    <w:rsid w:val="00D94752"/>
    <w:rsid w:val="00DA0225"/>
    <w:rsid w:val="00DA0991"/>
    <w:rsid w:val="00DA3F02"/>
    <w:rsid w:val="00DA77D0"/>
    <w:rsid w:val="00DA7927"/>
    <w:rsid w:val="00DB38F3"/>
    <w:rsid w:val="00DB5C2A"/>
    <w:rsid w:val="00DC2241"/>
    <w:rsid w:val="00DC30BA"/>
    <w:rsid w:val="00DC357D"/>
    <w:rsid w:val="00DC39DE"/>
    <w:rsid w:val="00DC3BDB"/>
    <w:rsid w:val="00DC66BB"/>
    <w:rsid w:val="00DD1313"/>
    <w:rsid w:val="00DD6ED0"/>
    <w:rsid w:val="00DD74BA"/>
    <w:rsid w:val="00DE1A42"/>
    <w:rsid w:val="00DE213C"/>
    <w:rsid w:val="00DE2BE9"/>
    <w:rsid w:val="00DE3150"/>
    <w:rsid w:val="00DE5D6D"/>
    <w:rsid w:val="00DE675C"/>
    <w:rsid w:val="00DE6E2E"/>
    <w:rsid w:val="00DE7EC4"/>
    <w:rsid w:val="00DF0241"/>
    <w:rsid w:val="00DF27E6"/>
    <w:rsid w:val="00DF44DB"/>
    <w:rsid w:val="00DF66E7"/>
    <w:rsid w:val="00E05A10"/>
    <w:rsid w:val="00E06F1F"/>
    <w:rsid w:val="00E100C7"/>
    <w:rsid w:val="00E2109F"/>
    <w:rsid w:val="00E21163"/>
    <w:rsid w:val="00E25CA1"/>
    <w:rsid w:val="00E26388"/>
    <w:rsid w:val="00E317B5"/>
    <w:rsid w:val="00E32208"/>
    <w:rsid w:val="00E335E0"/>
    <w:rsid w:val="00E33715"/>
    <w:rsid w:val="00E3412D"/>
    <w:rsid w:val="00E34325"/>
    <w:rsid w:val="00E3669F"/>
    <w:rsid w:val="00E40530"/>
    <w:rsid w:val="00E423EF"/>
    <w:rsid w:val="00E437B0"/>
    <w:rsid w:val="00E459B3"/>
    <w:rsid w:val="00E53F8C"/>
    <w:rsid w:val="00E6099C"/>
    <w:rsid w:val="00E60DF6"/>
    <w:rsid w:val="00E62F7D"/>
    <w:rsid w:val="00E667C0"/>
    <w:rsid w:val="00E73F33"/>
    <w:rsid w:val="00E76D56"/>
    <w:rsid w:val="00E76E19"/>
    <w:rsid w:val="00E8034A"/>
    <w:rsid w:val="00E8162B"/>
    <w:rsid w:val="00E82F9B"/>
    <w:rsid w:val="00E86095"/>
    <w:rsid w:val="00E86421"/>
    <w:rsid w:val="00E92F29"/>
    <w:rsid w:val="00E96244"/>
    <w:rsid w:val="00EA3958"/>
    <w:rsid w:val="00EA74DD"/>
    <w:rsid w:val="00EB2BF2"/>
    <w:rsid w:val="00EC0735"/>
    <w:rsid w:val="00EC1DC2"/>
    <w:rsid w:val="00EC51C6"/>
    <w:rsid w:val="00ED6D28"/>
    <w:rsid w:val="00EE0443"/>
    <w:rsid w:val="00EE1CD8"/>
    <w:rsid w:val="00EE5A58"/>
    <w:rsid w:val="00EE5CC4"/>
    <w:rsid w:val="00EE6F8C"/>
    <w:rsid w:val="00EF251E"/>
    <w:rsid w:val="00EF4E43"/>
    <w:rsid w:val="00EF6C79"/>
    <w:rsid w:val="00F05C2A"/>
    <w:rsid w:val="00F06B0B"/>
    <w:rsid w:val="00F06B64"/>
    <w:rsid w:val="00F11747"/>
    <w:rsid w:val="00F1428F"/>
    <w:rsid w:val="00F16503"/>
    <w:rsid w:val="00F27147"/>
    <w:rsid w:val="00F30ED5"/>
    <w:rsid w:val="00F372DA"/>
    <w:rsid w:val="00F37A77"/>
    <w:rsid w:val="00F37B7F"/>
    <w:rsid w:val="00F40869"/>
    <w:rsid w:val="00F424E7"/>
    <w:rsid w:val="00F4573D"/>
    <w:rsid w:val="00F46CA6"/>
    <w:rsid w:val="00F47C08"/>
    <w:rsid w:val="00F538E0"/>
    <w:rsid w:val="00F545CE"/>
    <w:rsid w:val="00F560B9"/>
    <w:rsid w:val="00F6166F"/>
    <w:rsid w:val="00F636A1"/>
    <w:rsid w:val="00F64307"/>
    <w:rsid w:val="00F656D5"/>
    <w:rsid w:val="00F743C4"/>
    <w:rsid w:val="00F75393"/>
    <w:rsid w:val="00F776D5"/>
    <w:rsid w:val="00F80B80"/>
    <w:rsid w:val="00F81983"/>
    <w:rsid w:val="00F81A52"/>
    <w:rsid w:val="00F86494"/>
    <w:rsid w:val="00F907D6"/>
    <w:rsid w:val="00F92445"/>
    <w:rsid w:val="00F9268B"/>
    <w:rsid w:val="00F928F1"/>
    <w:rsid w:val="00F96238"/>
    <w:rsid w:val="00FA2AE1"/>
    <w:rsid w:val="00FA2ECD"/>
    <w:rsid w:val="00FA6FE0"/>
    <w:rsid w:val="00FA7B0E"/>
    <w:rsid w:val="00FB1931"/>
    <w:rsid w:val="00FB58E4"/>
    <w:rsid w:val="00FC2336"/>
    <w:rsid w:val="00FC352A"/>
    <w:rsid w:val="00FC7937"/>
    <w:rsid w:val="00FD14F7"/>
    <w:rsid w:val="00FD32D3"/>
    <w:rsid w:val="00FE24A1"/>
    <w:rsid w:val="00FE3B0E"/>
    <w:rsid w:val="00FE7279"/>
    <w:rsid w:val="00FE7794"/>
    <w:rsid w:val="00FE7FB4"/>
    <w:rsid w:val="00FF0AFB"/>
    <w:rsid w:val="00FF15B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9479"/>
  <w15:docId w15:val="{63FD40E7-3599-451E-814D-1B894349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6B535D"/>
    <w:pPr>
      <w:keepNext/>
      <w:keepLines/>
      <w:spacing w:before="120" w:after="120"/>
      <w:contextualSpacing/>
      <w:jc w:val="both"/>
      <w:outlineLvl w:val="0"/>
    </w:pPr>
  </w:style>
  <w:style w:type="paragraph" w:styleId="Heading2">
    <w:name w:val="heading 2"/>
    <w:basedOn w:val="Normal"/>
    <w:next w:val="Normal"/>
    <w:link w:val="Heading2Char"/>
    <w:autoRedefine/>
    <w:uiPriority w:val="9"/>
    <w:unhideWhenUsed/>
    <w:qFormat/>
    <w:rsid w:val="00767E0E"/>
    <w:pPr>
      <w:keepNext/>
      <w:keepLines/>
      <w:shd w:val="clear" w:color="auto" w:fill="FFFFFF"/>
      <w:contextualSpacing/>
      <w:jc w:val="both"/>
      <w:outlineLvl w:val="1"/>
    </w:pPr>
    <w:rPr>
      <w:rFonts w:cstheme="majorBidi"/>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B535D"/>
  </w:style>
  <w:style w:type="character" w:customStyle="1" w:styleId="Heading2Char">
    <w:name w:val="Heading 2 Char"/>
    <w:basedOn w:val="DefaultParagraphFont"/>
    <w:link w:val="Heading2"/>
    <w:uiPriority w:val="9"/>
    <w:rsid w:val="00767E0E"/>
    <w:rPr>
      <w:rFonts w:cstheme="majorBidi"/>
      <w:sz w:val="26"/>
      <w:szCs w:val="26"/>
      <w:shd w:val="clear" w:color="auto" w:fill="FFFFFF"/>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rsid w:val="00DB6F53"/>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0D19E4"/>
    <w:pPr>
      <w:spacing w:after="160" w:line="240" w:lineRule="exact"/>
    </w:pPr>
    <w:rPr>
      <w:vertAlign w:val="superscript"/>
    </w:rPr>
  </w:style>
  <w:style w:type="table" w:styleId="TableGrid">
    <w:name w:val="Table Grid"/>
    <w:basedOn w:val="TableNormal"/>
    <w:uiPriority w:val="39"/>
    <w:rsid w:val="00B7578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1127">
      <w:bodyDiv w:val="1"/>
      <w:marLeft w:val="0"/>
      <w:marRight w:val="0"/>
      <w:marTop w:val="0"/>
      <w:marBottom w:val="0"/>
      <w:divBdr>
        <w:top w:val="none" w:sz="0" w:space="0" w:color="auto"/>
        <w:left w:val="none" w:sz="0" w:space="0" w:color="auto"/>
        <w:bottom w:val="none" w:sz="0" w:space="0" w:color="auto"/>
        <w:right w:val="none" w:sz="0" w:space="0" w:color="auto"/>
      </w:divBdr>
    </w:div>
    <w:div w:id="149755059">
      <w:bodyDiv w:val="1"/>
      <w:marLeft w:val="0"/>
      <w:marRight w:val="0"/>
      <w:marTop w:val="0"/>
      <w:marBottom w:val="0"/>
      <w:divBdr>
        <w:top w:val="none" w:sz="0" w:space="0" w:color="auto"/>
        <w:left w:val="none" w:sz="0" w:space="0" w:color="auto"/>
        <w:bottom w:val="none" w:sz="0" w:space="0" w:color="auto"/>
        <w:right w:val="none" w:sz="0" w:space="0" w:color="auto"/>
      </w:divBdr>
    </w:div>
    <w:div w:id="313219005">
      <w:bodyDiv w:val="1"/>
      <w:marLeft w:val="0"/>
      <w:marRight w:val="0"/>
      <w:marTop w:val="0"/>
      <w:marBottom w:val="0"/>
      <w:divBdr>
        <w:top w:val="none" w:sz="0" w:space="0" w:color="auto"/>
        <w:left w:val="none" w:sz="0" w:space="0" w:color="auto"/>
        <w:bottom w:val="none" w:sz="0" w:space="0" w:color="auto"/>
        <w:right w:val="none" w:sz="0" w:space="0" w:color="auto"/>
      </w:divBdr>
    </w:div>
    <w:div w:id="320742560">
      <w:bodyDiv w:val="1"/>
      <w:marLeft w:val="0"/>
      <w:marRight w:val="0"/>
      <w:marTop w:val="0"/>
      <w:marBottom w:val="0"/>
      <w:divBdr>
        <w:top w:val="none" w:sz="0" w:space="0" w:color="auto"/>
        <w:left w:val="none" w:sz="0" w:space="0" w:color="auto"/>
        <w:bottom w:val="none" w:sz="0" w:space="0" w:color="auto"/>
        <w:right w:val="none" w:sz="0" w:space="0" w:color="auto"/>
      </w:divBdr>
    </w:div>
    <w:div w:id="329451669">
      <w:bodyDiv w:val="1"/>
      <w:marLeft w:val="0"/>
      <w:marRight w:val="0"/>
      <w:marTop w:val="0"/>
      <w:marBottom w:val="0"/>
      <w:divBdr>
        <w:top w:val="none" w:sz="0" w:space="0" w:color="auto"/>
        <w:left w:val="none" w:sz="0" w:space="0" w:color="auto"/>
        <w:bottom w:val="none" w:sz="0" w:space="0" w:color="auto"/>
        <w:right w:val="none" w:sz="0" w:space="0" w:color="auto"/>
      </w:divBdr>
    </w:div>
    <w:div w:id="396051846">
      <w:bodyDiv w:val="1"/>
      <w:marLeft w:val="0"/>
      <w:marRight w:val="0"/>
      <w:marTop w:val="0"/>
      <w:marBottom w:val="0"/>
      <w:divBdr>
        <w:top w:val="none" w:sz="0" w:space="0" w:color="auto"/>
        <w:left w:val="none" w:sz="0" w:space="0" w:color="auto"/>
        <w:bottom w:val="none" w:sz="0" w:space="0" w:color="auto"/>
        <w:right w:val="none" w:sz="0" w:space="0" w:color="auto"/>
      </w:divBdr>
    </w:div>
    <w:div w:id="551502674">
      <w:bodyDiv w:val="1"/>
      <w:marLeft w:val="0"/>
      <w:marRight w:val="0"/>
      <w:marTop w:val="0"/>
      <w:marBottom w:val="0"/>
      <w:divBdr>
        <w:top w:val="none" w:sz="0" w:space="0" w:color="auto"/>
        <w:left w:val="none" w:sz="0" w:space="0" w:color="auto"/>
        <w:bottom w:val="none" w:sz="0" w:space="0" w:color="auto"/>
        <w:right w:val="none" w:sz="0" w:space="0" w:color="auto"/>
      </w:divBdr>
    </w:div>
    <w:div w:id="668099242">
      <w:bodyDiv w:val="1"/>
      <w:marLeft w:val="0"/>
      <w:marRight w:val="0"/>
      <w:marTop w:val="0"/>
      <w:marBottom w:val="0"/>
      <w:divBdr>
        <w:top w:val="none" w:sz="0" w:space="0" w:color="auto"/>
        <w:left w:val="none" w:sz="0" w:space="0" w:color="auto"/>
        <w:bottom w:val="none" w:sz="0" w:space="0" w:color="auto"/>
        <w:right w:val="none" w:sz="0" w:space="0" w:color="auto"/>
      </w:divBdr>
    </w:div>
    <w:div w:id="681276498">
      <w:bodyDiv w:val="1"/>
      <w:marLeft w:val="0"/>
      <w:marRight w:val="0"/>
      <w:marTop w:val="0"/>
      <w:marBottom w:val="0"/>
      <w:divBdr>
        <w:top w:val="none" w:sz="0" w:space="0" w:color="auto"/>
        <w:left w:val="none" w:sz="0" w:space="0" w:color="auto"/>
        <w:bottom w:val="none" w:sz="0" w:space="0" w:color="auto"/>
        <w:right w:val="none" w:sz="0" w:space="0" w:color="auto"/>
      </w:divBdr>
    </w:div>
    <w:div w:id="944844013">
      <w:bodyDiv w:val="1"/>
      <w:marLeft w:val="0"/>
      <w:marRight w:val="0"/>
      <w:marTop w:val="0"/>
      <w:marBottom w:val="0"/>
      <w:divBdr>
        <w:top w:val="none" w:sz="0" w:space="0" w:color="auto"/>
        <w:left w:val="none" w:sz="0" w:space="0" w:color="auto"/>
        <w:bottom w:val="none" w:sz="0" w:space="0" w:color="auto"/>
        <w:right w:val="none" w:sz="0" w:space="0" w:color="auto"/>
      </w:divBdr>
    </w:div>
    <w:div w:id="1162547986">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264801184">
      <w:bodyDiv w:val="1"/>
      <w:marLeft w:val="0"/>
      <w:marRight w:val="0"/>
      <w:marTop w:val="0"/>
      <w:marBottom w:val="0"/>
      <w:divBdr>
        <w:top w:val="none" w:sz="0" w:space="0" w:color="auto"/>
        <w:left w:val="none" w:sz="0" w:space="0" w:color="auto"/>
        <w:bottom w:val="none" w:sz="0" w:space="0" w:color="auto"/>
        <w:right w:val="none" w:sz="0" w:space="0" w:color="auto"/>
      </w:divBdr>
    </w:div>
    <w:div w:id="1307395268">
      <w:bodyDiv w:val="1"/>
      <w:marLeft w:val="0"/>
      <w:marRight w:val="0"/>
      <w:marTop w:val="0"/>
      <w:marBottom w:val="0"/>
      <w:divBdr>
        <w:top w:val="none" w:sz="0" w:space="0" w:color="auto"/>
        <w:left w:val="none" w:sz="0" w:space="0" w:color="auto"/>
        <w:bottom w:val="none" w:sz="0" w:space="0" w:color="auto"/>
        <w:right w:val="none" w:sz="0" w:space="0" w:color="auto"/>
      </w:divBdr>
    </w:div>
    <w:div w:id="1351373179">
      <w:bodyDiv w:val="1"/>
      <w:marLeft w:val="0"/>
      <w:marRight w:val="0"/>
      <w:marTop w:val="0"/>
      <w:marBottom w:val="0"/>
      <w:divBdr>
        <w:top w:val="none" w:sz="0" w:space="0" w:color="auto"/>
        <w:left w:val="none" w:sz="0" w:space="0" w:color="auto"/>
        <w:bottom w:val="none" w:sz="0" w:space="0" w:color="auto"/>
        <w:right w:val="none" w:sz="0" w:space="0" w:color="auto"/>
      </w:divBdr>
    </w:div>
    <w:div w:id="1479033662">
      <w:bodyDiv w:val="1"/>
      <w:marLeft w:val="0"/>
      <w:marRight w:val="0"/>
      <w:marTop w:val="0"/>
      <w:marBottom w:val="0"/>
      <w:divBdr>
        <w:top w:val="none" w:sz="0" w:space="0" w:color="auto"/>
        <w:left w:val="none" w:sz="0" w:space="0" w:color="auto"/>
        <w:bottom w:val="none" w:sz="0" w:space="0" w:color="auto"/>
        <w:right w:val="none" w:sz="0" w:space="0" w:color="auto"/>
      </w:divBdr>
    </w:div>
    <w:div w:id="1529178410">
      <w:bodyDiv w:val="1"/>
      <w:marLeft w:val="0"/>
      <w:marRight w:val="0"/>
      <w:marTop w:val="0"/>
      <w:marBottom w:val="0"/>
      <w:divBdr>
        <w:top w:val="none" w:sz="0" w:space="0" w:color="auto"/>
        <w:left w:val="none" w:sz="0" w:space="0" w:color="auto"/>
        <w:bottom w:val="none" w:sz="0" w:space="0" w:color="auto"/>
        <w:right w:val="none" w:sz="0" w:space="0" w:color="auto"/>
      </w:divBdr>
    </w:div>
    <w:div w:id="1618639952">
      <w:bodyDiv w:val="1"/>
      <w:marLeft w:val="0"/>
      <w:marRight w:val="0"/>
      <w:marTop w:val="0"/>
      <w:marBottom w:val="0"/>
      <w:divBdr>
        <w:top w:val="none" w:sz="0" w:space="0" w:color="auto"/>
        <w:left w:val="none" w:sz="0" w:space="0" w:color="auto"/>
        <w:bottom w:val="none" w:sz="0" w:space="0" w:color="auto"/>
        <w:right w:val="none" w:sz="0" w:space="0" w:color="auto"/>
      </w:divBdr>
    </w:div>
    <w:div w:id="1661275464">
      <w:bodyDiv w:val="1"/>
      <w:marLeft w:val="0"/>
      <w:marRight w:val="0"/>
      <w:marTop w:val="0"/>
      <w:marBottom w:val="0"/>
      <w:divBdr>
        <w:top w:val="none" w:sz="0" w:space="0" w:color="auto"/>
        <w:left w:val="none" w:sz="0" w:space="0" w:color="auto"/>
        <w:bottom w:val="none" w:sz="0" w:space="0" w:color="auto"/>
        <w:right w:val="none" w:sz="0" w:space="0" w:color="auto"/>
      </w:divBdr>
    </w:div>
    <w:div w:id="1678268819">
      <w:bodyDiv w:val="1"/>
      <w:marLeft w:val="0"/>
      <w:marRight w:val="0"/>
      <w:marTop w:val="0"/>
      <w:marBottom w:val="0"/>
      <w:divBdr>
        <w:top w:val="none" w:sz="0" w:space="0" w:color="auto"/>
        <w:left w:val="none" w:sz="0" w:space="0" w:color="auto"/>
        <w:bottom w:val="none" w:sz="0" w:space="0" w:color="auto"/>
        <w:right w:val="none" w:sz="0" w:space="0" w:color="auto"/>
      </w:divBdr>
    </w:div>
    <w:div w:id="1870992277">
      <w:bodyDiv w:val="1"/>
      <w:marLeft w:val="0"/>
      <w:marRight w:val="0"/>
      <w:marTop w:val="0"/>
      <w:marBottom w:val="0"/>
      <w:divBdr>
        <w:top w:val="none" w:sz="0" w:space="0" w:color="auto"/>
        <w:left w:val="none" w:sz="0" w:space="0" w:color="auto"/>
        <w:bottom w:val="none" w:sz="0" w:space="0" w:color="auto"/>
        <w:right w:val="none" w:sz="0" w:space="0" w:color="auto"/>
      </w:divBdr>
    </w:div>
    <w:div w:id="1892304975">
      <w:bodyDiv w:val="1"/>
      <w:marLeft w:val="0"/>
      <w:marRight w:val="0"/>
      <w:marTop w:val="0"/>
      <w:marBottom w:val="0"/>
      <w:divBdr>
        <w:top w:val="none" w:sz="0" w:space="0" w:color="auto"/>
        <w:left w:val="none" w:sz="0" w:space="0" w:color="auto"/>
        <w:bottom w:val="none" w:sz="0" w:space="0" w:color="auto"/>
        <w:right w:val="none" w:sz="0" w:space="0" w:color="auto"/>
      </w:divBdr>
    </w:div>
    <w:div w:id="1920211154">
      <w:bodyDiv w:val="1"/>
      <w:marLeft w:val="0"/>
      <w:marRight w:val="0"/>
      <w:marTop w:val="0"/>
      <w:marBottom w:val="0"/>
      <w:divBdr>
        <w:top w:val="none" w:sz="0" w:space="0" w:color="auto"/>
        <w:left w:val="none" w:sz="0" w:space="0" w:color="auto"/>
        <w:bottom w:val="none" w:sz="0" w:space="0" w:color="auto"/>
        <w:right w:val="none" w:sz="0" w:space="0" w:color="auto"/>
      </w:divBdr>
    </w:div>
    <w:div w:id="210005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3.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F455244-6171-45E5-8733-8FE625F8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2025-06-12T01:14:00Z</cp:lastPrinted>
  <dcterms:created xsi:type="dcterms:W3CDTF">2025-06-26T04:19:00Z</dcterms:created>
  <dcterms:modified xsi:type="dcterms:W3CDTF">2025-06-26T04:19:00Z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