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608" w:type="dxa"/>
        <w:tblLook w:val="01E0" w:firstRow="1" w:lastRow="1" w:firstColumn="1" w:lastColumn="1" w:noHBand="0" w:noVBand="0"/>
      </w:tblPr>
      <w:tblGrid>
        <w:gridCol w:w="3348"/>
        <w:gridCol w:w="10260"/>
      </w:tblGrid>
      <w:tr w:rsidR="000A7B6A" w:rsidRPr="00EB0B6D" w14:paraId="75F2EEA2" w14:textId="77777777" w:rsidTr="00E52C18">
        <w:tc>
          <w:tcPr>
            <w:tcW w:w="3348" w:type="dxa"/>
          </w:tcPr>
          <w:bookmarkStart w:id="0" w:name="_GoBack"/>
          <w:bookmarkEnd w:id="0"/>
          <w:p w14:paraId="3F113D27" w14:textId="77777777" w:rsidR="000A7B6A" w:rsidRPr="00EB0B6D" w:rsidRDefault="000A7B6A" w:rsidP="00313FEA">
            <w:pPr>
              <w:spacing w:before="60" w:after="60"/>
              <w:jc w:val="center"/>
              <w:rPr>
                <w:rFonts w:eastAsia="Times New Roman" w:cs="Times New Roman"/>
                <w:b/>
                <w:sz w:val="24"/>
                <w:szCs w:val="24"/>
              </w:rPr>
            </w:pPr>
            <w:r w:rsidRPr="00EB0B6D">
              <w:rPr>
                <w:rFonts w:eastAsia="Times New Roman" w:cs="Times New Roman"/>
                <w:b/>
                <w:noProof/>
                <w:sz w:val="24"/>
                <w:szCs w:val="24"/>
              </w:rPr>
              <mc:AlternateContent>
                <mc:Choice Requires="wps">
                  <w:drawing>
                    <wp:anchor distT="0" distB="0" distL="114300" distR="114300" simplePos="0" relativeHeight="251659264" behindDoc="0" locked="0" layoutInCell="1" allowOverlap="1" wp14:anchorId="545602E6" wp14:editId="7A576649">
                      <wp:simplePos x="0" y="0"/>
                      <wp:positionH relativeFrom="column">
                        <wp:posOffset>629285</wp:posOffset>
                      </wp:positionH>
                      <wp:positionV relativeFrom="paragraph">
                        <wp:posOffset>434975</wp:posOffset>
                      </wp:positionV>
                      <wp:extent cx="718185" cy="0"/>
                      <wp:effectExtent l="0" t="0" r="2476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163232" id="_x0000_t32" coordsize="21600,21600" o:spt="32" o:oned="t" path="m,l21600,21600e" filled="f">
                      <v:path arrowok="t" fillok="f" o:connecttype="none"/>
                      <o:lock v:ext="edit" shapetype="t"/>
                    </v:shapetype>
                    <v:shape id="Straight Arrow Connector 4" o:spid="_x0000_s1026" type="#_x0000_t32" style="position:absolute;margin-left:49.55pt;margin-top:34.25pt;width:5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W3JAIAAEk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"/>
                  </w:pict>
                </mc:Fallback>
              </mc:AlternateContent>
            </w:r>
            <w:r w:rsidRPr="00EB0B6D">
              <w:rPr>
                <w:rFonts w:eastAsia="Times New Roman" w:cs="Times New Roman"/>
                <w:b/>
                <w:sz w:val="24"/>
                <w:szCs w:val="24"/>
              </w:rPr>
              <w:t xml:space="preserve"> NGÂN HÀNG NHÀ NƯỚC</w:t>
            </w:r>
            <w:r w:rsidRPr="00EB0B6D">
              <w:rPr>
                <w:rFonts w:eastAsia="Times New Roman" w:cs="Times New Roman"/>
                <w:b/>
                <w:sz w:val="24"/>
                <w:szCs w:val="24"/>
              </w:rPr>
              <w:br/>
              <w:t>VIỆT NAM</w:t>
            </w:r>
            <w:r w:rsidRPr="00EB0B6D">
              <w:rPr>
                <w:rFonts w:eastAsia="Times New Roman" w:cs="Times New Roman"/>
                <w:b/>
                <w:sz w:val="24"/>
                <w:szCs w:val="24"/>
              </w:rPr>
              <w:br/>
            </w:r>
          </w:p>
        </w:tc>
        <w:tc>
          <w:tcPr>
            <w:tcW w:w="10260" w:type="dxa"/>
          </w:tcPr>
          <w:p w14:paraId="1363C7C1" w14:textId="77777777" w:rsidR="000A7B6A" w:rsidRPr="00EB0B6D" w:rsidRDefault="000A7B6A" w:rsidP="00313FEA">
            <w:pPr>
              <w:spacing w:before="60" w:after="60"/>
              <w:ind w:right="34"/>
              <w:jc w:val="center"/>
              <w:rPr>
                <w:rFonts w:eastAsia="Times New Roman" w:cs="Times New Roman"/>
                <w:sz w:val="24"/>
                <w:szCs w:val="24"/>
              </w:rPr>
            </w:pPr>
            <w:r w:rsidRPr="00EB0B6D">
              <w:rPr>
                <w:rFonts w:eastAsia="Times New Roman" w:cs="Times New Roman"/>
                <w:b/>
                <w:noProof/>
                <w:sz w:val="24"/>
                <w:szCs w:val="24"/>
              </w:rPr>
              <mc:AlternateContent>
                <mc:Choice Requires="wps">
                  <w:drawing>
                    <wp:anchor distT="0" distB="0" distL="114300" distR="114300" simplePos="0" relativeHeight="251660288" behindDoc="0" locked="0" layoutInCell="1" allowOverlap="1" wp14:anchorId="39FA2955" wp14:editId="4D107EA4">
                      <wp:simplePos x="0" y="0"/>
                      <wp:positionH relativeFrom="column">
                        <wp:posOffset>3679825</wp:posOffset>
                      </wp:positionH>
                      <wp:positionV relativeFrom="paragraph">
                        <wp:posOffset>464185</wp:posOffset>
                      </wp:positionV>
                      <wp:extent cx="2137410" cy="0"/>
                      <wp:effectExtent l="0" t="0" r="342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DAA05" id="Straight Arrow Connector 3" o:spid="_x0000_s1026" type="#_x0000_t32" style="position:absolute;margin-left:289.75pt;margin-top:36.55pt;width:168.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"/>
                  </w:pict>
                </mc:Fallback>
              </mc:AlternateContent>
            </w:r>
            <w:r w:rsidRPr="00EB0B6D">
              <w:rPr>
                <w:rFonts w:eastAsia="Times New Roman" w:cs="Times New Roman"/>
                <w:b/>
                <w:sz w:val="24"/>
                <w:szCs w:val="24"/>
              </w:rPr>
              <w:t xml:space="preserve">                                                                                  CỘNG HÒA XÃ HỘI CHỦ NGHĨA VIỆT NAM</w:t>
            </w:r>
            <w:r w:rsidRPr="00EB0B6D">
              <w:rPr>
                <w:rFonts w:eastAsia="Times New Roman" w:cs="Times New Roman"/>
                <w:b/>
                <w:sz w:val="24"/>
                <w:szCs w:val="24"/>
              </w:rPr>
              <w:br/>
              <w:t xml:space="preserve">                                                                                    </w:t>
            </w:r>
            <w:r w:rsidRPr="00EB0B6D">
              <w:rPr>
                <w:rFonts w:eastAsia="Times New Roman" w:cs="Times New Roman"/>
                <w:b/>
                <w:sz w:val="26"/>
                <w:szCs w:val="26"/>
              </w:rPr>
              <w:t>Độc lập - Tự do - Hạnh phúc</w:t>
            </w:r>
            <w:r w:rsidRPr="00EB0B6D">
              <w:rPr>
                <w:rFonts w:eastAsia="Times New Roman" w:cs="Times New Roman"/>
                <w:b/>
                <w:szCs w:val="28"/>
              </w:rPr>
              <w:t xml:space="preserve"> </w:t>
            </w:r>
            <w:r w:rsidRPr="00EB0B6D">
              <w:rPr>
                <w:rFonts w:eastAsia="Times New Roman" w:cs="Times New Roman"/>
                <w:b/>
                <w:szCs w:val="28"/>
              </w:rPr>
              <w:br/>
            </w:r>
          </w:p>
        </w:tc>
      </w:tr>
      <w:tr w:rsidR="000A7B6A" w:rsidRPr="00EB0B6D" w14:paraId="0BBFB381" w14:textId="77777777" w:rsidTr="00E52C18">
        <w:tc>
          <w:tcPr>
            <w:tcW w:w="3348" w:type="dxa"/>
          </w:tcPr>
          <w:p w14:paraId="03B9AD8C" w14:textId="77777777" w:rsidR="000A7B6A" w:rsidRPr="00EB0B6D" w:rsidRDefault="000A7B6A" w:rsidP="00E52C18">
            <w:pPr>
              <w:spacing w:before="120"/>
              <w:jc w:val="center"/>
              <w:rPr>
                <w:rFonts w:eastAsia="Times New Roman" w:cs="Times New Roman"/>
                <w:szCs w:val="28"/>
              </w:rPr>
            </w:pPr>
            <w:r w:rsidRPr="00EB0B6D">
              <w:rPr>
                <w:rFonts w:eastAsia="Times New Roman" w:cs="Times New Roman"/>
                <w:szCs w:val="28"/>
              </w:rPr>
              <w:t xml:space="preserve">   </w:t>
            </w:r>
          </w:p>
        </w:tc>
        <w:tc>
          <w:tcPr>
            <w:tcW w:w="10260" w:type="dxa"/>
          </w:tcPr>
          <w:p w14:paraId="05438E88" w14:textId="2A2DC20B" w:rsidR="000A7B6A" w:rsidRPr="00EB0B6D" w:rsidRDefault="000A7B6A" w:rsidP="004A49D6">
            <w:pPr>
              <w:spacing w:before="60" w:after="60"/>
              <w:rPr>
                <w:rFonts w:eastAsia="Times New Roman" w:cs="Times New Roman"/>
                <w:i/>
                <w:szCs w:val="28"/>
              </w:rPr>
            </w:pPr>
            <w:r w:rsidRPr="00EB0B6D">
              <w:rPr>
                <w:rFonts w:eastAsia="Times New Roman" w:cs="Times New Roman"/>
                <w:i/>
                <w:szCs w:val="28"/>
              </w:rPr>
              <w:t xml:space="preserve">                                                                               Hà Nội, ngày … tháng </w:t>
            </w:r>
            <w:r w:rsidR="00E42D4D" w:rsidRPr="00EB0B6D">
              <w:rPr>
                <w:rFonts w:eastAsia="Times New Roman" w:cs="Times New Roman"/>
                <w:i/>
                <w:szCs w:val="28"/>
              </w:rPr>
              <w:t>1</w:t>
            </w:r>
            <w:r w:rsidR="004A49D6">
              <w:rPr>
                <w:rFonts w:eastAsia="Times New Roman" w:cs="Times New Roman"/>
                <w:i/>
                <w:szCs w:val="28"/>
              </w:rPr>
              <w:t xml:space="preserve">1 </w:t>
            </w:r>
            <w:r w:rsidRPr="00EB0B6D">
              <w:rPr>
                <w:rFonts w:eastAsia="Times New Roman" w:cs="Times New Roman"/>
                <w:i/>
                <w:szCs w:val="28"/>
              </w:rPr>
              <w:t>năm 2025</w:t>
            </w:r>
          </w:p>
        </w:tc>
      </w:tr>
    </w:tbl>
    <w:p w14:paraId="26FFD168" w14:textId="77777777" w:rsidR="000A7B6A" w:rsidRPr="00EB0B6D" w:rsidRDefault="000A7B6A" w:rsidP="001B12AD">
      <w:pPr>
        <w:spacing w:after="0" w:line="240" w:lineRule="auto"/>
        <w:jc w:val="center"/>
        <w:rPr>
          <w:rFonts w:cs="Times New Roman"/>
          <w:b/>
          <w:bCs/>
          <w:sz w:val="26"/>
          <w:szCs w:val="26"/>
        </w:rPr>
      </w:pPr>
    </w:p>
    <w:p w14:paraId="5E933825" w14:textId="33452A1E" w:rsidR="002C0004" w:rsidRPr="00EB0B6D" w:rsidRDefault="00DF4913" w:rsidP="004A49D6">
      <w:pPr>
        <w:spacing w:after="0" w:line="240" w:lineRule="auto"/>
        <w:jc w:val="center"/>
        <w:rPr>
          <w:rFonts w:cs="Times New Roman"/>
          <w:b/>
          <w:bCs/>
          <w:sz w:val="26"/>
          <w:szCs w:val="26"/>
        </w:rPr>
      </w:pPr>
      <w:r w:rsidRPr="00EB0B6D">
        <w:rPr>
          <w:rFonts w:cs="Times New Roman"/>
          <w:b/>
          <w:bCs/>
          <w:sz w:val="26"/>
          <w:szCs w:val="26"/>
        </w:rPr>
        <w:t>BẢ</w:t>
      </w:r>
      <w:r w:rsidR="002F57EB" w:rsidRPr="00EB0B6D">
        <w:rPr>
          <w:rFonts w:cs="Times New Roman"/>
          <w:b/>
          <w:bCs/>
          <w:sz w:val="26"/>
          <w:szCs w:val="26"/>
        </w:rPr>
        <w:t xml:space="preserve">N SO SÁNH, </w:t>
      </w:r>
      <w:r w:rsidRPr="00EB0B6D">
        <w:rPr>
          <w:rFonts w:cs="Times New Roman"/>
          <w:b/>
          <w:bCs/>
          <w:sz w:val="26"/>
          <w:szCs w:val="26"/>
        </w:rPr>
        <w:t>THUYẾT MINH</w:t>
      </w:r>
      <w:r w:rsidR="00EA321A" w:rsidRPr="00EB0B6D">
        <w:rPr>
          <w:rFonts w:cs="Times New Roman"/>
          <w:b/>
          <w:bCs/>
          <w:sz w:val="26"/>
          <w:szCs w:val="26"/>
        </w:rPr>
        <w:t xml:space="preserve"> </w:t>
      </w:r>
    </w:p>
    <w:p w14:paraId="33B3937E" w14:textId="09BA168B" w:rsidR="008F0D43" w:rsidRDefault="00EA321A" w:rsidP="004A49D6">
      <w:pPr>
        <w:spacing w:after="0" w:line="240" w:lineRule="auto"/>
        <w:jc w:val="center"/>
        <w:rPr>
          <w:rFonts w:cs="Times New Roman"/>
          <w:b/>
          <w:sz w:val="26"/>
          <w:szCs w:val="26"/>
        </w:rPr>
      </w:pPr>
      <w:r w:rsidRPr="00EB0B6D">
        <w:rPr>
          <w:rFonts w:cs="Times New Roman"/>
          <w:b/>
          <w:bCs/>
          <w:sz w:val="26"/>
          <w:szCs w:val="26"/>
        </w:rPr>
        <w:t>DỰ THẢO THÔNG TƯ</w:t>
      </w:r>
      <w:r w:rsidR="002C0004" w:rsidRPr="00EB0B6D">
        <w:rPr>
          <w:rFonts w:cs="Times New Roman"/>
          <w:b/>
          <w:bCs/>
          <w:sz w:val="26"/>
          <w:szCs w:val="26"/>
        </w:rPr>
        <w:t xml:space="preserve"> </w:t>
      </w:r>
      <w:r w:rsidR="009469E4" w:rsidRPr="00EB0B6D">
        <w:rPr>
          <w:rFonts w:cs="Times New Roman"/>
          <w:b/>
          <w:bCs/>
          <w:sz w:val="26"/>
          <w:szCs w:val="26"/>
        </w:rPr>
        <w:t>SỬA ĐỔI, BỔ SUNG</w:t>
      </w:r>
      <w:r w:rsidR="00357690" w:rsidRPr="00EB0B6D">
        <w:rPr>
          <w:rFonts w:cs="Times New Roman"/>
          <w:b/>
          <w:bCs/>
          <w:sz w:val="26"/>
          <w:szCs w:val="26"/>
        </w:rPr>
        <w:t xml:space="preserve"> MỘT SỐ ĐIỀU CỦ</w:t>
      </w:r>
      <w:r w:rsidR="00806442" w:rsidRPr="00EB0B6D">
        <w:rPr>
          <w:rFonts w:cs="Times New Roman"/>
          <w:b/>
          <w:bCs/>
          <w:sz w:val="26"/>
          <w:szCs w:val="26"/>
        </w:rPr>
        <w:t>A</w:t>
      </w:r>
      <w:r w:rsidR="00357690" w:rsidRPr="00EB0B6D">
        <w:rPr>
          <w:rFonts w:cs="Times New Roman"/>
          <w:b/>
          <w:bCs/>
          <w:sz w:val="26"/>
          <w:szCs w:val="26"/>
        </w:rPr>
        <w:t xml:space="preserve"> </w:t>
      </w:r>
      <w:r w:rsidR="00786738" w:rsidRPr="00EB0B6D">
        <w:rPr>
          <w:rFonts w:cs="Times New Roman"/>
          <w:b/>
          <w:sz w:val="26"/>
          <w:szCs w:val="26"/>
        </w:rPr>
        <w:t xml:space="preserve">THÔNG TƯ SỐ </w:t>
      </w:r>
      <w:r w:rsidR="008F0D43" w:rsidRPr="00EB0B6D">
        <w:rPr>
          <w:rFonts w:cs="Times New Roman"/>
          <w:b/>
          <w:sz w:val="26"/>
          <w:szCs w:val="26"/>
        </w:rPr>
        <w:t xml:space="preserve">19/2025/TT-NHNN </w:t>
      </w:r>
      <w:r w:rsidR="004A49D6">
        <w:rPr>
          <w:rFonts w:cs="Times New Roman"/>
          <w:b/>
          <w:sz w:val="26"/>
          <w:szCs w:val="26"/>
        </w:rPr>
        <w:t xml:space="preserve">NGÀY 31/7/2025 </w:t>
      </w:r>
      <w:r w:rsidR="008F0D43" w:rsidRPr="00EB0B6D">
        <w:rPr>
          <w:rFonts w:cs="Times New Roman"/>
          <w:b/>
          <w:sz w:val="26"/>
          <w:szCs w:val="26"/>
        </w:rPr>
        <w:t>QUY ĐỊNH VỀ MẠNG LƯỚI HOẠT ĐỘNG CỦA TỔ CHỨC TÀI CHÍNH VI MÔ</w:t>
      </w:r>
    </w:p>
    <w:p w14:paraId="0F6751CE" w14:textId="77777777" w:rsidR="004A49D6" w:rsidRPr="00EB0B6D" w:rsidRDefault="004A49D6" w:rsidP="004A49D6">
      <w:pPr>
        <w:spacing w:after="0" w:line="240" w:lineRule="auto"/>
        <w:jc w:val="center"/>
        <w:rPr>
          <w:rFonts w:cs="Times New Roman"/>
          <w:b/>
          <w:sz w:val="26"/>
          <w:szCs w:val="26"/>
        </w:rPr>
      </w:pPr>
    </w:p>
    <w:tbl>
      <w:tblPr>
        <w:tblStyle w:val="TableGrid"/>
        <w:tblW w:w="16302" w:type="dxa"/>
        <w:tblInd w:w="-856" w:type="dxa"/>
        <w:tblLayout w:type="fixed"/>
        <w:tblLook w:val="04A0" w:firstRow="1" w:lastRow="0" w:firstColumn="1" w:lastColumn="0" w:noHBand="0" w:noVBand="1"/>
      </w:tblPr>
      <w:tblGrid>
        <w:gridCol w:w="709"/>
        <w:gridCol w:w="5812"/>
        <w:gridCol w:w="5812"/>
        <w:gridCol w:w="3969"/>
      </w:tblGrid>
      <w:tr w:rsidR="00A200AC" w:rsidRPr="00A200AC" w14:paraId="73F8285A" w14:textId="3424DCDF" w:rsidTr="004918D1">
        <w:trPr>
          <w:trHeight w:val="481"/>
          <w:tblHeader/>
        </w:trPr>
        <w:tc>
          <w:tcPr>
            <w:tcW w:w="709" w:type="dxa"/>
            <w:vAlign w:val="center"/>
          </w:tcPr>
          <w:p w14:paraId="16695AF0" w14:textId="4F59596C" w:rsidR="000515A3" w:rsidRPr="00A200AC" w:rsidRDefault="000515A3" w:rsidP="00A200AC">
            <w:pPr>
              <w:spacing w:after="120"/>
              <w:jc w:val="center"/>
              <w:rPr>
                <w:rFonts w:cs="Times New Roman"/>
                <w:b/>
                <w:bCs/>
                <w:sz w:val="24"/>
                <w:szCs w:val="24"/>
              </w:rPr>
            </w:pPr>
            <w:r w:rsidRPr="00A200AC">
              <w:rPr>
                <w:rFonts w:cs="Times New Roman"/>
                <w:b/>
                <w:bCs/>
                <w:sz w:val="24"/>
                <w:szCs w:val="24"/>
              </w:rPr>
              <w:t>TT</w:t>
            </w:r>
          </w:p>
        </w:tc>
        <w:tc>
          <w:tcPr>
            <w:tcW w:w="5812" w:type="dxa"/>
            <w:vAlign w:val="center"/>
          </w:tcPr>
          <w:p w14:paraId="3F102E71" w14:textId="51C6B2D9" w:rsidR="000515A3" w:rsidRPr="00A200AC" w:rsidRDefault="000515A3" w:rsidP="00A200AC">
            <w:pPr>
              <w:spacing w:after="120"/>
              <w:jc w:val="center"/>
              <w:rPr>
                <w:rFonts w:cs="Times New Roman"/>
                <w:b/>
                <w:bCs/>
                <w:sz w:val="24"/>
                <w:szCs w:val="24"/>
                <w:lang w:val="vi-VN"/>
              </w:rPr>
            </w:pPr>
            <w:r w:rsidRPr="00A200AC">
              <w:rPr>
                <w:rFonts w:cs="Times New Roman"/>
                <w:b/>
                <w:bCs/>
                <w:sz w:val="24"/>
                <w:szCs w:val="24"/>
              </w:rPr>
              <w:t>Nội dung quy định tại Thông tư</w:t>
            </w:r>
            <w:r w:rsidR="00551082" w:rsidRPr="00A200AC">
              <w:rPr>
                <w:rFonts w:cs="Times New Roman"/>
                <w:b/>
                <w:bCs/>
                <w:sz w:val="24"/>
                <w:szCs w:val="24"/>
              </w:rPr>
              <w:t xml:space="preserve"> số 19/2025/TT-NHNN ngày 31/7/2025 </w:t>
            </w:r>
          </w:p>
        </w:tc>
        <w:tc>
          <w:tcPr>
            <w:tcW w:w="5812" w:type="dxa"/>
            <w:vAlign w:val="center"/>
          </w:tcPr>
          <w:p w14:paraId="004DE373" w14:textId="6DE15F0C" w:rsidR="000515A3" w:rsidRPr="00A200AC" w:rsidRDefault="00551082" w:rsidP="00A200AC">
            <w:pPr>
              <w:spacing w:after="120"/>
              <w:jc w:val="center"/>
              <w:rPr>
                <w:rFonts w:cs="Times New Roman"/>
                <w:b/>
                <w:bCs/>
                <w:sz w:val="24"/>
                <w:szCs w:val="24"/>
                <w:lang w:val="vi-VN"/>
              </w:rPr>
            </w:pPr>
            <w:r w:rsidRPr="00A200AC">
              <w:rPr>
                <w:rFonts w:cs="Times New Roman"/>
                <w:b/>
                <w:bCs/>
                <w:sz w:val="24"/>
                <w:szCs w:val="24"/>
              </w:rPr>
              <w:t xml:space="preserve">Nội dung quy định tại </w:t>
            </w:r>
            <w:r w:rsidR="000515A3" w:rsidRPr="00A200AC">
              <w:rPr>
                <w:rFonts w:cs="Times New Roman"/>
                <w:b/>
                <w:bCs/>
                <w:sz w:val="24"/>
                <w:szCs w:val="24"/>
                <w:lang w:val="vi-VN"/>
              </w:rPr>
              <w:t>Dự thảo Thông tư sửa đổi, bổ sung</w:t>
            </w:r>
          </w:p>
        </w:tc>
        <w:tc>
          <w:tcPr>
            <w:tcW w:w="3969" w:type="dxa"/>
            <w:vAlign w:val="center"/>
          </w:tcPr>
          <w:p w14:paraId="053A1608" w14:textId="19DE7B14" w:rsidR="000515A3" w:rsidRPr="00A200AC" w:rsidRDefault="004D1DB6" w:rsidP="00A200AC">
            <w:pPr>
              <w:spacing w:after="120"/>
              <w:jc w:val="center"/>
              <w:rPr>
                <w:rFonts w:cs="Times New Roman"/>
                <w:b/>
                <w:bCs/>
                <w:sz w:val="24"/>
                <w:szCs w:val="24"/>
              </w:rPr>
            </w:pPr>
            <w:r w:rsidRPr="00A200AC">
              <w:rPr>
                <w:rFonts w:cs="Times New Roman"/>
                <w:b/>
                <w:bCs/>
                <w:sz w:val="24"/>
                <w:szCs w:val="24"/>
              </w:rPr>
              <w:t>Lý do sửa đổi, bổ sung</w:t>
            </w:r>
          </w:p>
        </w:tc>
      </w:tr>
      <w:tr w:rsidR="00A200AC" w:rsidRPr="00A200AC" w14:paraId="517A44EF" w14:textId="77777777" w:rsidTr="004918D1">
        <w:tc>
          <w:tcPr>
            <w:tcW w:w="709" w:type="dxa"/>
            <w:vAlign w:val="center"/>
          </w:tcPr>
          <w:p w14:paraId="1058A4E9" w14:textId="7749BC04" w:rsidR="001103AA" w:rsidRPr="00A200AC" w:rsidRDefault="00A200AC" w:rsidP="00A200AC">
            <w:pPr>
              <w:spacing w:after="120"/>
              <w:jc w:val="center"/>
              <w:rPr>
                <w:rFonts w:cs="Times New Roman"/>
                <w:sz w:val="24"/>
                <w:szCs w:val="24"/>
              </w:rPr>
            </w:pPr>
            <w:r>
              <w:rPr>
                <w:rFonts w:cs="Times New Roman"/>
                <w:sz w:val="24"/>
                <w:szCs w:val="24"/>
              </w:rPr>
              <w:t>1</w:t>
            </w:r>
          </w:p>
        </w:tc>
        <w:tc>
          <w:tcPr>
            <w:tcW w:w="5812" w:type="dxa"/>
          </w:tcPr>
          <w:p w14:paraId="25FEE64E" w14:textId="77777777" w:rsidR="001103AA" w:rsidRPr="00A200AC" w:rsidRDefault="00551082" w:rsidP="00A200AC">
            <w:pPr>
              <w:pStyle w:val="NormalWeb"/>
              <w:spacing w:before="0" w:beforeAutospacing="0" w:after="120" w:afterAutospacing="0"/>
              <w:jc w:val="both"/>
              <w:rPr>
                <w:b/>
                <w:bCs/>
              </w:rPr>
            </w:pPr>
            <w:bookmarkStart w:id="1" w:name="dieu_5"/>
            <w:r w:rsidRPr="00A200AC">
              <w:rPr>
                <w:b/>
                <w:bCs/>
              </w:rPr>
              <w:t>Điều 5. Quy định về điểm giao dịch</w:t>
            </w:r>
            <w:bookmarkEnd w:id="1"/>
          </w:p>
          <w:p w14:paraId="09737196" w14:textId="77777777" w:rsidR="00551082" w:rsidRPr="00A200AC" w:rsidRDefault="00551082" w:rsidP="00A200AC">
            <w:pPr>
              <w:pStyle w:val="NormalWeb"/>
              <w:spacing w:before="0" w:beforeAutospacing="0" w:after="120" w:afterAutospacing="0"/>
              <w:jc w:val="both"/>
            </w:pPr>
            <w:r w:rsidRPr="00A200AC">
              <w:t>2. Chi nhánh, phòng giao dịch của tổ chức tài chính vi mô chỉ được thực hiện một hoặc một số hoạt động sau tại điểm giao dịch:</w:t>
            </w:r>
          </w:p>
          <w:p w14:paraId="33BB406F" w14:textId="68B615BD" w:rsidR="00551082" w:rsidRPr="00A200AC" w:rsidRDefault="00551082" w:rsidP="00A200AC">
            <w:pPr>
              <w:pStyle w:val="NormalWeb"/>
              <w:spacing w:before="0" w:beforeAutospacing="0" w:after="120" w:afterAutospacing="0"/>
              <w:jc w:val="both"/>
            </w:pPr>
            <w:r w:rsidRPr="00A200AC">
              <w:t>d) Nhận tiền gửi tự nguyện trực tiếp bằng tiền mặt của một khách hàng tài chính vi mô không quá 1,5 triệu đồng trong 01 ngày;</w:t>
            </w:r>
          </w:p>
        </w:tc>
        <w:tc>
          <w:tcPr>
            <w:tcW w:w="5812" w:type="dxa"/>
          </w:tcPr>
          <w:p w14:paraId="7405DD29" w14:textId="77777777" w:rsidR="00551082" w:rsidRPr="00A200AC" w:rsidRDefault="00551082" w:rsidP="00A200AC">
            <w:pPr>
              <w:spacing w:after="120"/>
              <w:jc w:val="both"/>
              <w:rPr>
                <w:rFonts w:cs="Times New Roman"/>
                <w:b/>
                <w:sz w:val="24"/>
                <w:szCs w:val="24"/>
              </w:rPr>
            </w:pPr>
            <w:r w:rsidRPr="00A200AC">
              <w:rPr>
                <w:rFonts w:cs="Times New Roman"/>
                <w:b/>
                <w:sz w:val="24"/>
                <w:szCs w:val="24"/>
              </w:rPr>
              <w:t>Điều 1. Sửa đổi, bổ sung điểm d khoản 2 Điều 5</w:t>
            </w:r>
          </w:p>
          <w:p w14:paraId="31A3A83C" w14:textId="200257FF" w:rsidR="001103AA" w:rsidRPr="00A200AC" w:rsidRDefault="00551082" w:rsidP="00A200AC">
            <w:pPr>
              <w:spacing w:after="120"/>
              <w:jc w:val="both"/>
              <w:rPr>
                <w:rFonts w:cs="Times New Roman"/>
                <w:sz w:val="24"/>
                <w:szCs w:val="24"/>
              </w:rPr>
            </w:pPr>
            <w:r w:rsidRPr="00A200AC">
              <w:rPr>
                <w:rFonts w:cs="Times New Roman"/>
                <w:sz w:val="24"/>
                <w:szCs w:val="24"/>
              </w:rPr>
              <w:t xml:space="preserve">“d) </w:t>
            </w:r>
            <w:r w:rsidRPr="00A200AC">
              <w:rPr>
                <w:rFonts w:cs="Times New Roman"/>
                <w:sz w:val="24"/>
                <w:szCs w:val="24"/>
                <w:u w:val="single"/>
              </w:rPr>
              <w:t>Nhận tiết kiệm bắt buộc.</w:t>
            </w:r>
            <w:r w:rsidRPr="00A200AC">
              <w:rPr>
                <w:rFonts w:cs="Times New Roman"/>
                <w:sz w:val="24"/>
                <w:szCs w:val="24"/>
              </w:rPr>
              <w:t xml:space="preserve"> Nhận tiền gửi tự nguyện trực tiếp bằng tiền mặt của một khách hàng tài chính vi mô không quá 1,5 triệu đồng trong 01 ngày;”.</w:t>
            </w:r>
          </w:p>
        </w:tc>
        <w:tc>
          <w:tcPr>
            <w:tcW w:w="3969" w:type="dxa"/>
          </w:tcPr>
          <w:p w14:paraId="6E79CB54" w14:textId="64D0EE1B" w:rsidR="001103AA" w:rsidRPr="00A200AC" w:rsidRDefault="00551082" w:rsidP="00A200AC">
            <w:pPr>
              <w:spacing w:after="120"/>
              <w:jc w:val="both"/>
              <w:rPr>
                <w:rFonts w:cs="Times New Roman"/>
                <w:sz w:val="24"/>
                <w:szCs w:val="24"/>
              </w:rPr>
            </w:pPr>
            <w:r w:rsidRPr="00A200AC">
              <w:rPr>
                <w:rFonts w:cs="Times New Roman"/>
                <w:sz w:val="24"/>
                <w:szCs w:val="24"/>
              </w:rPr>
              <w:t>Bổ sung quy định về nhận tiết kiệm bắt buộc của khách hàng tài chính vi mô để phù hợp với thực tiễn hoạt động tại các điểm giao dịch của tổ chức tài chính vi mô, đồng thời tạo thuận lợi cho khách hàng tài chính vi mô giao dịch linh hoạt, dễ dàng hơn cũng như giúp tổ chức tài chính vi mô mở rộng khả năng cung ứng dịch vụ tài chính vi mô</w:t>
            </w:r>
          </w:p>
        </w:tc>
      </w:tr>
      <w:tr w:rsidR="00A200AC" w:rsidRPr="00A200AC" w14:paraId="63EF6CC2" w14:textId="77777777" w:rsidTr="004918D1">
        <w:tc>
          <w:tcPr>
            <w:tcW w:w="709" w:type="dxa"/>
            <w:vAlign w:val="center"/>
          </w:tcPr>
          <w:p w14:paraId="1ABACAB8" w14:textId="0B2D930F" w:rsidR="001103AA" w:rsidRPr="00A200AC" w:rsidRDefault="00D60E2A" w:rsidP="00A200AC">
            <w:pPr>
              <w:spacing w:after="120"/>
              <w:jc w:val="center"/>
              <w:rPr>
                <w:rFonts w:cs="Times New Roman"/>
                <w:sz w:val="24"/>
                <w:szCs w:val="24"/>
              </w:rPr>
            </w:pPr>
            <w:r>
              <w:rPr>
                <w:rFonts w:cs="Times New Roman"/>
                <w:sz w:val="24"/>
                <w:szCs w:val="24"/>
              </w:rPr>
              <w:t>2</w:t>
            </w:r>
          </w:p>
        </w:tc>
        <w:tc>
          <w:tcPr>
            <w:tcW w:w="5812" w:type="dxa"/>
          </w:tcPr>
          <w:p w14:paraId="3F30EADD" w14:textId="77777777" w:rsidR="00551082" w:rsidRPr="00A200AC" w:rsidRDefault="00551082" w:rsidP="00A200AC">
            <w:pPr>
              <w:spacing w:after="120"/>
              <w:contextualSpacing/>
              <w:jc w:val="both"/>
              <w:rPr>
                <w:rFonts w:cs="Times New Roman"/>
                <w:b/>
                <w:sz w:val="24"/>
                <w:szCs w:val="24"/>
                <w:lang w:val="sv-SE"/>
              </w:rPr>
            </w:pPr>
            <w:r w:rsidRPr="00A200AC">
              <w:rPr>
                <w:rFonts w:cs="Times New Roman"/>
                <w:b/>
                <w:sz w:val="24"/>
                <w:szCs w:val="24"/>
                <w:lang w:val="sv-SE"/>
              </w:rPr>
              <w:t>Điều 11. Điều kiện thành lập chi nhánh</w:t>
            </w:r>
          </w:p>
          <w:p w14:paraId="1F5F3C8C"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1. Tổ chức tài chính vi mô có thời gian hoạt động từ 12 tháng trở lên tính từ ngày khai trương hoạt động đến thời điểm đề nghị thành lập phải đảm bảo các điều kiện sau:</w:t>
            </w:r>
          </w:p>
          <w:p w14:paraId="2D9A8BA1"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a) Có giá trị thực vốn điều lệ tại thời điểm 31 tháng 12 của năm trước liền kề năm đề nghị thành lập không thấp hơn mức vốn pháp định. Giá trị thực của vốn điều lệ được xác định trên cơ sở báo cáo tài chính đã được kiểm toán của năm trước liền kề năm đề nghị;</w:t>
            </w:r>
          </w:p>
          <w:p w14:paraId="0CB4EA11"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 xml:space="preserve">b) Hoạt động kinh doanh có lãi theo báo cáo tài chính đã được kiểm toán của năm trước liền kề năm đề nghị thành </w:t>
            </w:r>
            <w:r w:rsidRPr="00A200AC">
              <w:rPr>
                <w:rFonts w:cs="Times New Roman"/>
                <w:sz w:val="24"/>
                <w:szCs w:val="24"/>
                <w:lang w:val="sv-SE"/>
              </w:rPr>
              <w:lastRenderedPageBreak/>
              <w:t>lập và theo báo cáo tài chính gần nhất tính đến thời điểm đề nghị;</w:t>
            </w:r>
          </w:p>
          <w:p w14:paraId="555B83E1"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c) Không bị cơ quan có thẩm quyền áp dụng biện pháp không cho mở rộng địa bàn hoạt động tại thời điểm đề nghị;</w:t>
            </w:r>
          </w:p>
          <w:p w14:paraId="38F0473C"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d) Tuân thủ các quy định về tỷ lệ bảo đảm an toàn trong hoạt động của tổ chức tài chính vi mô tại thời điểm báo cáo gần nhất tính đến thời điểm đề nghị;</w:t>
            </w:r>
          </w:p>
          <w:p w14:paraId="4372A8FB"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đ) Thực hiện đúng, đầy đủ các quy định về phân loại tài sản có, mức trích, phương pháp trích lập dự phòng rủi ro và việc sử dụng dự phòng để xử lý rủi ro trong hoạt động theo quy định của pháp luật trong 03 tháng liên tiếp liền kề thời điểm đề nghị;</w:t>
            </w:r>
          </w:p>
          <w:p w14:paraId="6BD32998"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e) 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tối đa 03% hoặc một tỷ lệ khác theo quyết định của Thống đốc Ngân hàng Nhà nước trong từng thời kỳ; và tỷ lệ nợ nhóm 5 so với tổng dư nợ theo quy định của Ngân hàng Nhà nước về việc phân loại tài sản có tại ngày cuối cùng của tháng liền kề trước thời điểm đề nghị tối đa 01% hoặc một tỷ lệ khác theo quyết định của Thống đốc Ngân hàng Nhà nước trong từng thời kỳ;</w:t>
            </w:r>
          </w:p>
          <w:p w14:paraId="674FAFAD"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g) Tỷ lệ vốn cấp 1 so với tổng tài sản tại thời điểm cuối tháng trước liền kề tháng đề nghị tối thiểu 10% hoặc một tỷ lệ khác theo quyết định của Thống đốc Ngân hàng Nhà nước trong từng thời kỳ;</w:t>
            </w:r>
          </w:p>
          <w:p w14:paraId="3DFF941E"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h) Tuân thủ quy định của pháp luật về số lượng và cơ cấu Hội đồng thành viên, Ban kiểm soát; không bị khuyết Tổng giám đốc (Giám đốc) tại thời điểm đề nghị;</w:t>
            </w:r>
          </w:p>
          <w:p w14:paraId="10E20E81" w14:textId="77777777" w:rsidR="00551082" w:rsidRPr="00A200AC" w:rsidRDefault="00551082" w:rsidP="00A200AC">
            <w:pPr>
              <w:spacing w:after="120"/>
              <w:contextualSpacing/>
              <w:jc w:val="both"/>
              <w:rPr>
                <w:rFonts w:cs="Times New Roman"/>
                <w:sz w:val="24"/>
                <w:szCs w:val="24"/>
                <w:lang w:val="sv-SE"/>
              </w:rPr>
            </w:pPr>
          </w:p>
          <w:p w14:paraId="4B5328E7"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lastRenderedPageBreak/>
              <w:t>i) Có hệ thống kiểm soát nội bộ và bộ phận kiểm toán nội bộ bảo đảm tuân thủ Điều 57, Điều 58 Luật Các tổ chức tín dụng và các quy định có liên quan của pháp luật tại thời điểm đề nghị;</w:t>
            </w:r>
          </w:p>
          <w:p w14:paraId="6A2EECC4"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k) Không bị xử phạt vi phạm hành chính về tổ chức, quản trị, điều hành (trừ vi phạm quy định về quy định nội bộ); cho vay; tỷ lệ bảo đảm an toàn; phân loại tài sản có, trích lập và sử dụng dự phòng để xử lý rủi ro theo quy định của pháp luật về xử phạt vi phạm hành chính trong lĩnh vực tiền tệ và ngân hàng trong thời hạn 12 tháng trở về trước tính từ thời điểm đề nghị;</w:t>
            </w:r>
          </w:p>
          <w:p w14:paraId="555BB3C1"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l) Có Đề án thành lập đảm bảo các nội dung theo quy định tại khoản 3 Điều 14 Thông tư này;</w:t>
            </w:r>
          </w:p>
          <w:p w14:paraId="71388484"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m) Đảm bảo số lượng chi nhánh theo quy định tại Điều 8 Thông tư này;</w:t>
            </w:r>
          </w:p>
          <w:p w14:paraId="6F53D2B5"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n) Tại thời điểm đề nghị, các đơn vị thuộc mạng lưới của tổ chức tài chính vi mô được chấp thuận thành lập trong năm trước liền kề năm đề nghị đã khai trương hoạt động.</w:t>
            </w:r>
          </w:p>
          <w:p w14:paraId="61BDC146"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2. Tổ chức tài chính vi mô có thời gian hoạt động dưới 12 tháng tính từ ngày khai trương hoạt động đến thời điểm đề nghị thành lập phải đảm bảo các điều kiện sau:</w:t>
            </w:r>
          </w:p>
          <w:p w14:paraId="42DA945A"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a) Có giá trị thực của vốn điều lệ tại tháng liền kề trước thời điểm đề nghị không thấp hơn mức vốn pháp định;</w:t>
            </w:r>
          </w:p>
          <w:p w14:paraId="2639015B"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b) Hoạt động kinh doanh có lãi đến tháng liền kề trước thời điểm đề nghị;</w:t>
            </w:r>
          </w:p>
          <w:p w14:paraId="37763818"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 xml:space="preserve">c) Thực hiện đúng, đầy đủ các quy định về phân loại tài sản có, mức trích, phương pháp trích lập dự phòng rủi ro và việc sử dụng dự phòng để xử lý rủi ro trong hoạt động theo quy định của pháp luật trong 03 tháng liên tiếp liền kề thời điểm đề nghị (trường hợp tổ chức tài chính vi mô có thời gian hoạt động trên 03 tháng) hoặc trong các tháng liền kề </w:t>
            </w:r>
            <w:r w:rsidRPr="00A200AC">
              <w:rPr>
                <w:rFonts w:cs="Times New Roman"/>
                <w:sz w:val="24"/>
                <w:szCs w:val="24"/>
                <w:lang w:val="sv-SE"/>
              </w:rPr>
              <w:lastRenderedPageBreak/>
              <w:t>thời điểm đề nghị (trường hợp tổ chức tài chính vi mô có thời gian hoạt động dưới 03 tháng);</w:t>
            </w:r>
          </w:p>
          <w:p w14:paraId="792F4447" w14:textId="77777777" w:rsidR="00551082"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d) Tỷ lệ nợ xấu theo quy định của Ngân hàng Nhà nước về việc phân loại tài sản có tại ngày cuối cùng của tháng liền kề trước thời điểm đề nghị tối đa 03% hoặc một tỷ lệ khác theo quyết định của Thống đốc Ngân hàng Nhà nước trong từng thời kỳ; và tỷ lệ nợ nhóm 5 so với tổng dư nợ theo quy định của Ngân hàng Nhà nước về việc phân loại tài sản có tại ngày cuối cùng của tháng liền kề trước thời điểm đề nghị tối đa 01% hoặc một tỷ lệ khác theo quyết định của Thống đốc Ngân hàng Nhà nước trong từng thời kỳ;</w:t>
            </w:r>
          </w:p>
          <w:p w14:paraId="0AFFBCDA" w14:textId="3B03F221" w:rsidR="001103AA" w:rsidRPr="00A200AC" w:rsidRDefault="00551082" w:rsidP="00A200AC">
            <w:pPr>
              <w:spacing w:after="120"/>
              <w:contextualSpacing/>
              <w:jc w:val="both"/>
              <w:rPr>
                <w:rFonts w:cs="Times New Roman"/>
                <w:sz w:val="24"/>
                <w:szCs w:val="24"/>
                <w:lang w:val="sv-SE"/>
              </w:rPr>
            </w:pPr>
            <w:r w:rsidRPr="00A200AC">
              <w:rPr>
                <w:rFonts w:cs="Times New Roman"/>
                <w:sz w:val="24"/>
                <w:szCs w:val="24"/>
                <w:lang w:val="sv-SE"/>
              </w:rPr>
              <w:t>đ) Các quy định tại các điểm c, d, g, h, i, k, l, m, n khoản 1 Điều này.</w:t>
            </w:r>
          </w:p>
        </w:tc>
        <w:tc>
          <w:tcPr>
            <w:tcW w:w="5812" w:type="dxa"/>
          </w:tcPr>
          <w:p w14:paraId="4237437A" w14:textId="77777777" w:rsidR="00551082" w:rsidRPr="00A200AC" w:rsidRDefault="00551082" w:rsidP="00A200AC">
            <w:pPr>
              <w:spacing w:after="120"/>
              <w:contextualSpacing/>
              <w:jc w:val="both"/>
              <w:rPr>
                <w:rFonts w:cs="Times New Roman"/>
                <w:b/>
                <w:sz w:val="24"/>
                <w:szCs w:val="24"/>
              </w:rPr>
            </w:pPr>
            <w:r w:rsidRPr="00A200AC">
              <w:rPr>
                <w:rFonts w:cs="Times New Roman"/>
                <w:b/>
                <w:sz w:val="24"/>
                <w:szCs w:val="24"/>
              </w:rPr>
              <w:lastRenderedPageBreak/>
              <w:t>Điều 2. Sửa đổi, bổ sung Điều 11</w:t>
            </w:r>
          </w:p>
          <w:p w14:paraId="5D248752" w14:textId="77777777" w:rsidR="00551082" w:rsidRPr="00A200AC" w:rsidRDefault="00551082" w:rsidP="00A200AC">
            <w:pPr>
              <w:spacing w:after="120"/>
              <w:contextualSpacing/>
              <w:jc w:val="both"/>
              <w:rPr>
                <w:rFonts w:cs="Times New Roman"/>
                <w:b/>
                <w:sz w:val="24"/>
                <w:szCs w:val="24"/>
              </w:rPr>
            </w:pPr>
            <w:r w:rsidRPr="00A200AC">
              <w:rPr>
                <w:rFonts w:cs="Times New Roman"/>
                <w:b/>
                <w:sz w:val="24"/>
                <w:szCs w:val="24"/>
              </w:rPr>
              <w:t>“</w:t>
            </w:r>
            <w:r w:rsidRPr="00A200AC">
              <w:rPr>
                <w:rFonts w:cs="Times New Roman"/>
                <w:b/>
                <w:i/>
                <w:sz w:val="24"/>
                <w:szCs w:val="24"/>
              </w:rPr>
              <w:t>Điều 11. Điều kiện thành lập chi nhánh</w:t>
            </w:r>
          </w:p>
          <w:p w14:paraId="5D68331F" w14:textId="77777777" w:rsidR="00551082" w:rsidRPr="00A200AC" w:rsidRDefault="00551082" w:rsidP="00A200AC">
            <w:pPr>
              <w:spacing w:after="120"/>
              <w:contextualSpacing/>
              <w:jc w:val="both"/>
              <w:rPr>
                <w:rFonts w:cs="Times New Roman"/>
                <w:sz w:val="24"/>
                <w:szCs w:val="24"/>
              </w:rPr>
            </w:pPr>
            <w:r w:rsidRPr="00A200AC">
              <w:rPr>
                <w:rFonts w:cs="Times New Roman"/>
                <w:sz w:val="24"/>
                <w:szCs w:val="24"/>
              </w:rPr>
              <w:t xml:space="preserve">1. Tổ chức tài chính vi mô có thời gian hoạt động từ 12 tháng trở lên tính từ ngày khai trương hoạt động đến thời điểm đề nghị thành lập phải đảm bảo các điều kiện sau: </w:t>
            </w:r>
          </w:p>
          <w:p w14:paraId="017E2068" w14:textId="77777777" w:rsidR="00551082" w:rsidRPr="00A200AC" w:rsidRDefault="00551082" w:rsidP="00A200AC">
            <w:pPr>
              <w:spacing w:after="120"/>
              <w:contextualSpacing/>
              <w:jc w:val="both"/>
              <w:rPr>
                <w:rFonts w:cs="Times New Roman"/>
                <w:sz w:val="24"/>
                <w:szCs w:val="24"/>
              </w:rPr>
            </w:pPr>
            <w:r w:rsidRPr="00A200AC">
              <w:rPr>
                <w:rFonts w:cs="Times New Roman"/>
                <w:sz w:val="24"/>
                <w:szCs w:val="24"/>
              </w:rPr>
              <w:t>a) Có cơ cấu tổ chức và hoạt động của bộ máy quản trị, điều hành, Ban kiểm soát, kiểm toán nội bộ; hệ thống kiểm soát nội bộ; hoạt động cấp tín dụng; các giới hạn, tỷ lệ bảo đảm an toàn trong hoạt động đảm bảo quy định của Luật Các tổ chức tín dụng và hướng dẫn của Ngân hàng Nhà nước trong thời hạn 12 tháng trở về trước tính từ thời điểm đề nghị và tại thời điểm chấp thuận;</w:t>
            </w:r>
          </w:p>
          <w:p w14:paraId="5EADD7B9" w14:textId="77777777" w:rsidR="00551082" w:rsidRPr="00A200AC" w:rsidRDefault="00551082" w:rsidP="00A200AC">
            <w:pPr>
              <w:spacing w:after="120"/>
              <w:contextualSpacing/>
              <w:jc w:val="both"/>
              <w:rPr>
                <w:rFonts w:cs="Times New Roman"/>
                <w:sz w:val="24"/>
                <w:szCs w:val="24"/>
              </w:rPr>
            </w:pPr>
            <w:r w:rsidRPr="00A200AC">
              <w:rPr>
                <w:rFonts w:cs="Times New Roman"/>
                <w:sz w:val="24"/>
                <w:szCs w:val="24"/>
              </w:rPr>
              <w:lastRenderedPageBreak/>
              <w:t xml:space="preserve">b) Tỷ lệ vốn cấp 1 so với tổng tài sản tại thời điểm cuối tháng trước liền kề tháng đề nghị tối thiểu 10% hoặc một tỷ lệ khác theo quyết định của Thống đốc Ngân hàng Nhà nước trong từng thời kỳ; </w:t>
            </w:r>
          </w:p>
          <w:p w14:paraId="4E39B8E9" w14:textId="77777777" w:rsidR="00551082" w:rsidRPr="00A200AC" w:rsidRDefault="00551082" w:rsidP="00A200AC">
            <w:pPr>
              <w:spacing w:after="120"/>
              <w:contextualSpacing/>
              <w:jc w:val="both"/>
              <w:rPr>
                <w:rFonts w:cs="Times New Roman"/>
                <w:sz w:val="24"/>
                <w:szCs w:val="24"/>
              </w:rPr>
            </w:pPr>
            <w:r w:rsidRPr="00A200AC">
              <w:rPr>
                <w:rFonts w:cs="Times New Roman"/>
                <w:sz w:val="24"/>
                <w:szCs w:val="24"/>
              </w:rPr>
              <w:t xml:space="preserve">c) 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tối đa 03% hoặc một tỷ lệ khác theo quyết định của Thống đốc Ngân hàng Nhà nước trong từng thời kỳ; và tỷ lệ nợ nhóm 5 so với tổng dư nợ theo quy định của Ngân hàng Nhà nước về việc phân loại tài sản có tại ngày cuối cùng của tháng liền kề trước thời điểm đề nghị tối đa 01% hoặc một tỷ lệ khác theo quyết định của Thống đốc Ngân hàng Nhà nước trong từng thời kỳ;  </w:t>
            </w:r>
          </w:p>
          <w:p w14:paraId="1777ACBF" w14:textId="77777777" w:rsidR="00551082" w:rsidRPr="00A200AC" w:rsidRDefault="00551082" w:rsidP="00A200AC">
            <w:pPr>
              <w:spacing w:after="120"/>
              <w:contextualSpacing/>
              <w:jc w:val="both"/>
              <w:rPr>
                <w:rFonts w:cs="Times New Roman"/>
                <w:sz w:val="24"/>
                <w:szCs w:val="24"/>
              </w:rPr>
            </w:pPr>
            <w:r w:rsidRPr="00A200AC">
              <w:rPr>
                <w:rFonts w:cs="Times New Roman"/>
                <w:sz w:val="24"/>
                <w:szCs w:val="24"/>
              </w:rPr>
              <w:t xml:space="preserve">d) Thực hiện đúng, đầy đủ các quy định về phân loại tài sản có, mức trích, phương pháp trích lập dự phòng rủi ro và việc sử dụng dự phòng để xử lý rủi ro trong hoạt động theo quy định của pháp luật trong thời hạn 12 tháng trở về trước tính từ thời điểm đề nghị và tại thời điểm chấp thuận; </w:t>
            </w:r>
          </w:p>
          <w:p w14:paraId="652AD6A7" w14:textId="77777777" w:rsidR="00551082" w:rsidRPr="00A200AC" w:rsidRDefault="00551082" w:rsidP="00A200AC">
            <w:pPr>
              <w:spacing w:after="120"/>
              <w:contextualSpacing/>
              <w:jc w:val="both"/>
              <w:rPr>
                <w:rFonts w:cs="Times New Roman"/>
                <w:sz w:val="24"/>
                <w:szCs w:val="24"/>
              </w:rPr>
            </w:pPr>
            <w:r w:rsidRPr="00A200AC">
              <w:rPr>
                <w:rFonts w:cs="Times New Roman"/>
                <w:sz w:val="24"/>
                <w:szCs w:val="24"/>
              </w:rPr>
              <w:t>đ) Hoạt động kinh doanh có lãi theo báo cáo tài chính đã được kiểm toán của năm trước liền kề năm đề nghị thành lập và theo báo cáo tài chính gần nhất tính đến thời điểm đề nghị;</w:t>
            </w:r>
          </w:p>
          <w:p w14:paraId="3779B882" w14:textId="77777777" w:rsidR="00551082" w:rsidRPr="00A200AC" w:rsidRDefault="00551082" w:rsidP="00A200AC">
            <w:pPr>
              <w:spacing w:after="120"/>
              <w:contextualSpacing/>
              <w:jc w:val="both"/>
              <w:rPr>
                <w:rFonts w:cs="Times New Roman"/>
                <w:sz w:val="24"/>
                <w:szCs w:val="24"/>
              </w:rPr>
            </w:pPr>
            <w:r w:rsidRPr="00A200AC">
              <w:rPr>
                <w:rFonts w:cs="Times New Roman"/>
                <w:sz w:val="24"/>
                <w:szCs w:val="24"/>
              </w:rPr>
              <w:t>e) Không bị cơ quan có thẩm quyền áp dụng biện pháp không cho mở rộng địa bàn hoạt động tại thời điểm đề nghị;</w:t>
            </w:r>
          </w:p>
          <w:p w14:paraId="53A82605" w14:textId="77777777" w:rsidR="00551082" w:rsidRPr="00A200AC" w:rsidRDefault="00551082" w:rsidP="00A200AC">
            <w:pPr>
              <w:spacing w:after="120"/>
              <w:contextualSpacing/>
              <w:jc w:val="both"/>
              <w:rPr>
                <w:rFonts w:cs="Times New Roman"/>
                <w:sz w:val="24"/>
                <w:szCs w:val="24"/>
              </w:rPr>
            </w:pPr>
            <w:r w:rsidRPr="00A200AC">
              <w:rPr>
                <w:rFonts w:cs="Times New Roman"/>
                <w:sz w:val="24"/>
                <w:szCs w:val="24"/>
              </w:rPr>
              <w:t>g) Đảm bảo số lượng chi nhánh theo quy định tại Điều 8 Thông tư này.</w:t>
            </w:r>
          </w:p>
          <w:p w14:paraId="74C78300" w14:textId="77777777" w:rsidR="00551082" w:rsidRPr="00A200AC" w:rsidRDefault="00551082" w:rsidP="00A200AC">
            <w:pPr>
              <w:spacing w:after="120"/>
              <w:contextualSpacing/>
              <w:jc w:val="both"/>
              <w:rPr>
                <w:rFonts w:cs="Times New Roman"/>
                <w:sz w:val="24"/>
                <w:szCs w:val="24"/>
              </w:rPr>
            </w:pPr>
            <w:r w:rsidRPr="00A200AC">
              <w:rPr>
                <w:rFonts w:cs="Times New Roman"/>
                <w:sz w:val="24"/>
                <w:szCs w:val="24"/>
              </w:rPr>
              <w:t>2. Tổ chức tài chính vi mô có thời gian hoạt động dưới 12 tháng tính từ ngày khai trương hoạt động đến thời điểm đề nghị thành lập phải đảm bảo các điều kiện sau:</w:t>
            </w:r>
          </w:p>
          <w:p w14:paraId="24F99A80" w14:textId="77777777" w:rsidR="00551082" w:rsidRPr="00A200AC" w:rsidRDefault="00551082" w:rsidP="00A200AC">
            <w:pPr>
              <w:spacing w:after="120"/>
              <w:contextualSpacing/>
              <w:jc w:val="both"/>
              <w:rPr>
                <w:rFonts w:cs="Times New Roman"/>
                <w:sz w:val="24"/>
                <w:szCs w:val="24"/>
              </w:rPr>
            </w:pPr>
            <w:r w:rsidRPr="00A200AC">
              <w:rPr>
                <w:rFonts w:cs="Times New Roman"/>
                <w:sz w:val="24"/>
                <w:szCs w:val="24"/>
              </w:rPr>
              <w:lastRenderedPageBreak/>
              <w:t>a) Có cơ cấu tổ chức và hoạt động của bộ máy quản trị, điều hành, Ban kiểm soát, kiểm toán nội bộ; hệ thống kiểm soát nội bộ; hoạt động cấp tín dụng; các giới hạn, tỷ lệ bảo đảm an toàn trong hoạt động đảm bảo quy định của Luật Các tổ chức tín dụng và hướng dẫn của Ngân hàng Nhà nước trong các tháng liền kề trước thời điểm đề nghị và tại thời điểm chấp thuận;</w:t>
            </w:r>
          </w:p>
          <w:p w14:paraId="16A8F1F3" w14:textId="77777777" w:rsidR="00551082" w:rsidRPr="00A200AC" w:rsidRDefault="00551082" w:rsidP="00A200AC">
            <w:pPr>
              <w:spacing w:after="120"/>
              <w:contextualSpacing/>
              <w:jc w:val="both"/>
              <w:rPr>
                <w:rFonts w:cs="Times New Roman"/>
                <w:sz w:val="24"/>
                <w:szCs w:val="24"/>
              </w:rPr>
            </w:pPr>
            <w:r w:rsidRPr="00A200AC">
              <w:rPr>
                <w:rFonts w:cs="Times New Roman"/>
                <w:sz w:val="24"/>
                <w:szCs w:val="24"/>
              </w:rPr>
              <w:t>b) Tỷ lệ nợ xấu theo quy định của Ngân hàng Nhà nước về việc phân loại tài sản có tại ngày cuối cùng của tháng liền kề trước thời điểm đề nghị tối đa 03% hoặc một tỷ lệ khác theo quyết định của Thống đốc Ngân hàng Nhà nước trong từng thời kỳ; và tỷ lệ nợ nhóm 5 so với tổng dư nợ theo quy định của Ngân hàng Nhà nước về việc phân loại tài sản có tại ngày cuối cùng của tháng liền kề trước thời điểm đề nghị tối đa 01% hoặc một tỷ lệ khác theo quyết định của Thống đốc Ngân hàng Nhà nước trong từng thời kỳ;</w:t>
            </w:r>
          </w:p>
          <w:p w14:paraId="6A56BBC2" w14:textId="77777777" w:rsidR="00551082" w:rsidRPr="00A200AC" w:rsidRDefault="00551082" w:rsidP="00A200AC">
            <w:pPr>
              <w:spacing w:after="120"/>
              <w:contextualSpacing/>
              <w:jc w:val="both"/>
              <w:rPr>
                <w:rFonts w:cs="Times New Roman"/>
                <w:sz w:val="24"/>
                <w:szCs w:val="24"/>
              </w:rPr>
            </w:pPr>
            <w:r w:rsidRPr="00A200AC">
              <w:rPr>
                <w:rFonts w:cs="Times New Roman"/>
                <w:sz w:val="24"/>
                <w:szCs w:val="24"/>
              </w:rPr>
              <w:t>c) Thực hiện đúng, đầy đủ các quy định về phân loại tài sản có, mức trích, phương pháp trích lập dự phòng rủi ro và việc sử dụng dự phòng để xử lý rủi ro trong hoạt động theo quy định của pháp luật trong 03 tháng liên tiếp liền kề trước thời điểm đề nghị (trường hợp tổ chức tài chính vi mô có thời gian hoạt động trên 03 tháng) hoặc trong các tháng liền kề trước thời điểm đề nghị (trường hợp tổ chức tài chính vi mô có thời gian hoạt động dưới 03 tháng) và tại thời điểm chấp thuận;</w:t>
            </w:r>
          </w:p>
          <w:p w14:paraId="1C6E026E" w14:textId="77777777" w:rsidR="00551082" w:rsidRPr="00A200AC" w:rsidRDefault="00551082" w:rsidP="00A200AC">
            <w:pPr>
              <w:spacing w:after="120"/>
              <w:contextualSpacing/>
              <w:jc w:val="both"/>
              <w:rPr>
                <w:rFonts w:cs="Times New Roman"/>
                <w:sz w:val="24"/>
                <w:szCs w:val="24"/>
              </w:rPr>
            </w:pPr>
            <w:r w:rsidRPr="00A200AC">
              <w:rPr>
                <w:rFonts w:cs="Times New Roman"/>
                <w:sz w:val="24"/>
                <w:szCs w:val="24"/>
              </w:rPr>
              <w:t>d) Hoạt động kinh doanh có lãi đến tháng liền kề trước thời điểm đề nghị;</w:t>
            </w:r>
          </w:p>
          <w:p w14:paraId="0FFCC007" w14:textId="43600097" w:rsidR="001103AA" w:rsidRPr="00A200AC" w:rsidRDefault="00551082" w:rsidP="00A200AC">
            <w:pPr>
              <w:spacing w:after="120"/>
              <w:contextualSpacing/>
              <w:jc w:val="both"/>
              <w:rPr>
                <w:rFonts w:cs="Times New Roman"/>
                <w:sz w:val="24"/>
                <w:szCs w:val="24"/>
              </w:rPr>
            </w:pPr>
            <w:r w:rsidRPr="00A200AC">
              <w:rPr>
                <w:rFonts w:cs="Times New Roman"/>
                <w:sz w:val="24"/>
                <w:szCs w:val="24"/>
              </w:rPr>
              <w:t>đ) Các quy định tại các điểm b, e, g khoản 1 Điều này.”.</w:t>
            </w:r>
          </w:p>
        </w:tc>
        <w:tc>
          <w:tcPr>
            <w:tcW w:w="3969" w:type="dxa"/>
          </w:tcPr>
          <w:p w14:paraId="60061DB7" w14:textId="5118FDDD" w:rsidR="00DD5FB9" w:rsidRPr="00A200AC" w:rsidRDefault="00DD5FB9" w:rsidP="00A200AC">
            <w:pPr>
              <w:spacing w:after="120"/>
              <w:jc w:val="both"/>
              <w:rPr>
                <w:rFonts w:cs="Times New Roman"/>
                <w:sz w:val="24"/>
                <w:szCs w:val="24"/>
              </w:rPr>
            </w:pPr>
            <w:r w:rsidRPr="00A200AC">
              <w:rPr>
                <w:rFonts w:cs="Times New Roman"/>
                <w:sz w:val="24"/>
                <w:szCs w:val="24"/>
              </w:rPr>
              <w:lastRenderedPageBreak/>
              <w:t xml:space="preserve"> (i) Cắt giảm, đơn giản hóa một số điều kiện </w:t>
            </w:r>
            <w:r w:rsidR="00A200AC">
              <w:rPr>
                <w:rFonts w:cs="Times New Roman"/>
                <w:sz w:val="24"/>
                <w:szCs w:val="24"/>
              </w:rPr>
              <w:t xml:space="preserve">(Điểm a, điểm k, điểm l khoản 1 Điều 11) </w:t>
            </w:r>
            <w:r w:rsidRPr="00A200AC">
              <w:rPr>
                <w:rFonts w:cs="Times New Roman"/>
                <w:sz w:val="24"/>
                <w:szCs w:val="24"/>
              </w:rPr>
              <w:t xml:space="preserve">để phù hợp với điểm 1 Mục III Phần II tại Phương án cắt giảm, đơn giản hóa thủ tục hành chính ban hành kèm theo Quyết định 2070. Việc cắt giảm một số điều kiện sẽ không ảnh hưởng đến mục tiêu quản lý khi xem xét chấp thuận thành lập chi nhánh, phòng giao dịch của tổ chức tài chính vi mô, đồng thời vẫn đảm bảo khả năng </w:t>
            </w:r>
            <w:r w:rsidRPr="00A200AC">
              <w:rPr>
                <w:rFonts w:cs="Times New Roman"/>
                <w:sz w:val="24"/>
                <w:szCs w:val="24"/>
              </w:rPr>
              <w:lastRenderedPageBreak/>
              <w:t>đánh giá sự lành mạnh, tuân thủ của tổ chức tài chính vi mô;</w:t>
            </w:r>
          </w:p>
          <w:p w14:paraId="65AEDC48" w14:textId="77777777" w:rsidR="00DD5FB9" w:rsidRPr="00A200AC" w:rsidRDefault="00DD5FB9" w:rsidP="00A200AC">
            <w:pPr>
              <w:spacing w:after="120"/>
              <w:jc w:val="both"/>
              <w:rPr>
                <w:rFonts w:cs="Times New Roman"/>
                <w:sz w:val="24"/>
                <w:szCs w:val="24"/>
              </w:rPr>
            </w:pPr>
            <w:r w:rsidRPr="00A200AC">
              <w:rPr>
                <w:rFonts w:cs="Times New Roman"/>
                <w:sz w:val="24"/>
                <w:szCs w:val="24"/>
              </w:rPr>
              <w:t>(ii) Sửa đổi điểm đ khoản 1 Điều 11, điểm c khoản 2 Điều 11 để đảm bảo chặt chẽ hơn, đánh giá chính xác hơn việc tuân thủ quy định của tổ chức tài chính vi mô;</w:t>
            </w:r>
          </w:p>
          <w:p w14:paraId="6E5F954C" w14:textId="00459817" w:rsidR="00A06BC0" w:rsidRPr="00A200AC" w:rsidRDefault="00DD5FB9" w:rsidP="00A200AC">
            <w:pPr>
              <w:spacing w:after="120"/>
              <w:jc w:val="both"/>
              <w:rPr>
                <w:rFonts w:cs="Times New Roman"/>
                <w:sz w:val="24"/>
                <w:szCs w:val="24"/>
              </w:rPr>
            </w:pPr>
            <w:r w:rsidRPr="00A200AC">
              <w:rPr>
                <w:rFonts w:cs="Times New Roman"/>
                <w:sz w:val="24"/>
                <w:szCs w:val="24"/>
              </w:rPr>
              <w:t>(iii) Bãi bỏ điểm n khoản 1 Điều 11 để đảm bảo tính đồng bộ, thống nhất với quy định áp dụng đối với các loại hình tổ chức tín dụng khác.</w:t>
            </w:r>
          </w:p>
        </w:tc>
      </w:tr>
      <w:tr w:rsidR="00A200AC" w:rsidRPr="00A200AC" w14:paraId="7668273B" w14:textId="77777777" w:rsidTr="004918D1">
        <w:tc>
          <w:tcPr>
            <w:tcW w:w="709" w:type="dxa"/>
            <w:vAlign w:val="center"/>
          </w:tcPr>
          <w:p w14:paraId="4D48CD48" w14:textId="6E6F599F" w:rsidR="001103AA" w:rsidRPr="00A200AC" w:rsidRDefault="00D60E2A" w:rsidP="00A200AC">
            <w:pPr>
              <w:spacing w:after="120"/>
              <w:jc w:val="center"/>
              <w:rPr>
                <w:rFonts w:cs="Times New Roman"/>
                <w:sz w:val="24"/>
                <w:szCs w:val="24"/>
              </w:rPr>
            </w:pPr>
            <w:r>
              <w:rPr>
                <w:rFonts w:cs="Times New Roman"/>
                <w:sz w:val="24"/>
                <w:szCs w:val="24"/>
              </w:rPr>
              <w:lastRenderedPageBreak/>
              <w:t>3</w:t>
            </w:r>
          </w:p>
        </w:tc>
        <w:tc>
          <w:tcPr>
            <w:tcW w:w="5812" w:type="dxa"/>
          </w:tcPr>
          <w:p w14:paraId="04E24B65" w14:textId="77777777" w:rsidR="00DD5FB9" w:rsidRPr="00A200AC" w:rsidRDefault="00DD5FB9" w:rsidP="00A200AC">
            <w:pPr>
              <w:pStyle w:val="NormalWeb"/>
              <w:spacing w:before="0" w:beforeAutospacing="0" w:after="120" w:afterAutospacing="0"/>
            </w:pPr>
            <w:bookmarkStart w:id="2" w:name="dieu_12"/>
            <w:r w:rsidRPr="00A200AC">
              <w:rPr>
                <w:b/>
                <w:bCs/>
              </w:rPr>
              <w:t>Điều 12. Điều kiện thành lập phòng giao dịch</w:t>
            </w:r>
            <w:bookmarkEnd w:id="2"/>
          </w:p>
          <w:p w14:paraId="78731431" w14:textId="77777777" w:rsidR="00DD5FB9" w:rsidRPr="00A200AC" w:rsidRDefault="00DD5FB9" w:rsidP="00A200AC">
            <w:pPr>
              <w:pStyle w:val="NormalWeb"/>
              <w:spacing w:before="0" w:beforeAutospacing="0" w:after="120" w:afterAutospacing="0"/>
            </w:pPr>
            <w:r w:rsidRPr="00A200AC">
              <w:t xml:space="preserve">1. Các điều kiện quy định tại </w:t>
            </w:r>
            <w:bookmarkStart w:id="3" w:name="tc_5"/>
            <w:r w:rsidRPr="00A200AC">
              <w:t>điểm a, b, c, d, đ, e, g, h, i, k, l, n khoản 1 Điều 11 Thông tư này</w:t>
            </w:r>
            <w:bookmarkEnd w:id="3"/>
            <w:r w:rsidRPr="00A200AC">
              <w:t>.</w:t>
            </w:r>
          </w:p>
          <w:p w14:paraId="760D761F" w14:textId="4CF44022" w:rsidR="00DD5FB9" w:rsidRPr="00A200AC" w:rsidRDefault="00DD5FB9" w:rsidP="00A200AC">
            <w:pPr>
              <w:pStyle w:val="NormalWeb"/>
              <w:spacing w:before="0" w:beforeAutospacing="0" w:after="120" w:afterAutospacing="0"/>
            </w:pPr>
            <w:r w:rsidRPr="00A200AC">
              <w:t>3. Chi nhánh dự kiến quản lý phòng giao dịch phải đáp ứng các điều kiện sau:</w:t>
            </w:r>
          </w:p>
          <w:p w14:paraId="514D417A" w14:textId="19C036BE" w:rsidR="00DD5FB9" w:rsidRPr="00A200AC" w:rsidRDefault="00DD5FB9" w:rsidP="00A200AC">
            <w:pPr>
              <w:pStyle w:val="NormalWeb"/>
              <w:spacing w:before="0" w:beforeAutospacing="0" w:after="120" w:afterAutospacing="0"/>
            </w:pPr>
            <w:r w:rsidRPr="00A200AC">
              <w:t>c) Không bị xử phạt vi phạm hành chính trong lĩnh vực tiền tệ và ngân hàng bằng hình thức phạt tiền trong thời hạn 12 tháng trở về trước tính từ thời điểm đề nghị.</w:t>
            </w:r>
          </w:p>
          <w:p w14:paraId="7CF81A98" w14:textId="28B0D1D5" w:rsidR="001103AA" w:rsidRPr="00A200AC" w:rsidRDefault="001103AA" w:rsidP="00A200AC">
            <w:pPr>
              <w:spacing w:after="120"/>
              <w:jc w:val="both"/>
              <w:rPr>
                <w:rFonts w:cs="Times New Roman"/>
                <w:sz w:val="24"/>
                <w:szCs w:val="24"/>
              </w:rPr>
            </w:pPr>
          </w:p>
        </w:tc>
        <w:tc>
          <w:tcPr>
            <w:tcW w:w="5812" w:type="dxa"/>
          </w:tcPr>
          <w:p w14:paraId="26C242E5" w14:textId="77777777" w:rsidR="00DD5FB9" w:rsidRPr="00A200AC" w:rsidRDefault="00DD5FB9" w:rsidP="00A200AC">
            <w:pPr>
              <w:pStyle w:val="BodyTextIndent"/>
              <w:spacing w:before="0" w:after="120"/>
              <w:ind w:firstLine="0"/>
              <w:contextualSpacing/>
              <w:rPr>
                <w:b/>
                <w:sz w:val="24"/>
                <w:lang w:val="sv-SE"/>
              </w:rPr>
            </w:pPr>
            <w:r w:rsidRPr="00A200AC">
              <w:rPr>
                <w:b/>
                <w:sz w:val="24"/>
                <w:lang w:val="sv-SE"/>
              </w:rPr>
              <w:t>Điều 3. Sửa đổi, bổ sung một số điểm, khoản của Điều 12</w:t>
            </w:r>
          </w:p>
          <w:p w14:paraId="058D0EA1" w14:textId="77777777" w:rsidR="00DD5FB9" w:rsidRPr="00A200AC" w:rsidRDefault="00DD5FB9" w:rsidP="00A200AC">
            <w:pPr>
              <w:pStyle w:val="BodyTextIndent"/>
              <w:spacing w:before="0" w:after="120"/>
              <w:ind w:firstLine="0"/>
              <w:contextualSpacing/>
              <w:rPr>
                <w:sz w:val="24"/>
                <w:lang w:val="sv-SE"/>
              </w:rPr>
            </w:pPr>
            <w:r w:rsidRPr="00A200AC">
              <w:rPr>
                <w:sz w:val="24"/>
                <w:lang w:val="sv-SE"/>
              </w:rPr>
              <w:t>1. Sửa đổi, bổ sung khoản 1 Điều 12 như sau:</w:t>
            </w:r>
          </w:p>
          <w:p w14:paraId="0F76FC40" w14:textId="77777777" w:rsidR="00DD5FB9" w:rsidRPr="00A200AC" w:rsidRDefault="00DD5FB9" w:rsidP="00A200AC">
            <w:pPr>
              <w:pStyle w:val="BodyTextIndent"/>
              <w:spacing w:before="0" w:after="120"/>
              <w:ind w:firstLine="0"/>
              <w:contextualSpacing/>
              <w:rPr>
                <w:sz w:val="24"/>
                <w:lang w:val="sv-SE"/>
              </w:rPr>
            </w:pPr>
            <w:r w:rsidRPr="00A200AC">
              <w:rPr>
                <w:sz w:val="24"/>
                <w:lang w:val="sv-SE"/>
              </w:rPr>
              <w:t>“1. Các điều kiện quy định tại điểm a, b, c, d, đ, e khoản 1 Điều 11 Thông tư này.”.</w:t>
            </w:r>
          </w:p>
          <w:p w14:paraId="552143E9" w14:textId="62B7DAD8" w:rsidR="001103AA" w:rsidRPr="00A200AC" w:rsidRDefault="00DD5FB9" w:rsidP="00A200AC">
            <w:pPr>
              <w:pStyle w:val="BodyTextIndent"/>
              <w:spacing w:before="0" w:after="120"/>
              <w:ind w:firstLine="0"/>
              <w:contextualSpacing/>
              <w:rPr>
                <w:sz w:val="24"/>
                <w:lang w:val="sv-SE"/>
              </w:rPr>
            </w:pPr>
            <w:r w:rsidRPr="00A200AC">
              <w:rPr>
                <w:sz w:val="24"/>
                <w:lang w:val="sv-SE"/>
              </w:rPr>
              <w:t>2. Bãi bỏ điểm c khoản 3 Điều 12.</w:t>
            </w:r>
          </w:p>
        </w:tc>
        <w:tc>
          <w:tcPr>
            <w:tcW w:w="3969" w:type="dxa"/>
          </w:tcPr>
          <w:p w14:paraId="783723DF" w14:textId="66BE0364" w:rsidR="00BE2D9D" w:rsidRPr="00A200AC" w:rsidRDefault="00A200AC" w:rsidP="00A200AC">
            <w:pPr>
              <w:spacing w:after="120"/>
              <w:jc w:val="both"/>
              <w:rPr>
                <w:rFonts w:cs="Times New Roman"/>
                <w:sz w:val="24"/>
                <w:szCs w:val="24"/>
              </w:rPr>
            </w:pPr>
            <w:r w:rsidRPr="00A200AC">
              <w:rPr>
                <w:rFonts w:cs="Times New Roman"/>
                <w:sz w:val="24"/>
                <w:szCs w:val="24"/>
              </w:rPr>
              <w:t>Sửa đổi, bãi bỏ quy định về điều kiện thành lập phòng giao dịch tổ chức tài chính vi mô tại khoản 1, khoản 3 Điều 12 Thông tư số 19 để tương ứng với nội dung sửa tại khoản 1 Điều 11 Thông tư số 19 và phù hợp với điểm 1 Mục III Phần II tại Phương án cắt giảm, đơn giản hóa thủ tục hành chính ban hành kèm theo Quyết định 2070.</w:t>
            </w:r>
          </w:p>
        </w:tc>
      </w:tr>
      <w:tr w:rsidR="00A200AC" w:rsidRPr="00A200AC" w14:paraId="2B7F8DC4" w14:textId="77777777" w:rsidTr="004918D1">
        <w:tc>
          <w:tcPr>
            <w:tcW w:w="709" w:type="dxa"/>
            <w:vAlign w:val="center"/>
          </w:tcPr>
          <w:p w14:paraId="11C89A7C" w14:textId="40CE2B49" w:rsidR="001103AA" w:rsidRPr="00A200AC" w:rsidRDefault="00D60E2A" w:rsidP="00A200AC">
            <w:pPr>
              <w:spacing w:after="120"/>
              <w:jc w:val="center"/>
              <w:rPr>
                <w:rFonts w:cs="Times New Roman"/>
                <w:sz w:val="24"/>
                <w:szCs w:val="24"/>
              </w:rPr>
            </w:pPr>
            <w:r>
              <w:rPr>
                <w:rFonts w:cs="Times New Roman"/>
                <w:sz w:val="24"/>
                <w:szCs w:val="24"/>
              </w:rPr>
              <w:t>4</w:t>
            </w:r>
          </w:p>
        </w:tc>
        <w:tc>
          <w:tcPr>
            <w:tcW w:w="5812" w:type="dxa"/>
          </w:tcPr>
          <w:p w14:paraId="673FCE3D" w14:textId="77777777" w:rsidR="001103AA" w:rsidRPr="00A200AC" w:rsidRDefault="001103AA" w:rsidP="00A200AC">
            <w:pPr>
              <w:spacing w:after="120"/>
              <w:jc w:val="both"/>
              <w:rPr>
                <w:rStyle w:val="normal-h1"/>
                <w:b/>
                <w:sz w:val="24"/>
                <w:szCs w:val="24"/>
                <w:lang w:val="sv-SE"/>
              </w:rPr>
            </w:pPr>
            <w:r w:rsidRPr="00A200AC">
              <w:rPr>
                <w:rStyle w:val="normal-h1"/>
                <w:sz w:val="24"/>
                <w:szCs w:val="24"/>
                <w:lang w:val="sv-SE"/>
              </w:rPr>
              <w:t xml:space="preserve"> </w:t>
            </w:r>
            <w:r w:rsidR="00DD5FB9" w:rsidRPr="00A200AC">
              <w:rPr>
                <w:rStyle w:val="normal-h1"/>
                <w:b/>
                <w:sz w:val="24"/>
                <w:szCs w:val="24"/>
                <w:lang w:val="sv-SE"/>
              </w:rPr>
              <w:t>Điều 13. Điều kiện thành lập văn phòng đại diện, đơn vị sự nghiệp</w:t>
            </w:r>
          </w:p>
          <w:p w14:paraId="46ED4898" w14:textId="77777777" w:rsidR="00DD5FB9" w:rsidRPr="00A200AC" w:rsidRDefault="00DD5FB9" w:rsidP="00A200AC">
            <w:pPr>
              <w:spacing w:after="120"/>
              <w:jc w:val="both"/>
              <w:rPr>
                <w:rFonts w:cs="Times New Roman"/>
                <w:sz w:val="24"/>
                <w:szCs w:val="24"/>
              </w:rPr>
            </w:pPr>
            <w:r w:rsidRPr="00A200AC">
              <w:rPr>
                <w:rFonts w:cs="Times New Roman"/>
                <w:sz w:val="24"/>
                <w:szCs w:val="24"/>
              </w:rPr>
              <w:t>2. Các điều kiện quy định tại điểm c, g, h, i khoản 1 Điều 11 Thông tư này.</w:t>
            </w:r>
          </w:p>
          <w:p w14:paraId="1806B880" w14:textId="77777777" w:rsidR="00DD5FB9" w:rsidRPr="00A200AC" w:rsidRDefault="00DD5FB9" w:rsidP="00A200AC">
            <w:pPr>
              <w:spacing w:after="120"/>
              <w:jc w:val="both"/>
              <w:rPr>
                <w:rFonts w:cs="Times New Roman"/>
                <w:sz w:val="24"/>
                <w:szCs w:val="24"/>
              </w:rPr>
            </w:pPr>
          </w:p>
          <w:p w14:paraId="57DB33B4" w14:textId="54E0D2B3" w:rsidR="00DD5FB9" w:rsidRPr="00A200AC" w:rsidRDefault="00DD5FB9" w:rsidP="00A200AC">
            <w:pPr>
              <w:spacing w:after="120"/>
              <w:jc w:val="both"/>
              <w:rPr>
                <w:rFonts w:cs="Times New Roman"/>
                <w:sz w:val="24"/>
                <w:szCs w:val="24"/>
              </w:rPr>
            </w:pPr>
            <w:r w:rsidRPr="00A200AC">
              <w:rPr>
                <w:rFonts w:cs="Times New Roman"/>
                <w:sz w:val="24"/>
                <w:szCs w:val="24"/>
              </w:rPr>
              <w:lastRenderedPageBreak/>
              <w:t>3. Có Đề án thành lập đảm bảo các nội dung theo quy định tại khoản 4 Điều 14 Thông tư này.</w:t>
            </w:r>
          </w:p>
        </w:tc>
        <w:tc>
          <w:tcPr>
            <w:tcW w:w="5812" w:type="dxa"/>
          </w:tcPr>
          <w:p w14:paraId="1D53C65A" w14:textId="77777777" w:rsidR="00DD5FB9" w:rsidRPr="00A200AC" w:rsidRDefault="00DD5FB9" w:rsidP="00A200AC">
            <w:pPr>
              <w:pStyle w:val="BodyTextIndent"/>
              <w:spacing w:before="0" w:after="120"/>
              <w:ind w:firstLine="0"/>
              <w:contextualSpacing/>
              <w:rPr>
                <w:b/>
                <w:sz w:val="24"/>
              </w:rPr>
            </w:pPr>
            <w:r w:rsidRPr="00A200AC">
              <w:rPr>
                <w:b/>
                <w:sz w:val="24"/>
              </w:rPr>
              <w:lastRenderedPageBreak/>
              <w:t>Điều 4. Sửa đổi, bổ sung một số khoản của Điều 13</w:t>
            </w:r>
          </w:p>
          <w:p w14:paraId="31ED2823" w14:textId="77777777" w:rsidR="00DD5FB9" w:rsidRPr="00A200AC" w:rsidRDefault="00DD5FB9" w:rsidP="00A200AC">
            <w:pPr>
              <w:pStyle w:val="BodyTextIndent"/>
              <w:spacing w:before="0" w:after="120"/>
              <w:ind w:firstLine="0"/>
              <w:contextualSpacing/>
              <w:rPr>
                <w:sz w:val="24"/>
              </w:rPr>
            </w:pPr>
            <w:r w:rsidRPr="00A200AC">
              <w:rPr>
                <w:sz w:val="24"/>
              </w:rPr>
              <w:t>1. Sửa đổi, bổ sung khoản 2 Điều 13 như sau:</w:t>
            </w:r>
          </w:p>
          <w:p w14:paraId="72299E74" w14:textId="77777777" w:rsidR="00DD5FB9" w:rsidRPr="00A200AC" w:rsidRDefault="00DD5FB9" w:rsidP="00A200AC">
            <w:pPr>
              <w:pStyle w:val="BodyTextIndent"/>
              <w:spacing w:before="0" w:after="120"/>
              <w:ind w:firstLine="0"/>
              <w:contextualSpacing/>
              <w:rPr>
                <w:sz w:val="24"/>
              </w:rPr>
            </w:pPr>
            <w:r w:rsidRPr="00A200AC">
              <w:rPr>
                <w:sz w:val="24"/>
              </w:rPr>
              <w:t>“2. Các điều kiện quy định tại điểm b, e khoản 1 Điều 11 Thông tư này.”.</w:t>
            </w:r>
          </w:p>
          <w:p w14:paraId="0F5B6420" w14:textId="41B0BCE1" w:rsidR="001103AA" w:rsidRPr="00A200AC" w:rsidRDefault="00DD5FB9" w:rsidP="00A200AC">
            <w:pPr>
              <w:pStyle w:val="BodyTextIndent"/>
              <w:spacing w:before="0" w:after="120"/>
              <w:ind w:firstLine="0"/>
              <w:contextualSpacing/>
              <w:rPr>
                <w:sz w:val="24"/>
              </w:rPr>
            </w:pPr>
            <w:r w:rsidRPr="00A200AC">
              <w:rPr>
                <w:sz w:val="24"/>
              </w:rPr>
              <w:t>2. Bãi bỏ khoản 3 Điều 13.</w:t>
            </w:r>
          </w:p>
        </w:tc>
        <w:tc>
          <w:tcPr>
            <w:tcW w:w="3969" w:type="dxa"/>
          </w:tcPr>
          <w:p w14:paraId="401CCA09" w14:textId="5F55631F" w:rsidR="001103AA" w:rsidRPr="00A200AC" w:rsidRDefault="00A200AC" w:rsidP="00A200AC">
            <w:pPr>
              <w:spacing w:after="120"/>
              <w:jc w:val="both"/>
              <w:rPr>
                <w:rFonts w:cs="Times New Roman"/>
                <w:sz w:val="24"/>
                <w:szCs w:val="24"/>
                <w:shd w:val="clear" w:color="auto" w:fill="FFFFFF"/>
              </w:rPr>
            </w:pPr>
            <w:r w:rsidRPr="00A200AC">
              <w:rPr>
                <w:rFonts w:cs="Times New Roman"/>
                <w:sz w:val="24"/>
                <w:szCs w:val="24"/>
                <w:shd w:val="clear" w:color="auto" w:fill="FFFFFF"/>
              </w:rPr>
              <w:t xml:space="preserve">Sửa đổi quy định về điều kiện thành lập văn phòng đại diện, đơn vị sự nghiệp tổ chức tài chính vi mô tại khoản 2, khoản 3 Điều 13 Thông tư số 19 để tương ứng với nội dung sửa tại khoản 1 Điều 11 Thông tư số 19 và phù hợp với điểm 2 Mục III Phần II tại Phương án cắt giảm, </w:t>
            </w:r>
            <w:r w:rsidRPr="00A200AC">
              <w:rPr>
                <w:rFonts w:cs="Times New Roman"/>
                <w:sz w:val="24"/>
                <w:szCs w:val="24"/>
                <w:shd w:val="clear" w:color="auto" w:fill="FFFFFF"/>
              </w:rPr>
              <w:lastRenderedPageBreak/>
              <w:t>đơn giản hóa thủ tục hành chính ban hành kèm theo Quyết định 2070.</w:t>
            </w:r>
          </w:p>
        </w:tc>
      </w:tr>
      <w:tr w:rsidR="00A200AC" w:rsidRPr="00A200AC" w14:paraId="1AD7D28E" w14:textId="77777777" w:rsidTr="004918D1">
        <w:tc>
          <w:tcPr>
            <w:tcW w:w="709" w:type="dxa"/>
            <w:vAlign w:val="center"/>
          </w:tcPr>
          <w:p w14:paraId="7CB5431C" w14:textId="405F798B" w:rsidR="001103AA" w:rsidRPr="00A200AC" w:rsidRDefault="00D60E2A" w:rsidP="00A200AC">
            <w:pPr>
              <w:spacing w:after="120"/>
              <w:jc w:val="center"/>
              <w:rPr>
                <w:rFonts w:cs="Times New Roman"/>
                <w:sz w:val="24"/>
                <w:szCs w:val="24"/>
              </w:rPr>
            </w:pPr>
            <w:r>
              <w:rPr>
                <w:rFonts w:cs="Times New Roman"/>
                <w:sz w:val="24"/>
                <w:szCs w:val="24"/>
              </w:rPr>
              <w:lastRenderedPageBreak/>
              <w:t>5</w:t>
            </w:r>
          </w:p>
        </w:tc>
        <w:tc>
          <w:tcPr>
            <w:tcW w:w="5812" w:type="dxa"/>
          </w:tcPr>
          <w:p w14:paraId="3ED7F8D1" w14:textId="77777777" w:rsidR="001103AA" w:rsidRPr="00A200AC" w:rsidRDefault="00DD5FB9" w:rsidP="00A200AC">
            <w:pPr>
              <w:pStyle w:val="Heading1"/>
              <w:spacing w:before="0" w:after="120" w:line="240" w:lineRule="auto"/>
              <w:outlineLvl w:val="0"/>
              <w:rPr>
                <w:bCs w:val="0"/>
                <w:sz w:val="24"/>
                <w:szCs w:val="24"/>
              </w:rPr>
            </w:pPr>
            <w:bookmarkStart w:id="4" w:name="dieu_15"/>
            <w:r w:rsidRPr="00A200AC">
              <w:rPr>
                <w:bCs w:val="0"/>
                <w:sz w:val="24"/>
                <w:szCs w:val="24"/>
              </w:rPr>
              <w:t>Điều 15. Trình tự chấp thuận thành lập chi nhánh của tổ chức tài chính vi mô</w:t>
            </w:r>
            <w:bookmarkEnd w:id="4"/>
          </w:p>
          <w:p w14:paraId="3A58FAD3" w14:textId="77777777" w:rsidR="00DD5FB9" w:rsidRPr="00A200AC" w:rsidRDefault="00DD5FB9" w:rsidP="00A200AC">
            <w:pPr>
              <w:pStyle w:val="NormalWeb"/>
              <w:spacing w:before="0" w:beforeAutospacing="0" w:after="120" w:afterAutospacing="0"/>
            </w:pPr>
            <w:r w:rsidRPr="00A200AC">
              <w:t xml:space="preserve">4. Trong thời hạn </w:t>
            </w:r>
            <w:r w:rsidRPr="00A200AC">
              <w:rPr>
                <w:u w:val="single"/>
              </w:rPr>
              <w:t>10 ngày</w:t>
            </w:r>
            <w:r w:rsidRPr="00A200AC">
              <w:t xml:space="preserve"> kể từ ngày nhận được văn bản của Ngân hàng Nhà nước, các đơn vị quy định tại khoản 3 Điều này có ý kiến tham gia bằng văn bản về các nội dung được đề nghị.</w:t>
            </w:r>
          </w:p>
          <w:p w14:paraId="029B3C2F" w14:textId="77777777" w:rsidR="00DD5FB9" w:rsidRPr="00A200AC" w:rsidRDefault="00DD5FB9" w:rsidP="00A200AC">
            <w:pPr>
              <w:pStyle w:val="NormalWeb"/>
              <w:spacing w:before="0" w:beforeAutospacing="0" w:after="120" w:afterAutospacing="0"/>
            </w:pPr>
            <w:r w:rsidRPr="00A200AC">
              <w:t xml:space="preserve">5. Trong thời hạn </w:t>
            </w:r>
            <w:r w:rsidRPr="00A200AC">
              <w:rPr>
                <w:u w:val="single"/>
              </w:rPr>
              <w:t>50 ngày</w:t>
            </w:r>
            <w:r w:rsidRPr="00A200AC">
              <w:t xml:space="preserve"> kể từ ngày xác nhận đủ hồ sơ hợp lệ, Ngân hàng Nhà nước có văn bản chấp thuận đề nghị thành lập chi nhánh của tổ chức tài chính vi mô. Trường hợp không chấp thuận, Ngân hàng Nhà nước phải trả lời bằng văn bản và nêu rõ lý do.</w:t>
            </w:r>
          </w:p>
          <w:p w14:paraId="50DC96C9" w14:textId="290EEBB3" w:rsidR="00DD5FB9" w:rsidRPr="00A200AC" w:rsidRDefault="00DD5FB9" w:rsidP="00A200AC">
            <w:pPr>
              <w:spacing w:after="120"/>
              <w:rPr>
                <w:rFonts w:cs="Times New Roman"/>
                <w:sz w:val="24"/>
                <w:szCs w:val="24"/>
                <w:lang w:val="x-none" w:eastAsia="x-none"/>
              </w:rPr>
            </w:pPr>
          </w:p>
        </w:tc>
        <w:tc>
          <w:tcPr>
            <w:tcW w:w="5812" w:type="dxa"/>
          </w:tcPr>
          <w:p w14:paraId="21FBB09D" w14:textId="77777777" w:rsidR="00D06F9F" w:rsidRPr="00A200AC" w:rsidRDefault="00D06F9F" w:rsidP="00A200AC">
            <w:pPr>
              <w:pStyle w:val="Noidung"/>
              <w:spacing w:before="0"/>
              <w:ind w:firstLine="0"/>
              <w:rPr>
                <w:rFonts w:eastAsia="Times New Roman"/>
                <w:b/>
                <w:bCs/>
                <w:sz w:val="24"/>
                <w:szCs w:val="24"/>
              </w:rPr>
            </w:pPr>
            <w:r w:rsidRPr="00A200AC">
              <w:rPr>
                <w:rFonts w:eastAsia="Times New Roman"/>
                <w:b/>
                <w:bCs/>
                <w:sz w:val="24"/>
                <w:szCs w:val="24"/>
              </w:rPr>
              <w:t>Điều 5. Sửa đổi, bổ sung một số khoản của Điều 15</w:t>
            </w:r>
          </w:p>
          <w:p w14:paraId="4FB34449" w14:textId="77777777" w:rsidR="00D06F9F" w:rsidRPr="00A200AC" w:rsidRDefault="00D06F9F" w:rsidP="00A200AC">
            <w:pPr>
              <w:pStyle w:val="Noidung"/>
              <w:spacing w:before="0"/>
              <w:ind w:firstLine="0"/>
              <w:rPr>
                <w:rFonts w:eastAsia="Times New Roman"/>
                <w:bCs/>
                <w:sz w:val="24"/>
                <w:szCs w:val="24"/>
              </w:rPr>
            </w:pPr>
            <w:r w:rsidRPr="00A200AC">
              <w:rPr>
                <w:rFonts w:eastAsia="Times New Roman"/>
                <w:bCs/>
                <w:sz w:val="24"/>
                <w:szCs w:val="24"/>
              </w:rPr>
              <w:t>1. Thay thế cụm từ “10 ngày” bằng cụm từ “06 ngày” tại khoản 4 Điều 15.</w:t>
            </w:r>
          </w:p>
          <w:p w14:paraId="3991828C" w14:textId="2B4F88C6" w:rsidR="001103AA" w:rsidRPr="00A200AC" w:rsidRDefault="00D06F9F" w:rsidP="00A200AC">
            <w:pPr>
              <w:pStyle w:val="Noidung"/>
              <w:spacing w:before="0"/>
              <w:ind w:firstLine="0"/>
              <w:rPr>
                <w:rFonts w:eastAsia="Times New Roman"/>
                <w:bCs/>
                <w:sz w:val="24"/>
                <w:szCs w:val="24"/>
              </w:rPr>
            </w:pPr>
            <w:r w:rsidRPr="00A200AC">
              <w:rPr>
                <w:rFonts w:eastAsia="Times New Roman"/>
                <w:bCs/>
                <w:sz w:val="24"/>
                <w:szCs w:val="24"/>
              </w:rPr>
              <w:t>2. Thay thế cụm từ “50 ngày” bằng cụm từ “35 ngày” tại khoản 5 Điều 15.</w:t>
            </w:r>
          </w:p>
        </w:tc>
        <w:tc>
          <w:tcPr>
            <w:tcW w:w="3969" w:type="dxa"/>
          </w:tcPr>
          <w:p w14:paraId="49DBA25F" w14:textId="77777777" w:rsidR="001103AA" w:rsidRPr="00A200AC" w:rsidRDefault="001103AA" w:rsidP="00A200AC">
            <w:pPr>
              <w:spacing w:after="120"/>
              <w:jc w:val="both"/>
              <w:rPr>
                <w:rFonts w:cs="Times New Roman"/>
                <w:sz w:val="24"/>
                <w:szCs w:val="24"/>
              </w:rPr>
            </w:pPr>
            <w:r w:rsidRPr="00A200AC">
              <w:rPr>
                <w:rFonts w:cs="Times New Roman"/>
                <w:sz w:val="24"/>
                <w:szCs w:val="24"/>
              </w:rPr>
              <w:t>Rút ngắn thời gian giải quyết TTHC nhằm thực hiện mục tiêu “</w:t>
            </w:r>
            <w:r w:rsidRPr="00A200AC">
              <w:rPr>
                <w:rFonts w:cs="Times New Roman"/>
                <w:i/>
                <w:sz w:val="24"/>
                <w:szCs w:val="24"/>
              </w:rPr>
              <w:t>giảm ít nhất 30% thời gian giải quyết các TTHC”</w:t>
            </w:r>
            <w:r w:rsidRPr="00A200AC">
              <w:rPr>
                <w:rFonts w:cs="Times New Roman"/>
                <w:sz w:val="24"/>
                <w:szCs w:val="24"/>
              </w:rPr>
              <w:t xml:space="preserve"> quy định tại điểm 1.a Mục II Nghị quyết số 66/NQ-CP.</w:t>
            </w:r>
          </w:p>
          <w:p w14:paraId="1E4A136C" w14:textId="6AA40680" w:rsidR="001103AA" w:rsidRPr="00A200AC" w:rsidRDefault="001103AA" w:rsidP="00A200AC">
            <w:pPr>
              <w:spacing w:after="120"/>
              <w:jc w:val="both"/>
              <w:rPr>
                <w:rFonts w:cs="Times New Roman"/>
                <w:sz w:val="24"/>
                <w:szCs w:val="24"/>
                <w:shd w:val="clear" w:color="auto" w:fill="FFFFFF"/>
              </w:rPr>
            </w:pPr>
          </w:p>
        </w:tc>
      </w:tr>
      <w:tr w:rsidR="00A200AC" w:rsidRPr="00A200AC" w14:paraId="61D68603" w14:textId="77777777" w:rsidTr="004918D1">
        <w:tc>
          <w:tcPr>
            <w:tcW w:w="709" w:type="dxa"/>
            <w:vAlign w:val="center"/>
          </w:tcPr>
          <w:p w14:paraId="26C8ECA8" w14:textId="29C6A429" w:rsidR="001103AA" w:rsidRPr="00A200AC" w:rsidRDefault="00D60E2A" w:rsidP="00A200AC">
            <w:pPr>
              <w:spacing w:after="120"/>
              <w:jc w:val="center"/>
              <w:rPr>
                <w:rFonts w:cs="Times New Roman"/>
                <w:sz w:val="24"/>
                <w:szCs w:val="24"/>
              </w:rPr>
            </w:pPr>
            <w:r>
              <w:rPr>
                <w:rFonts w:cs="Times New Roman"/>
                <w:sz w:val="24"/>
                <w:szCs w:val="24"/>
              </w:rPr>
              <w:t>6</w:t>
            </w:r>
          </w:p>
        </w:tc>
        <w:tc>
          <w:tcPr>
            <w:tcW w:w="5812" w:type="dxa"/>
          </w:tcPr>
          <w:p w14:paraId="545E73FC" w14:textId="77777777" w:rsidR="001103AA" w:rsidRPr="00A200AC" w:rsidRDefault="00D06F9F" w:rsidP="00A200AC">
            <w:pPr>
              <w:pStyle w:val="Noidung"/>
              <w:spacing w:before="0"/>
              <w:ind w:firstLine="0"/>
              <w:rPr>
                <w:rFonts w:eastAsia="Times New Roman"/>
                <w:b/>
                <w:bCs/>
                <w:sz w:val="24"/>
                <w:szCs w:val="24"/>
              </w:rPr>
            </w:pPr>
            <w:r w:rsidRPr="00A200AC">
              <w:rPr>
                <w:rFonts w:eastAsia="Times New Roman"/>
                <w:b/>
                <w:bCs/>
                <w:sz w:val="24"/>
                <w:szCs w:val="24"/>
              </w:rPr>
              <w:t>Điều 16. Trình tự chấp thuận thành lập phòng giao dịch, văn phòng đại diện, đơn vị sự nghiệp của tổ chức tài chính vi mô</w:t>
            </w:r>
          </w:p>
          <w:p w14:paraId="14FE82A1" w14:textId="77777777" w:rsidR="00D06F9F" w:rsidRPr="00A200AC" w:rsidRDefault="00D06F9F" w:rsidP="00A200AC">
            <w:pPr>
              <w:pStyle w:val="Noidung"/>
              <w:spacing w:before="0"/>
              <w:ind w:firstLine="0"/>
              <w:rPr>
                <w:rFonts w:eastAsia="Times New Roman"/>
                <w:bCs/>
                <w:sz w:val="24"/>
                <w:szCs w:val="24"/>
              </w:rPr>
            </w:pPr>
            <w:r w:rsidRPr="00A200AC">
              <w:rPr>
                <w:rFonts w:eastAsia="Times New Roman"/>
                <w:bCs/>
                <w:sz w:val="24"/>
                <w:szCs w:val="24"/>
              </w:rPr>
              <w:t>3. Trong thời hạn 07 ngày làm việc kể từ ngày nhận đủ hồ sơ hợp lệ, Cục Quản lý, giám sát tổ chức tín dụng có văn bản lấy ý kiến Ngân hàng Nhà nước chi nhánh Khu vực nơi tổ chức tài chính vi mô dự kiến đặt trụ sở phòng giao dịch về:</w:t>
            </w:r>
          </w:p>
          <w:p w14:paraId="4D39FF58" w14:textId="77777777" w:rsidR="00D06F9F" w:rsidRPr="00A200AC" w:rsidRDefault="00D06F9F" w:rsidP="00A200AC">
            <w:pPr>
              <w:pStyle w:val="Noidung"/>
              <w:spacing w:before="0"/>
              <w:ind w:firstLine="0"/>
              <w:rPr>
                <w:rFonts w:eastAsia="Times New Roman"/>
                <w:bCs/>
                <w:sz w:val="24"/>
                <w:szCs w:val="24"/>
              </w:rPr>
            </w:pPr>
            <w:r w:rsidRPr="00A200AC">
              <w:rPr>
                <w:rFonts w:eastAsia="Times New Roman"/>
                <w:bCs/>
                <w:sz w:val="24"/>
                <w:szCs w:val="24"/>
              </w:rPr>
              <w:t>a) Sự cần thiết thành lập hoặc thành lập thêm phòng giao dịch;</w:t>
            </w:r>
          </w:p>
          <w:p w14:paraId="061C85DE" w14:textId="77777777" w:rsidR="00D06F9F" w:rsidRPr="00A200AC" w:rsidRDefault="00D06F9F" w:rsidP="00A200AC">
            <w:pPr>
              <w:pStyle w:val="Noidung"/>
              <w:spacing w:before="0"/>
              <w:ind w:firstLine="0"/>
              <w:rPr>
                <w:rFonts w:eastAsia="Times New Roman"/>
                <w:bCs/>
                <w:sz w:val="24"/>
                <w:szCs w:val="24"/>
              </w:rPr>
            </w:pPr>
            <w:r w:rsidRPr="00A200AC">
              <w:rPr>
                <w:rFonts w:eastAsia="Times New Roman"/>
                <w:bCs/>
                <w:sz w:val="24"/>
                <w:szCs w:val="24"/>
              </w:rPr>
              <w:t>b) Các địa bàn dự kiến mở phòng giao dịch;</w:t>
            </w:r>
          </w:p>
          <w:p w14:paraId="0F485950" w14:textId="77777777" w:rsidR="00D06F9F" w:rsidRPr="00A200AC" w:rsidRDefault="00D06F9F" w:rsidP="00A200AC">
            <w:pPr>
              <w:pStyle w:val="Noidung"/>
              <w:spacing w:before="0"/>
              <w:rPr>
                <w:rFonts w:eastAsia="Times New Roman"/>
                <w:bCs/>
                <w:sz w:val="24"/>
                <w:szCs w:val="24"/>
              </w:rPr>
            </w:pPr>
          </w:p>
          <w:p w14:paraId="6597065C" w14:textId="77777777" w:rsidR="00D06F9F" w:rsidRPr="00A200AC" w:rsidRDefault="00D06F9F" w:rsidP="00A200AC">
            <w:pPr>
              <w:pStyle w:val="Noidung"/>
              <w:spacing w:before="0"/>
              <w:ind w:firstLine="0"/>
              <w:rPr>
                <w:rFonts w:eastAsia="Times New Roman"/>
                <w:bCs/>
                <w:sz w:val="24"/>
                <w:szCs w:val="24"/>
              </w:rPr>
            </w:pPr>
            <w:r w:rsidRPr="00A200AC">
              <w:rPr>
                <w:rFonts w:eastAsia="Times New Roman"/>
                <w:bCs/>
                <w:sz w:val="24"/>
                <w:szCs w:val="24"/>
              </w:rPr>
              <w:lastRenderedPageBreak/>
              <w:t>c) Việc đáp ứng các điều kiện theo quy định của Thông tư này đối với chi nhánh dự kiến quản lý phòng giao dịch trên địa bàn.</w:t>
            </w:r>
          </w:p>
          <w:p w14:paraId="297B5506" w14:textId="77777777" w:rsidR="00D06F9F" w:rsidRPr="00A200AC" w:rsidRDefault="00D06F9F" w:rsidP="00A200AC">
            <w:pPr>
              <w:pStyle w:val="Noidung"/>
              <w:spacing w:before="0"/>
              <w:ind w:firstLine="0"/>
              <w:rPr>
                <w:rFonts w:eastAsia="Times New Roman"/>
                <w:bCs/>
                <w:sz w:val="24"/>
                <w:szCs w:val="24"/>
              </w:rPr>
            </w:pPr>
            <w:r w:rsidRPr="00A200AC">
              <w:rPr>
                <w:rFonts w:eastAsia="Times New Roman"/>
                <w:bCs/>
                <w:sz w:val="24"/>
                <w:szCs w:val="24"/>
              </w:rPr>
              <w:t xml:space="preserve">Trong thời hạn </w:t>
            </w:r>
            <w:r w:rsidRPr="002869BA">
              <w:rPr>
                <w:rFonts w:eastAsia="Times New Roman"/>
                <w:bCs/>
                <w:sz w:val="24"/>
                <w:szCs w:val="24"/>
                <w:u w:val="single"/>
              </w:rPr>
              <w:t>10 ngày</w:t>
            </w:r>
            <w:r w:rsidRPr="00A200AC">
              <w:rPr>
                <w:rFonts w:eastAsia="Times New Roman"/>
                <w:bCs/>
                <w:sz w:val="24"/>
                <w:szCs w:val="24"/>
              </w:rPr>
              <w:t xml:space="preserve"> kể từ ngày nhận được văn bản của Cục Quản lý, giám sát tổ chức tín dụng, Ngân hàng Nhà nước chi nhánh Khu vực có ý kiến tham gia bằng văn bản về các nội dung được đề nghị.</w:t>
            </w:r>
          </w:p>
          <w:p w14:paraId="052BACB2" w14:textId="03039B6D" w:rsidR="00D06F9F" w:rsidRPr="00A200AC" w:rsidRDefault="00D06F9F" w:rsidP="00A200AC">
            <w:pPr>
              <w:pStyle w:val="Noidung"/>
              <w:spacing w:before="0"/>
              <w:ind w:firstLine="0"/>
              <w:rPr>
                <w:rFonts w:eastAsia="Times New Roman"/>
                <w:bCs/>
                <w:sz w:val="24"/>
                <w:szCs w:val="24"/>
              </w:rPr>
            </w:pPr>
            <w:r w:rsidRPr="00A200AC">
              <w:rPr>
                <w:rFonts w:eastAsia="Times New Roman"/>
                <w:bCs/>
                <w:sz w:val="24"/>
                <w:szCs w:val="24"/>
              </w:rPr>
              <w:t xml:space="preserve">4. Trong thời hạn </w:t>
            </w:r>
            <w:r w:rsidRPr="002869BA">
              <w:rPr>
                <w:rFonts w:eastAsia="Times New Roman"/>
                <w:bCs/>
                <w:sz w:val="24"/>
                <w:szCs w:val="24"/>
                <w:u w:val="single"/>
              </w:rPr>
              <w:t>45 ngày</w:t>
            </w:r>
            <w:r w:rsidRPr="00A200AC">
              <w:rPr>
                <w:rFonts w:eastAsia="Times New Roman"/>
                <w:bCs/>
                <w:sz w:val="24"/>
                <w:szCs w:val="24"/>
              </w:rPr>
              <w:t xml:space="preserve"> (đối với trường hợp thành lập phòng giao dịch) hoặc </w:t>
            </w:r>
            <w:r w:rsidRPr="002869BA">
              <w:rPr>
                <w:rFonts w:eastAsia="Times New Roman"/>
                <w:bCs/>
                <w:sz w:val="24"/>
                <w:szCs w:val="24"/>
                <w:u w:val="single"/>
              </w:rPr>
              <w:t>35 ngày</w:t>
            </w:r>
            <w:r w:rsidRPr="00A200AC">
              <w:rPr>
                <w:rFonts w:eastAsia="Times New Roman"/>
                <w:bCs/>
                <w:sz w:val="24"/>
                <w:szCs w:val="24"/>
              </w:rPr>
              <w:t xml:space="preserve"> (đối với trường hợp thành lập văn phòng đại diện, đơn vị sự nghiệp) kể từ ngày xác nhận đủ hồ sơ hợp lệ, Cục Quản lý, giám sát tổ chức tín dụng có văn bản chấp thuận đề nghị thành lập phòng giao dịch, văn phòng đại diện, đơn vị sự nghiệp của tổ chức tài chính vi mô. Trường hợp không chấp thuận, Cục Quản lý, giám sát tổ chức tín dụng phải trả lời bằng văn bản và nêu rõ lý do.</w:t>
            </w:r>
          </w:p>
        </w:tc>
        <w:tc>
          <w:tcPr>
            <w:tcW w:w="5812" w:type="dxa"/>
          </w:tcPr>
          <w:p w14:paraId="301E17FC" w14:textId="77777777" w:rsidR="00D06F9F" w:rsidRPr="00A200AC" w:rsidRDefault="00D06F9F" w:rsidP="002869BA">
            <w:pPr>
              <w:pStyle w:val="Noidung"/>
              <w:spacing w:before="0"/>
              <w:ind w:firstLine="0"/>
              <w:rPr>
                <w:rFonts w:eastAsia="Times New Roman"/>
                <w:b/>
                <w:bCs/>
                <w:sz w:val="24"/>
                <w:szCs w:val="24"/>
              </w:rPr>
            </w:pPr>
            <w:r w:rsidRPr="00A200AC">
              <w:rPr>
                <w:rFonts w:eastAsia="Times New Roman"/>
                <w:b/>
                <w:bCs/>
                <w:sz w:val="24"/>
                <w:szCs w:val="24"/>
              </w:rPr>
              <w:lastRenderedPageBreak/>
              <w:t>Điều 6. Sửa đổi, bổ sung một số điểm, khoản của Điều 16</w:t>
            </w:r>
          </w:p>
          <w:p w14:paraId="0D8ADBC4" w14:textId="77777777" w:rsidR="00D06F9F" w:rsidRPr="002869BA" w:rsidRDefault="00D06F9F" w:rsidP="00A200AC">
            <w:pPr>
              <w:pStyle w:val="Noidung"/>
              <w:spacing w:before="0"/>
              <w:ind w:firstLine="0"/>
              <w:rPr>
                <w:rFonts w:eastAsia="Times New Roman"/>
                <w:bCs/>
                <w:sz w:val="24"/>
                <w:szCs w:val="24"/>
              </w:rPr>
            </w:pPr>
            <w:r w:rsidRPr="002869BA">
              <w:rPr>
                <w:rFonts w:eastAsia="Times New Roman"/>
                <w:bCs/>
                <w:sz w:val="24"/>
                <w:szCs w:val="24"/>
              </w:rPr>
              <w:t>1. Thay thế cụm từ “10 ngày” bằng cụm từ “05 ngày làm việc” tại điểm c khoản 3 Điều 16.</w:t>
            </w:r>
          </w:p>
          <w:p w14:paraId="778CDCF6" w14:textId="231DB10B" w:rsidR="001103AA" w:rsidRPr="00A200AC" w:rsidRDefault="00D06F9F" w:rsidP="00A200AC">
            <w:pPr>
              <w:pStyle w:val="Noidung"/>
              <w:spacing w:before="0"/>
              <w:ind w:firstLine="0"/>
              <w:rPr>
                <w:rFonts w:eastAsia="Times New Roman"/>
                <w:b/>
                <w:bCs/>
                <w:sz w:val="24"/>
                <w:szCs w:val="24"/>
              </w:rPr>
            </w:pPr>
            <w:r w:rsidRPr="002869BA">
              <w:rPr>
                <w:rFonts w:eastAsia="Times New Roman"/>
                <w:bCs/>
                <w:sz w:val="24"/>
                <w:szCs w:val="24"/>
              </w:rPr>
              <w:t>2. Thay thế cụm từ “45 ngày” bằng cụm từ “28 ngày”, cụm từ “35 ngày” bằng cụm từ “20 ngày” tại khoản 4 Điều 16.</w:t>
            </w:r>
          </w:p>
        </w:tc>
        <w:tc>
          <w:tcPr>
            <w:tcW w:w="3969" w:type="dxa"/>
          </w:tcPr>
          <w:p w14:paraId="1FC682CD" w14:textId="77777777" w:rsidR="001103AA" w:rsidRPr="00A200AC" w:rsidRDefault="001103AA" w:rsidP="00A200AC">
            <w:pPr>
              <w:spacing w:after="120"/>
              <w:jc w:val="both"/>
              <w:rPr>
                <w:rFonts w:cs="Times New Roman"/>
                <w:sz w:val="24"/>
                <w:szCs w:val="24"/>
              </w:rPr>
            </w:pPr>
            <w:r w:rsidRPr="00A200AC">
              <w:rPr>
                <w:rFonts w:cs="Times New Roman"/>
                <w:sz w:val="24"/>
                <w:szCs w:val="24"/>
              </w:rPr>
              <w:t>Rút ngắn thời gian giải quyết TTHC nhằm thực hiện mục tiêu “</w:t>
            </w:r>
            <w:r w:rsidRPr="00A200AC">
              <w:rPr>
                <w:rFonts w:cs="Times New Roman"/>
                <w:i/>
                <w:sz w:val="24"/>
                <w:szCs w:val="24"/>
              </w:rPr>
              <w:t>giảm ít nhất 30% thời gian giải quyết các TTHC”</w:t>
            </w:r>
            <w:r w:rsidRPr="00A200AC">
              <w:rPr>
                <w:rFonts w:cs="Times New Roman"/>
                <w:sz w:val="24"/>
                <w:szCs w:val="24"/>
              </w:rPr>
              <w:t xml:space="preserve"> quy định tại điểm 1.a Mục II Nghị quyết số 66/NQ-CP.</w:t>
            </w:r>
          </w:p>
          <w:p w14:paraId="7205C153" w14:textId="2A281E52" w:rsidR="001103AA" w:rsidRPr="00A200AC" w:rsidRDefault="001103AA" w:rsidP="00A200AC">
            <w:pPr>
              <w:spacing w:after="120"/>
              <w:jc w:val="both"/>
              <w:rPr>
                <w:rFonts w:cs="Times New Roman"/>
                <w:sz w:val="24"/>
                <w:szCs w:val="24"/>
                <w:shd w:val="clear" w:color="auto" w:fill="FFFFFF"/>
              </w:rPr>
            </w:pPr>
          </w:p>
        </w:tc>
      </w:tr>
      <w:tr w:rsidR="00A200AC" w:rsidRPr="00A200AC" w14:paraId="72B2039A" w14:textId="77777777" w:rsidTr="004918D1">
        <w:tc>
          <w:tcPr>
            <w:tcW w:w="709" w:type="dxa"/>
            <w:vAlign w:val="center"/>
          </w:tcPr>
          <w:p w14:paraId="5DB7C211" w14:textId="44948A7E" w:rsidR="009647E7" w:rsidRPr="00A200AC" w:rsidRDefault="00D60E2A" w:rsidP="00A200AC">
            <w:pPr>
              <w:spacing w:after="120"/>
              <w:jc w:val="center"/>
              <w:rPr>
                <w:rFonts w:cs="Times New Roman"/>
                <w:sz w:val="24"/>
                <w:szCs w:val="24"/>
              </w:rPr>
            </w:pPr>
            <w:r>
              <w:rPr>
                <w:rFonts w:cs="Times New Roman"/>
                <w:sz w:val="24"/>
                <w:szCs w:val="24"/>
              </w:rPr>
              <w:lastRenderedPageBreak/>
              <w:t>7</w:t>
            </w:r>
          </w:p>
        </w:tc>
        <w:tc>
          <w:tcPr>
            <w:tcW w:w="5812" w:type="dxa"/>
          </w:tcPr>
          <w:p w14:paraId="30D09BEB" w14:textId="77777777" w:rsidR="009647E7" w:rsidRPr="00A200AC" w:rsidRDefault="00D06F9F" w:rsidP="00A200AC">
            <w:pPr>
              <w:tabs>
                <w:tab w:val="left" w:pos="720"/>
              </w:tabs>
              <w:spacing w:after="120"/>
              <w:contextualSpacing/>
              <w:jc w:val="both"/>
              <w:rPr>
                <w:rFonts w:cs="Times New Roman"/>
                <w:b/>
                <w:bCs/>
                <w:sz w:val="24"/>
                <w:szCs w:val="24"/>
              </w:rPr>
            </w:pPr>
            <w:bookmarkStart w:id="5" w:name="dieu_17"/>
            <w:r w:rsidRPr="00A200AC">
              <w:rPr>
                <w:rFonts w:cs="Times New Roman"/>
                <w:b/>
                <w:bCs/>
                <w:sz w:val="24"/>
                <w:szCs w:val="24"/>
              </w:rPr>
              <w:t>Điều 17. Khai trương hoạt động</w:t>
            </w:r>
            <w:bookmarkEnd w:id="5"/>
          </w:p>
          <w:p w14:paraId="2E0302D9" w14:textId="77777777" w:rsidR="00D06F9F" w:rsidRPr="00A200AC" w:rsidRDefault="00D06F9F" w:rsidP="00A200AC">
            <w:pPr>
              <w:pStyle w:val="NormalWeb"/>
              <w:spacing w:before="0" w:beforeAutospacing="0" w:after="120" w:afterAutospacing="0"/>
            </w:pPr>
            <w:r w:rsidRPr="00A200AC">
              <w:t xml:space="preserve">3. Tổ chức tài chính vi mô phải gửi Ngân hàng Nhà nước chi nhánh Khu vực nơi đặt trụ sở chi nhánh, phòng giao dịch, văn phòng đại diện, đơn vị sự nghiệp chậm nhất </w:t>
            </w:r>
            <w:r w:rsidRPr="002869BA">
              <w:rPr>
                <w:u w:val="single"/>
              </w:rPr>
              <w:t>07 ngày làm việc</w:t>
            </w:r>
            <w:r w:rsidRPr="00A200AC">
              <w:t xml:space="preserve"> trước ngày dự kiến khai trương hoạt động các văn bản sau:</w:t>
            </w:r>
          </w:p>
          <w:p w14:paraId="449102DE" w14:textId="77777777" w:rsidR="00D06F9F" w:rsidRPr="00A200AC" w:rsidRDefault="00D06F9F" w:rsidP="00A200AC">
            <w:pPr>
              <w:pStyle w:val="NormalWeb"/>
              <w:spacing w:before="0" w:beforeAutospacing="0" w:after="120" w:afterAutospacing="0"/>
            </w:pPr>
            <w:r w:rsidRPr="00A200AC">
              <w:t xml:space="preserve">a) Quy chế quản lý chi nhánh, phòng giao dịch theo quy định tại </w:t>
            </w:r>
            <w:bookmarkStart w:id="6" w:name="tc_13"/>
            <w:r w:rsidRPr="00A200AC">
              <w:t>Điều 10 Thông tư này</w:t>
            </w:r>
            <w:bookmarkEnd w:id="6"/>
            <w:r w:rsidRPr="00A200AC">
              <w:t xml:space="preserve"> trong trường hợp khai trương chi nhánh, phòng giao dịch;</w:t>
            </w:r>
          </w:p>
          <w:p w14:paraId="0A27D5CB" w14:textId="77777777" w:rsidR="00D06F9F" w:rsidRPr="00A200AC" w:rsidRDefault="00D06F9F" w:rsidP="00A200AC">
            <w:pPr>
              <w:pStyle w:val="NormalWeb"/>
              <w:spacing w:before="0" w:beforeAutospacing="0" w:after="120" w:afterAutospacing="0"/>
            </w:pPr>
            <w:r w:rsidRPr="00A200AC">
              <w:t>b) Văn bản thông báo về các nội dung sau:</w:t>
            </w:r>
          </w:p>
          <w:p w14:paraId="354189BD" w14:textId="77777777" w:rsidR="00D06F9F" w:rsidRPr="00A200AC" w:rsidRDefault="00D06F9F" w:rsidP="00A200AC">
            <w:pPr>
              <w:pStyle w:val="NormalWeb"/>
              <w:spacing w:before="0" w:beforeAutospacing="0" w:after="120" w:afterAutospacing="0"/>
            </w:pPr>
            <w:r w:rsidRPr="00A200AC">
              <w:t>(i) Ngày dự kiến khai trương hoạt động;</w:t>
            </w:r>
          </w:p>
          <w:p w14:paraId="2E4DEBF5" w14:textId="77777777" w:rsidR="00D06F9F" w:rsidRPr="00A200AC" w:rsidRDefault="00D06F9F" w:rsidP="00A200AC">
            <w:pPr>
              <w:pStyle w:val="NormalWeb"/>
              <w:spacing w:before="0" w:beforeAutospacing="0" w:after="120" w:afterAutospacing="0"/>
            </w:pPr>
            <w:r w:rsidRPr="00A200AC">
              <w:lastRenderedPageBreak/>
              <w:t>(ii) Việc đáp ứng các yêu cầu khai trương hoạt động quy định tại khoản 1, khoản 2 Điều này;</w:t>
            </w:r>
          </w:p>
          <w:p w14:paraId="7E61D6BD" w14:textId="77777777" w:rsidR="00D06F9F" w:rsidRPr="00A200AC" w:rsidRDefault="00D06F9F" w:rsidP="00A200AC">
            <w:pPr>
              <w:pStyle w:val="NormalWeb"/>
              <w:spacing w:before="0" w:beforeAutospacing="0" w:after="120" w:afterAutospacing="0"/>
            </w:pPr>
            <w:r w:rsidRPr="00A200AC">
              <w:t>(iii) Thông tin về người đứng đầu, thông tin về tên, thông tin về địa chỉ của chi nhánh, phòng giao dịch, văn phòng đại diện, đơn vị sự nghiệp.</w:t>
            </w:r>
          </w:p>
          <w:p w14:paraId="6D9CFAB0" w14:textId="641911E6" w:rsidR="00D06F9F" w:rsidRPr="00A200AC" w:rsidRDefault="00D06F9F" w:rsidP="00A200AC">
            <w:pPr>
              <w:tabs>
                <w:tab w:val="left" w:pos="720"/>
              </w:tabs>
              <w:spacing w:after="120"/>
              <w:contextualSpacing/>
              <w:jc w:val="both"/>
              <w:rPr>
                <w:rFonts w:cs="Times New Roman"/>
                <w:sz w:val="24"/>
                <w:szCs w:val="24"/>
              </w:rPr>
            </w:pPr>
          </w:p>
        </w:tc>
        <w:tc>
          <w:tcPr>
            <w:tcW w:w="5812" w:type="dxa"/>
          </w:tcPr>
          <w:p w14:paraId="59A1B3DC" w14:textId="77777777" w:rsidR="00D06F9F" w:rsidRPr="002869BA" w:rsidRDefault="00D06F9F" w:rsidP="00A200AC">
            <w:pPr>
              <w:spacing w:after="120"/>
              <w:jc w:val="both"/>
              <w:rPr>
                <w:rFonts w:cs="Times New Roman"/>
                <w:b/>
                <w:sz w:val="24"/>
                <w:szCs w:val="24"/>
              </w:rPr>
            </w:pPr>
            <w:r w:rsidRPr="002869BA">
              <w:rPr>
                <w:rFonts w:cs="Times New Roman"/>
                <w:b/>
                <w:sz w:val="24"/>
                <w:szCs w:val="24"/>
              </w:rPr>
              <w:lastRenderedPageBreak/>
              <w:t xml:space="preserve">Điều 7. Sửa đổi, bổ sung khoản 3 Điều 17 </w:t>
            </w:r>
          </w:p>
          <w:p w14:paraId="2B7DD7A3" w14:textId="77777777" w:rsidR="00D06F9F" w:rsidRPr="00A200AC" w:rsidRDefault="00D06F9F" w:rsidP="00A200AC">
            <w:pPr>
              <w:spacing w:after="120"/>
              <w:jc w:val="both"/>
              <w:rPr>
                <w:rFonts w:cs="Times New Roman"/>
                <w:sz w:val="24"/>
                <w:szCs w:val="24"/>
              </w:rPr>
            </w:pPr>
            <w:r w:rsidRPr="00A200AC">
              <w:rPr>
                <w:rFonts w:cs="Times New Roman"/>
                <w:sz w:val="24"/>
                <w:szCs w:val="24"/>
              </w:rPr>
              <w:t xml:space="preserve">“3. Tổ chức tài chính vi mô phải gửi Ngân hàng Nhà nước chi nhánh Khu vực nơi đặt trụ sở chi nhánh, phòng giao dịch, văn phòng đại diện, đơn vị sự nghiệp chậm nhất </w:t>
            </w:r>
            <w:r w:rsidRPr="002869BA">
              <w:rPr>
                <w:rFonts w:cs="Times New Roman"/>
                <w:sz w:val="24"/>
                <w:szCs w:val="24"/>
                <w:u w:val="single"/>
              </w:rPr>
              <w:t>15 ngày</w:t>
            </w:r>
            <w:r w:rsidRPr="00A200AC">
              <w:rPr>
                <w:rFonts w:cs="Times New Roman"/>
                <w:sz w:val="24"/>
                <w:szCs w:val="24"/>
              </w:rPr>
              <w:t xml:space="preserve"> trước ngày dự kiến khai trương hoạt động các văn bản sau: </w:t>
            </w:r>
          </w:p>
          <w:p w14:paraId="15C66474" w14:textId="77777777" w:rsidR="00D06F9F" w:rsidRPr="00A200AC" w:rsidRDefault="00D06F9F" w:rsidP="00A200AC">
            <w:pPr>
              <w:spacing w:after="120"/>
              <w:jc w:val="both"/>
              <w:rPr>
                <w:rFonts w:cs="Times New Roman"/>
                <w:sz w:val="24"/>
                <w:szCs w:val="24"/>
              </w:rPr>
            </w:pPr>
            <w:r w:rsidRPr="00A200AC">
              <w:rPr>
                <w:rFonts w:cs="Times New Roman"/>
                <w:sz w:val="24"/>
                <w:szCs w:val="24"/>
              </w:rPr>
              <w:t xml:space="preserve">a) Quy chế quản lý chi nhánh, phòng giao dịch theo quy định tại Điều 10 Thông tư này trong trường hợp khai trương chi nhánh, phòng giao dịch; </w:t>
            </w:r>
          </w:p>
          <w:p w14:paraId="7708809E" w14:textId="77777777" w:rsidR="00D06F9F" w:rsidRPr="00A200AC" w:rsidRDefault="00D06F9F" w:rsidP="00A200AC">
            <w:pPr>
              <w:spacing w:after="120"/>
              <w:jc w:val="both"/>
              <w:rPr>
                <w:rFonts w:cs="Times New Roman"/>
                <w:sz w:val="24"/>
                <w:szCs w:val="24"/>
              </w:rPr>
            </w:pPr>
            <w:r w:rsidRPr="00A200AC">
              <w:rPr>
                <w:rFonts w:cs="Times New Roman"/>
                <w:sz w:val="24"/>
                <w:szCs w:val="24"/>
              </w:rPr>
              <w:t>b) Văn bản thông báo về các nội dung sau:</w:t>
            </w:r>
          </w:p>
          <w:p w14:paraId="1C3B1C5F" w14:textId="77777777" w:rsidR="00D06F9F" w:rsidRPr="00A200AC" w:rsidRDefault="00D06F9F" w:rsidP="00A200AC">
            <w:pPr>
              <w:spacing w:after="120"/>
              <w:jc w:val="both"/>
              <w:rPr>
                <w:rFonts w:cs="Times New Roman"/>
                <w:sz w:val="24"/>
                <w:szCs w:val="24"/>
              </w:rPr>
            </w:pPr>
            <w:r w:rsidRPr="00A200AC">
              <w:rPr>
                <w:rFonts w:cs="Times New Roman"/>
                <w:sz w:val="24"/>
                <w:szCs w:val="24"/>
              </w:rPr>
              <w:t>(i) Ngày dự kiến khai trương hoạt động;</w:t>
            </w:r>
          </w:p>
          <w:p w14:paraId="22BC1C70" w14:textId="77777777" w:rsidR="00D06F9F" w:rsidRPr="00A200AC" w:rsidRDefault="00D06F9F" w:rsidP="00A200AC">
            <w:pPr>
              <w:spacing w:after="120"/>
              <w:jc w:val="both"/>
              <w:rPr>
                <w:rFonts w:cs="Times New Roman"/>
                <w:sz w:val="24"/>
                <w:szCs w:val="24"/>
              </w:rPr>
            </w:pPr>
            <w:r w:rsidRPr="00A200AC">
              <w:rPr>
                <w:rFonts w:cs="Times New Roman"/>
                <w:sz w:val="24"/>
                <w:szCs w:val="24"/>
              </w:rPr>
              <w:lastRenderedPageBreak/>
              <w:t>(ii) Việc đáp ứng các yêu cầu khai trương hoạt động quy định tại khoản 1, khoản 2 Điều này;</w:t>
            </w:r>
          </w:p>
          <w:p w14:paraId="259BC9CF" w14:textId="77777777" w:rsidR="00D06F9F" w:rsidRPr="00A200AC" w:rsidRDefault="00D06F9F" w:rsidP="00A200AC">
            <w:pPr>
              <w:spacing w:after="120"/>
              <w:jc w:val="both"/>
              <w:rPr>
                <w:rFonts w:cs="Times New Roman"/>
                <w:sz w:val="24"/>
                <w:szCs w:val="24"/>
              </w:rPr>
            </w:pPr>
            <w:r w:rsidRPr="00A200AC">
              <w:rPr>
                <w:rFonts w:cs="Times New Roman"/>
                <w:sz w:val="24"/>
                <w:szCs w:val="24"/>
              </w:rPr>
              <w:t>(iii) Thông tin về người đứng đầu, thông tin về tên, thông tin về địa chỉ của chi nhánh, phòng giao dịch, văn phòng đại diện, đơn vị sự nghiệp.</w:t>
            </w:r>
          </w:p>
          <w:p w14:paraId="6499CADC" w14:textId="77777777" w:rsidR="00D06F9F" w:rsidRPr="00A200AC" w:rsidRDefault="00D06F9F" w:rsidP="00A200AC">
            <w:pPr>
              <w:spacing w:after="120"/>
              <w:jc w:val="both"/>
              <w:rPr>
                <w:rFonts w:cs="Times New Roman"/>
                <w:sz w:val="24"/>
                <w:szCs w:val="24"/>
              </w:rPr>
            </w:pPr>
            <w:r w:rsidRPr="00A200AC">
              <w:rPr>
                <w:rFonts w:cs="Times New Roman"/>
                <w:sz w:val="24"/>
                <w:szCs w:val="24"/>
              </w:rPr>
              <w:t>c) Trong thời hạn 07 ngày làm việc kể từ ngày nhận được báo cáo của tổ chức tài chính vi mô theo quy định tại điểm b khoản này, Ngân hàng Nhà nước chi nhánh Khu vực:</w:t>
            </w:r>
          </w:p>
          <w:p w14:paraId="7B0850C1" w14:textId="77777777" w:rsidR="00D06F9F" w:rsidRPr="00A200AC" w:rsidRDefault="00D06F9F" w:rsidP="00A200AC">
            <w:pPr>
              <w:spacing w:after="120"/>
              <w:jc w:val="both"/>
              <w:rPr>
                <w:rFonts w:cs="Times New Roman"/>
                <w:sz w:val="24"/>
                <w:szCs w:val="24"/>
              </w:rPr>
            </w:pPr>
            <w:r w:rsidRPr="00A200AC">
              <w:rPr>
                <w:rFonts w:cs="Times New Roman"/>
                <w:sz w:val="24"/>
                <w:szCs w:val="24"/>
              </w:rPr>
              <w:t>(i) Kiểm tra việc đáp ứng các yêu cầu về khai trương hoạt động chi nhánh, phòng giao dịch của tổ chức tài chính vi mô quy định tại khoản 1 Điều này;</w:t>
            </w:r>
          </w:p>
          <w:p w14:paraId="3A4A1D16" w14:textId="090EFF77" w:rsidR="00727DAF" w:rsidRPr="00A200AC" w:rsidRDefault="00D06F9F" w:rsidP="00A200AC">
            <w:pPr>
              <w:spacing w:after="120"/>
              <w:jc w:val="both"/>
              <w:rPr>
                <w:rFonts w:cs="Times New Roman"/>
                <w:sz w:val="24"/>
                <w:szCs w:val="24"/>
              </w:rPr>
            </w:pPr>
            <w:r w:rsidRPr="00A200AC">
              <w:rPr>
                <w:rFonts w:cs="Times New Roman"/>
                <w:sz w:val="24"/>
                <w:szCs w:val="24"/>
              </w:rPr>
              <w:t>(ii) Có văn bản đình chỉ khai trương hoặc xác nhận việc đáp ứng các yêu cầu về khai trương hoạt động của chi nhánh, phòng giao dịch của tổ chức tài chính vi mô.”.</w:t>
            </w:r>
          </w:p>
        </w:tc>
        <w:tc>
          <w:tcPr>
            <w:tcW w:w="3969" w:type="dxa"/>
          </w:tcPr>
          <w:p w14:paraId="319B13BA" w14:textId="380331EB" w:rsidR="002869BA" w:rsidRPr="002869BA" w:rsidRDefault="002869BA" w:rsidP="002869BA">
            <w:pPr>
              <w:tabs>
                <w:tab w:val="left" w:pos="6225"/>
              </w:tabs>
              <w:spacing w:after="120"/>
              <w:jc w:val="both"/>
              <w:rPr>
                <w:rFonts w:cs="Times New Roman"/>
                <w:sz w:val="24"/>
                <w:szCs w:val="24"/>
              </w:rPr>
            </w:pPr>
            <w:r>
              <w:rPr>
                <w:rFonts w:cs="Times New Roman"/>
                <w:sz w:val="24"/>
                <w:szCs w:val="24"/>
              </w:rPr>
              <w:lastRenderedPageBreak/>
              <w:t xml:space="preserve">- Bổ sung </w:t>
            </w:r>
            <w:r w:rsidRPr="002869BA">
              <w:rPr>
                <w:rFonts w:cs="Times New Roman"/>
                <w:sz w:val="24"/>
                <w:szCs w:val="24"/>
              </w:rPr>
              <w:t>quy định trách nhiệm của NHNN chi nhánh Khu vực trong việc kiểm tra các yêu cầu về khai trương hoạt động của chi nhánh, phòng giao dịch</w:t>
            </w:r>
            <w:r>
              <w:rPr>
                <w:rFonts w:cs="Times New Roman"/>
                <w:sz w:val="24"/>
                <w:szCs w:val="24"/>
              </w:rPr>
              <w:t xml:space="preserve"> (điểm c khoản 3 Điều 17) </w:t>
            </w:r>
            <w:r w:rsidRPr="002869BA">
              <w:rPr>
                <w:rFonts w:cs="Times New Roman"/>
                <w:sz w:val="24"/>
                <w:szCs w:val="24"/>
              </w:rPr>
              <w:t>. Theo đó, NHNN chi nhánh Khu vực thực hiện kiểm tra và ra văn bản đình chỉ hoặc xác nhận đủ điều kiện khai trương trước khi chi nhánh, phòng giao dịch của tổ chức tài chính vi mô đi vào hoạt động.</w:t>
            </w:r>
            <w:r>
              <w:rPr>
                <w:rFonts w:cs="Times New Roman"/>
                <w:sz w:val="24"/>
                <w:szCs w:val="24"/>
              </w:rPr>
              <w:t xml:space="preserve"> </w:t>
            </w:r>
            <w:r w:rsidRPr="00A200AC">
              <w:rPr>
                <w:rFonts w:cs="Times New Roman"/>
                <w:sz w:val="24"/>
                <w:szCs w:val="24"/>
              </w:rPr>
              <w:t xml:space="preserve">Quy định này là cơ sở pháp lý để NHNN chi nhánh Khu vực rà soát, đánh giá việc đáp ứng đầy đủ các điều kiện khai trương theo quy định, kịp thời </w:t>
            </w:r>
            <w:r w:rsidRPr="00A200AC">
              <w:rPr>
                <w:rFonts w:cs="Times New Roman"/>
                <w:sz w:val="24"/>
                <w:szCs w:val="24"/>
              </w:rPr>
              <w:lastRenderedPageBreak/>
              <w:t>phát hiện và xử lý trường hợp chưa đáp ứng yêu cầu. Việc bổ sung nội dung kiểm tra giúp tăng cường tính chặt chẽ, bảo đảm an toàn hoạt động của tổ chức TCVM và phù hợp với yêu cầu tăng cường giám sát đối với việc mở rộng mạng lưới hoạt động trên địa bàn.</w:t>
            </w:r>
          </w:p>
          <w:p w14:paraId="3C1A887B" w14:textId="0F340923" w:rsidR="008301E2" w:rsidRPr="00A200AC" w:rsidRDefault="002869BA" w:rsidP="002869BA">
            <w:pPr>
              <w:tabs>
                <w:tab w:val="left" w:pos="6225"/>
              </w:tabs>
              <w:spacing w:after="120"/>
              <w:jc w:val="both"/>
              <w:rPr>
                <w:rFonts w:cs="Times New Roman"/>
                <w:sz w:val="24"/>
                <w:szCs w:val="24"/>
              </w:rPr>
            </w:pPr>
            <w:r>
              <w:rPr>
                <w:rFonts w:cs="Times New Roman"/>
                <w:sz w:val="24"/>
                <w:szCs w:val="24"/>
              </w:rPr>
              <w:t xml:space="preserve">- </w:t>
            </w:r>
            <w:r w:rsidRPr="002869BA">
              <w:rPr>
                <w:rFonts w:cs="Times New Roman"/>
                <w:sz w:val="24"/>
                <w:szCs w:val="24"/>
              </w:rPr>
              <w:t>Trên cơ sở quy định được bổ sung nêu trên, dự thảo Thông tư chỉnh sửa thời hạn tổ chức tài chính vi mô gửi văn bản thông báo dự kiến khai trương cho NHNN chi nhánh Khu vực từ 07 ngày làm việc lên 15 ngày trước ngày dự kiến khai trương hoạt động nhằm tăng tính khả thi trong thực hiện, bảo đảm tổ chức tài chính vi mô có đủ thời gian chuẩn bị hồ sơ, NHNN chi nhánh Khu vực có đủ thời gian xem xét, kiểm tra.</w:t>
            </w:r>
            <w:r>
              <w:rPr>
                <w:rFonts w:cs="Times New Roman"/>
                <w:sz w:val="24"/>
                <w:szCs w:val="24"/>
              </w:rPr>
              <w:t xml:space="preserve"> </w:t>
            </w:r>
          </w:p>
          <w:p w14:paraId="484AA53D" w14:textId="40301813" w:rsidR="009647E7" w:rsidRPr="00A200AC" w:rsidRDefault="009647E7" w:rsidP="002869BA">
            <w:pPr>
              <w:tabs>
                <w:tab w:val="left" w:pos="6225"/>
              </w:tabs>
              <w:spacing w:after="120"/>
              <w:jc w:val="both"/>
              <w:rPr>
                <w:rFonts w:cs="Times New Roman"/>
                <w:sz w:val="24"/>
                <w:szCs w:val="24"/>
              </w:rPr>
            </w:pPr>
          </w:p>
        </w:tc>
      </w:tr>
      <w:tr w:rsidR="00A200AC" w:rsidRPr="00A200AC" w14:paraId="0960784E" w14:textId="77777777" w:rsidTr="004918D1">
        <w:trPr>
          <w:trHeight w:val="2257"/>
        </w:trPr>
        <w:tc>
          <w:tcPr>
            <w:tcW w:w="709" w:type="dxa"/>
            <w:vAlign w:val="center"/>
          </w:tcPr>
          <w:p w14:paraId="3A601671" w14:textId="136945D8" w:rsidR="001103AA" w:rsidRPr="00A200AC" w:rsidRDefault="00D60E2A" w:rsidP="00A200AC">
            <w:pPr>
              <w:spacing w:after="120"/>
              <w:jc w:val="center"/>
              <w:rPr>
                <w:rFonts w:cs="Times New Roman"/>
                <w:sz w:val="24"/>
                <w:szCs w:val="24"/>
              </w:rPr>
            </w:pPr>
            <w:r>
              <w:rPr>
                <w:rFonts w:cs="Times New Roman"/>
                <w:sz w:val="24"/>
                <w:szCs w:val="24"/>
              </w:rPr>
              <w:lastRenderedPageBreak/>
              <w:t>8</w:t>
            </w:r>
            <w:r w:rsidR="004918D1">
              <w:rPr>
                <w:rFonts w:cs="Times New Roman"/>
                <w:sz w:val="24"/>
                <w:szCs w:val="24"/>
              </w:rPr>
              <w:t>.1</w:t>
            </w:r>
          </w:p>
        </w:tc>
        <w:tc>
          <w:tcPr>
            <w:tcW w:w="5812" w:type="dxa"/>
          </w:tcPr>
          <w:p w14:paraId="4FB3CE89" w14:textId="77777777" w:rsidR="00D06F9F" w:rsidRPr="002869BA" w:rsidRDefault="00D06F9F" w:rsidP="00A200AC">
            <w:pPr>
              <w:pStyle w:val="NormalWeb"/>
              <w:spacing w:before="0" w:beforeAutospacing="0" w:after="120" w:afterAutospacing="0"/>
              <w:contextualSpacing/>
              <w:jc w:val="both"/>
              <w:rPr>
                <w:rStyle w:val="Emphasis"/>
                <w:rFonts w:eastAsiaTheme="minorHAnsi"/>
                <w:b/>
                <w:bCs/>
                <w:i w:val="0"/>
              </w:rPr>
            </w:pPr>
            <w:r w:rsidRPr="002869BA">
              <w:rPr>
                <w:rStyle w:val="Emphasis"/>
                <w:rFonts w:eastAsiaTheme="minorHAnsi"/>
                <w:b/>
                <w:bCs/>
                <w:i w:val="0"/>
              </w:rPr>
              <w:t>Điều 20. Thay đổi địa điểm đặt trụ sở chi nhánh, phòng giao dịch</w:t>
            </w:r>
          </w:p>
          <w:p w14:paraId="40073B6E" w14:textId="77777777" w:rsidR="00D06F9F" w:rsidRPr="00A200AC" w:rsidRDefault="00D06F9F" w:rsidP="00A200AC">
            <w:pPr>
              <w:pStyle w:val="NormalWeb"/>
              <w:spacing w:before="0" w:beforeAutospacing="0" w:after="120" w:afterAutospacing="0"/>
              <w:contextualSpacing/>
              <w:jc w:val="both"/>
              <w:rPr>
                <w:rStyle w:val="Emphasis"/>
                <w:rFonts w:eastAsiaTheme="minorHAnsi"/>
                <w:bCs/>
                <w:i w:val="0"/>
              </w:rPr>
            </w:pPr>
          </w:p>
          <w:p w14:paraId="1349AD1E" w14:textId="707FC6BF" w:rsidR="001103AA" w:rsidRPr="00A200AC" w:rsidRDefault="00D06F9F" w:rsidP="00A200AC">
            <w:pPr>
              <w:pStyle w:val="NormalWeb"/>
              <w:spacing w:before="0" w:beforeAutospacing="0" w:after="120" w:afterAutospacing="0"/>
              <w:contextualSpacing/>
              <w:jc w:val="both"/>
              <w:rPr>
                <w:rStyle w:val="Emphasis"/>
                <w:rFonts w:eastAsiaTheme="minorHAnsi"/>
                <w:bCs/>
                <w:i w:val="0"/>
              </w:rPr>
            </w:pPr>
            <w:r w:rsidRPr="00A200AC">
              <w:rPr>
                <w:rStyle w:val="Emphasis"/>
                <w:rFonts w:eastAsiaTheme="minorHAnsi"/>
                <w:bCs/>
                <w:i w:val="0"/>
              </w:rPr>
              <w:t>1. Tổ chức tài chính vi mô chỉ được thay đổi địa điểm đặt trụ sở chi nhánh, phòng giao dịch trong phạm vi địa bàn hoạt động quy định tại khoản 1, khoản 2 Điều 7 Thông tư này và địa điểm dự kiến thay đổi phải đáp ứng các yêu cầu quy định tại điểm b, c, d khoản 1 Điều 17 Thông tư này.</w:t>
            </w:r>
          </w:p>
        </w:tc>
        <w:tc>
          <w:tcPr>
            <w:tcW w:w="5812" w:type="dxa"/>
          </w:tcPr>
          <w:p w14:paraId="75605B23" w14:textId="77777777" w:rsidR="00D06F9F" w:rsidRPr="002869BA" w:rsidRDefault="00D06F9F" w:rsidP="002869BA">
            <w:pPr>
              <w:pStyle w:val="BodyTextIndent"/>
              <w:spacing w:before="0" w:after="120"/>
              <w:ind w:firstLine="0"/>
              <w:contextualSpacing/>
              <w:rPr>
                <w:b/>
                <w:sz w:val="24"/>
              </w:rPr>
            </w:pPr>
            <w:r w:rsidRPr="002869BA">
              <w:rPr>
                <w:b/>
                <w:sz w:val="24"/>
              </w:rPr>
              <w:t>Điều 8. Sửa đổi, bổ sung một số điểm, khoản của Điều 20</w:t>
            </w:r>
          </w:p>
          <w:p w14:paraId="0C954441" w14:textId="10185AB6" w:rsidR="00D06F9F" w:rsidRPr="00A200AC" w:rsidRDefault="00D06F9F" w:rsidP="002869BA">
            <w:pPr>
              <w:pStyle w:val="BodyTextIndent"/>
              <w:spacing w:before="0" w:after="120"/>
              <w:ind w:firstLine="0"/>
              <w:contextualSpacing/>
              <w:rPr>
                <w:sz w:val="24"/>
              </w:rPr>
            </w:pPr>
            <w:r w:rsidRPr="00A200AC">
              <w:rPr>
                <w:sz w:val="24"/>
              </w:rPr>
              <w:t>1. Bỏ cụm từ “và địa điểm dự kiến thay đổi phải đáp ứng các yêu cầu quy định tại điểm b, c, d khoản 1 Điều 17 Thông tư này” tại khoản 1 Điều 20.</w:t>
            </w:r>
          </w:p>
          <w:p w14:paraId="0C8316FE" w14:textId="0E39E197" w:rsidR="001103AA" w:rsidRPr="00A200AC" w:rsidRDefault="001103AA" w:rsidP="00A200AC">
            <w:pPr>
              <w:pStyle w:val="BodyTextIndent"/>
              <w:spacing w:before="0" w:after="120"/>
              <w:ind w:firstLine="0"/>
              <w:contextualSpacing/>
              <w:rPr>
                <w:sz w:val="24"/>
              </w:rPr>
            </w:pPr>
          </w:p>
        </w:tc>
        <w:tc>
          <w:tcPr>
            <w:tcW w:w="3969" w:type="dxa"/>
          </w:tcPr>
          <w:p w14:paraId="49A292EA" w14:textId="62B13C47" w:rsidR="00320079" w:rsidRPr="00A200AC" w:rsidRDefault="00320079" w:rsidP="00A200AC">
            <w:pPr>
              <w:pStyle w:val="Heading1"/>
              <w:spacing w:before="0" w:after="120" w:line="240" w:lineRule="auto"/>
              <w:outlineLvl w:val="0"/>
              <w:rPr>
                <w:sz w:val="24"/>
                <w:szCs w:val="24"/>
                <w:shd w:val="clear" w:color="auto" w:fill="FFFFFF"/>
              </w:rPr>
            </w:pPr>
            <w:r w:rsidRPr="00A200AC">
              <w:rPr>
                <w:b w:val="0"/>
                <w:sz w:val="24"/>
                <w:szCs w:val="24"/>
                <w:lang w:val="en-US"/>
              </w:rPr>
              <w:t xml:space="preserve">Sửa đổi khoản 1 Điều 20 Thông tư số 19 để phù hợp với nội dung </w:t>
            </w:r>
            <w:r w:rsidR="001103AA" w:rsidRPr="00A200AC">
              <w:rPr>
                <w:b w:val="0"/>
                <w:sz w:val="24"/>
                <w:szCs w:val="24"/>
                <w:lang w:val="en-US"/>
              </w:rPr>
              <w:t xml:space="preserve">điểm 8 Mục III Phần II </w:t>
            </w:r>
            <w:r w:rsidR="001103AA" w:rsidRPr="00A200AC">
              <w:rPr>
                <w:b w:val="0"/>
                <w:sz w:val="24"/>
                <w:szCs w:val="24"/>
              </w:rPr>
              <w:t>Quyết định số 2070</w:t>
            </w:r>
            <w:r w:rsidRPr="00A200AC">
              <w:rPr>
                <w:b w:val="0"/>
                <w:sz w:val="24"/>
                <w:szCs w:val="24"/>
                <w:lang w:val="en-US"/>
              </w:rPr>
              <w:t>.</w:t>
            </w:r>
          </w:p>
        </w:tc>
      </w:tr>
      <w:tr w:rsidR="00A200AC" w:rsidRPr="00A200AC" w14:paraId="6973ECE4" w14:textId="77777777" w:rsidTr="004918D1">
        <w:tc>
          <w:tcPr>
            <w:tcW w:w="709" w:type="dxa"/>
            <w:vAlign w:val="center"/>
          </w:tcPr>
          <w:p w14:paraId="7A80116A" w14:textId="48A91E26" w:rsidR="00363508" w:rsidRPr="00A200AC" w:rsidRDefault="004918D1" w:rsidP="00A200AC">
            <w:pPr>
              <w:spacing w:after="120"/>
              <w:jc w:val="center"/>
              <w:rPr>
                <w:rFonts w:cs="Times New Roman"/>
                <w:sz w:val="24"/>
                <w:szCs w:val="24"/>
              </w:rPr>
            </w:pPr>
            <w:r>
              <w:rPr>
                <w:rFonts w:cs="Times New Roman"/>
                <w:sz w:val="24"/>
                <w:szCs w:val="24"/>
              </w:rPr>
              <w:t>8.2</w:t>
            </w:r>
          </w:p>
        </w:tc>
        <w:tc>
          <w:tcPr>
            <w:tcW w:w="5812" w:type="dxa"/>
          </w:tcPr>
          <w:p w14:paraId="6596C8E1" w14:textId="77777777" w:rsidR="00363508" w:rsidRPr="00A200AC" w:rsidRDefault="00D06F9F" w:rsidP="00A200AC">
            <w:pPr>
              <w:pStyle w:val="NormalWeb"/>
              <w:spacing w:before="0" w:beforeAutospacing="0" w:after="120" w:afterAutospacing="0"/>
              <w:jc w:val="both"/>
            </w:pPr>
            <w:r w:rsidRPr="00A200AC">
              <w:t>4. Trình tự chấp thuận thay đổi địa điểm đặt trụ sở chi nhánh, phòng giao dịch:</w:t>
            </w:r>
          </w:p>
          <w:p w14:paraId="1E28FB55" w14:textId="5156275E" w:rsidR="00D06F9F" w:rsidRPr="00A200AC" w:rsidRDefault="00D06F9F" w:rsidP="00A200AC">
            <w:pPr>
              <w:pStyle w:val="NormalWeb"/>
              <w:spacing w:before="0" w:beforeAutospacing="0" w:after="120" w:afterAutospacing="0"/>
              <w:jc w:val="both"/>
              <w:rPr>
                <w:lang w:val="it-IT"/>
              </w:rPr>
            </w:pPr>
            <w:r w:rsidRPr="00A200AC">
              <w:lastRenderedPageBreak/>
              <w:t xml:space="preserve">b) Trong thời hạn </w:t>
            </w:r>
            <w:r w:rsidRPr="002869BA">
              <w:rPr>
                <w:u w:val="single"/>
              </w:rPr>
              <w:t>15 ngày</w:t>
            </w:r>
            <w:r w:rsidRPr="00A200AC">
              <w:t xml:space="preserve"> kể từ ngày nhận đủ hồ sơ hợp lệ theo quy định tại khoản 2 Điều này, Ngân hàng Nhà nước chi nhánh Khu vực có văn bản chấp thuận việc thay đổi địa điểm đặt trụ sở chi nhánh, phòng giao dịch. Trường hợp không chấp thuận, Ngân hàng Nhà nước chi nhánh Khu vực phải trả lời bằng văn bản và nêu rõ lý do.</w:t>
            </w:r>
          </w:p>
        </w:tc>
        <w:tc>
          <w:tcPr>
            <w:tcW w:w="5812" w:type="dxa"/>
          </w:tcPr>
          <w:p w14:paraId="085DF78E" w14:textId="77777777" w:rsidR="00D06F9F" w:rsidRPr="00A200AC" w:rsidRDefault="00D06F9F" w:rsidP="002869BA">
            <w:pPr>
              <w:pStyle w:val="BodyTextIndent"/>
              <w:spacing w:before="0" w:after="120"/>
              <w:ind w:firstLine="0"/>
              <w:contextualSpacing/>
              <w:rPr>
                <w:sz w:val="24"/>
              </w:rPr>
            </w:pPr>
            <w:r w:rsidRPr="00A200AC">
              <w:rPr>
                <w:sz w:val="24"/>
              </w:rPr>
              <w:lastRenderedPageBreak/>
              <w:t>2. Thay thế cụm từ “15 ngày” bằng cụm từ “10 ngày” tại điểm b khoản 4 Điều 20.</w:t>
            </w:r>
          </w:p>
          <w:p w14:paraId="253EAE0B" w14:textId="77777777" w:rsidR="00363508" w:rsidRPr="00A200AC" w:rsidRDefault="00363508" w:rsidP="00A200AC">
            <w:pPr>
              <w:pStyle w:val="BodyTextIndent"/>
              <w:spacing w:before="0" w:after="120"/>
              <w:ind w:firstLine="0"/>
              <w:contextualSpacing/>
              <w:rPr>
                <w:b/>
                <w:sz w:val="24"/>
                <w:shd w:val="clear" w:color="auto" w:fill="FFFFFF"/>
              </w:rPr>
            </w:pPr>
          </w:p>
        </w:tc>
        <w:tc>
          <w:tcPr>
            <w:tcW w:w="3969" w:type="dxa"/>
          </w:tcPr>
          <w:p w14:paraId="624D3AD9" w14:textId="387488F0" w:rsidR="002A1640" w:rsidRPr="00A200AC" w:rsidRDefault="002A1640" w:rsidP="00A200AC">
            <w:pPr>
              <w:spacing w:after="120"/>
              <w:jc w:val="both"/>
              <w:rPr>
                <w:rFonts w:cs="Times New Roman"/>
                <w:sz w:val="24"/>
                <w:szCs w:val="24"/>
              </w:rPr>
            </w:pPr>
            <w:r w:rsidRPr="00A200AC">
              <w:rPr>
                <w:rFonts w:cs="Times New Roman"/>
                <w:sz w:val="24"/>
                <w:szCs w:val="24"/>
              </w:rPr>
              <w:lastRenderedPageBreak/>
              <w:t>Rút ngắn thời gian giải quyết TTHC nhằm thực hiện mục tiêu “</w:t>
            </w:r>
            <w:r w:rsidRPr="00A200AC">
              <w:rPr>
                <w:rFonts w:cs="Times New Roman"/>
                <w:i/>
                <w:sz w:val="24"/>
                <w:szCs w:val="24"/>
              </w:rPr>
              <w:t>giảm ít nhất 30% thời gian giải quyết các TTHC”</w:t>
            </w:r>
            <w:r w:rsidRPr="00A200AC">
              <w:rPr>
                <w:rFonts w:cs="Times New Roman"/>
                <w:sz w:val="24"/>
                <w:szCs w:val="24"/>
              </w:rPr>
              <w:t xml:space="preserve"> </w:t>
            </w:r>
            <w:r w:rsidRPr="00A200AC">
              <w:rPr>
                <w:rFonts w:cs="Times New Roman"/>
                <w:sz w:val="24"/>
                <w:szCs w:val="24"/>
              </w:rPr>
              <w:lastRenderedPageBreak/>
              <w:t>quy định tại điểm 1.a Mục II Nghị quyết số 66/NQ-CP.</w:t>
            </w:r>
          </w:p>
          <w:p w14:paraId="70A79E61" w14:textId="77777777" w:rsidR="00363508" w:rsidRPr="00A200AC" w:rsidRDefault="00363508" w:rsidP="00A200AC">
            <w:pPr>
              <w:pStyle w:val="Heading1"/>
              <w:spacing w:before="0" w:after="120" w:line="240" w:lineRule="auto"/>
              <w:outlineLvl w:val="0"/>
              <w:rPr>
                <w:b w:val="0"/>
                <w:sz w:val="24"/>
                <w:szCs w:val="24"/>
                <w:lang w:val="en-US"/>
              </w:rPr>
            </w:pPr>
          </w:p>
        </w:tc>
      </w:tr>
      <w:tr w:rsidR="00A200AC" w:rsidRPr="00A200AC" w14:paraId="155BA128" w14:textId="77777777" w:rsidTr="004918D1">
        <w:tc>
          <w:tcPr>
            <w:tcW w:w="709" w:type="dxa"/>
            <w:vAlign w:val="center"/>
          </w:tcPr>
          <w:p w14:paraId="7A647109" w14:textId="1AF677DE" w:rsidR="00363508" w:rsidRPr="00A200AC" w:rsidRDefault="004918D1" w:rsidP="00A200AC">
            <w:pPr>
              <w:spacing w:after="120"/>
              <w:jc w:val="center"/>
              <w:rPr>
                <w:rFonts w:cs="Times New Roman"/>
                <w:sz w:val="24"/>
                <w:szCs w:val="24"/>
              </w:rPr>
            </w:pPr>
            <w:r>
              <w:rPr>
                <w:rFonts w:cs="Times New Roman"/>
                <w:sz w:val="24"/>
                <w:szCs w:val="24"/>
              </w:rPr>
              <w:lastRenderedPageBreak/>
              <w:t>8.3</w:t>
            </w:r>
          </w:p>
        </w:tc>
        <w:tc>
          <w:tcPr>
            <w:tcW w:w="5812" w:type="dxa"/>
          </w:tcPr>
          <w:p w14:paraId="551E316D" w14:textId="77777777" w:rsidR="00D06F9F" w:rsidRPr="00A200AC" w:rsidRDefault="00D06F9F" w:rsidP="00A200AC">
            <w:pPr>
              <w:pStyle w:val="NormalWeb"/>
              <w:spacing w:before="0" w:beforeAutospacing="0" w:after="120" w:afterAutospacing="0"/>
            </w:pPr>
            <w:r w:rsidRPr="00A200AC">
              <w:t>5. Tổ chức tài chính vi mô có văn bản báo cáo Ngân hàng Nhà nước chi nhánh Khu vực về ngày dự kiến hoạt động tại địa điểm được chấp thuận và việc đáp ứng yêu cầu quy định tại khoản 1 Điều này chậm nhất 20 ngày trước ngày dự kiến hoạt động tại địa điểm được chấp thuận.</w:t>
            </w:r>
          </w:p>
          <w:p w14:paraId="7A5161D3" w14:textId="74260396" w:rsidR="00363508" w:rsidRPr="00A200AC" w:rsidRDefault="00363508" w:rsidP="00A200AC">
            <w:pPr>
              <w:pStyle w:val="NormalWeb"/>
              <w:spacing w:before="0" w:beforeAutospacing="0" w:after="120" w:afterAutospacing="0"/>
            </w:pPr>
          </w:p>
        </w:tc>
        <w:tc>
          <w:tcPr>
            <w:tcW w:w="5812" w:type="dxa"/>
          </w:tcPr>
          <w:p w14:paraId="091F2A23" w14:textId="77777777" w:rsidR="00D06F9F" w:rsidRPr="00A200AC" w:rsidRDefault="00D06F9F" w:rsidP="002869BA">
            <w:pPr>
              <w:pStyle w:val="BodyTextIndent"/>
              <w:spacing w:before="0" w:after="120"/>
              <w:ind w:firstLine="0"/>
              <w:contextualSpacing/>
              <w:rPr>
                <w:sz w:val="24"/>
              </w:rPr>
            </w:pPr>
            <w:r w:rsidRPr="00A200AC">
              <w:rPr>
                <w:sz w:val="24"/>
              </w:rPr>
              <w:t>3. Sửa đổi, bổ sung khoản 5 Điều 20 như sau:</w:t>
            </w:r>
          </w:p>
          <w:p w14:paraId="0BA02CB4" w14:textId="77777777" w:rsidR="00D06F9F" w:rsidRPr="00A200AC" w:rsidRDefault="00D06F9F" w:rsidP="002869BA">
            <w:pPr>
              <w:pStyle w:val="BodyTextIndent"/>
              <w:spacing w:before="0" w:after="120"/>
              <w:ind w:firstLine="0"/>
              <w:contextualSpacing/>
              <w:rPr>
                <w:sz w:val="24"/>
              </w:rPr>
            </w:pPr>
            <w:r w:rsidRPr="00A200AC">
              <w:rPr>
                <w:sz w:val="24"/>
              </w:rPr>
              <w:t xml:space="preserve">“5. Tổ chức tài chính vi mô có văn bản báo cáo Ngân hàng Nhà nước chi nhánh Khu vực về ngày dự kiến hoạt động tại địa điểm được chấp thuận và việc đáp ứng yêu cầu quy định tại điểm b, c, d khoản 1 Điều 17 Thông tư này chậm nhất 15 ngày trước ngày dự kiến hoạt động tại địa điểm được chấp thuận. </w:t>
            </w:r>
          </w:p>
          <w:p w14:paraId="1ADF9A68" w14:textId="77777777" w:rsidR="00D06F9F" w:rsidRPr="00A200AC" w:rsidRDefault="00D06F9F" w:rsidP="002869BA">
            <w:pPr>
              <w:pStyle w:val="BodyTextIndent"/>
              <w:spacing w:before="0" w:after="120"/>
              <w:ind w:firstLine="0"/>
              <w:contextualSpacing/>
              <w:rPr>
                <w:sz w:val="24"/>
              </w:rPr>
            </w:pPr>
            <w:r w:rsidRPr="00A200AC">
              <w:rPr>
                <w:sz w:val="24"/>
              </w:rPr>
              <w:t>Trong thời hạn 07 ngày làm việc kể từ ngày nhận được báo cáo của tổ chức tài chính vi mô theo quy định tại Điều này, Ngân hàng Nhà nước chi nhánh Khu vực nơi dự kiến đặt trụ sở chi nhánh, phòng giao dịch:</w:t>
            </w:r>
          </w:p>
          <w:p w14:paraId="0F335749" w14:textId="77777777" w:rsidR="00D06F9F" w:rsidRPr="00A200AC" w:rsidRDefault="00D06F9F" w:rsidP="002869BA">
            <w:pPr>
              <w:pStyle w:val="BodyTextIndent"/>
              <w:spacing w:before="0" w:after="120"/>
              <w:ind w:firstLine="0"/>
              <w:contextualSpacing/>
              <w:rPr>
                <w:sz w:val="24"/>
              </w:rPr>
            </w:pPr>
            <w:r w:rsidRPr="00A200AC">
              <w:rPr>
                <w:sz w:val="24"/>
              </w:rPr>
              <w:t>a) Kiểm tra việc đáp ứng các yêu cầu quy định tại điểm b, c, d khoản 1 Điều 17 Thông tư này;</w:t>
            </w:r>
          </w:p>
          <w:p w14:paraId="3FA83448" w14:textId="77777777" w:rsidR="00D06F9F" w:rsidRPr="00A200AC" w:rsidRDefault="00D06F9F" w:rsidP="002869BA">
            <w:pPr>
              <w:pStyle w:val="BodyTextIndent"/>
              <w:spacing w:before="0" w:after="120"/>
              <w:ind w:firstLine="0"/>
              <w:contextualSpacing/>
              <w:rPr>
                <w:sz w:val="24"/>
              </w:rPr>
            </w:pPr>
            <w:r w:rsidRPr="00A200AC">
              <w:rPr>
                <w:sz w:val="24"/>
              </w:rPr>
              <w:t>b) Có văn bản đình chỉ việc hoạt động tại địa điểm mới hoặc xác nhận việc đáp ứng các yêu cầu để được hoạt động tại địa điểm mới.”.</w:t>
            </w:r>
          </w:p>
          <w:p w14:paraId="1F22C9B9" w14:textId="1B3005C1" w:rsidR="00363508" w:rsidRPr="00A200AC" w:rsidRDefault="00363508" w:rsidP="00A200AC">
            <w:pPr>
              <w:spacing w:after="120"/>
              <w:jc w:val="both"/>
              <w:rPr>
                <w:rFonts w:cs="Times New Roman"/>
                <w:sz w:val="24"/>
                <w:szCs w:val="24"/>
              </w:rPr>
            </w:pPr>
          </w:p>
        </w:tc>
        <w:tc>
          <w:tcPr>
            <w:tcW w:w="3969" w:type="dxa"/>
          </w:tcPr>
          <w:p w14:paraId="6EC812B8" w14:textId="77777777" w:rsidR="00F9728A" w:rsidRPr="00A200AC" w:rsidRDefault="00F9728A" w:rsidP="00A200AC">
            <w:pPr>
              <w:pStyle w:val="Heading1"/>
              <w:spacing w:before="0" w:after="120" w:line="240" w:lineRule="auto"/>
              <w:outlineLvl w:val="0"/>
              <w:rPr>
                <w:b w:val="0"/>
                <w:sz w:val="24"/>
                <w:szCs w:val="24"/>
              </w:rPr>
            </w:pPr>
            <w:r w:rsidRPr="00A200AC">
              <w:rPr>
                <w:b w:val="0"/>
                <w:sz w:val="24"/>
                <w:szCs w:val="24"/>
                <w:lang w:val="en-US"/>
              </w:rPr>
              <w:t xml:space="preserve">- </w:t>
            </w:r>
            <w:r w:rsidR="002A1640" w:rsidRPr="00A200AC">
              <w:rPr>
                <w:b w:val="0"/>
                <w:sz w:val="24"/>
                <w:szCs w:val="24"/>
              </w:rPr>
              <w:t>Sửa đổi khoản 5 Điều 20 Thông tư số 19 để phù hợp với nội dung sửa đổi khoản 1 Điều 20 Thông tư số 19.</w:t>
            </w:r>
          </w:p>
          <w:p w14:paraId="3001C544" w14:textId="00C0E3DE" w:rsidR="00640501" w:rsidRPr="00A200AC" w:rsidRDefault="00640501" w:rsidP="00A200AC">
            <w:pPr>
              <w:spacing w:after="120"/>
              <w:jc w:val="both"/>
              <w:rPr>
                <w:rFonts w:cs="Times New Roman"/>
                <w:sz w:val="24"/>
                <w:szCs w:val="24"/>
                <w:lang w:eastAsia="x-none"/>
              </w:rPr>
            </w:pPr>
            <w:r w:rsidRPr="00A200AC">
              <w:rPr>
                <w:rFonts w:cs="Times New Roman"/>
                <w:sz w:val="24"/>
                <w:szCs w:val="24"/>
                <w:lang w:eastAsia="x-none"/>
              </w:rPr>
              <w:t>- Rút ngắn thời gian tổ chức TCVM thông báo về ngày dự kiến hoạt động tại địa điểm được chấp thuận và việc đáp ứng yêu cầu theo quy định từ 20 ngày xuống 15 ngày trước ngày dự kiến hoạt động tạ</w:t>
            </w:r>
            <w:r w:rsidR="00AC5B93" w:rsidRPr="00A200AC">
              <w:rPr>
                <w:rFonts w:cs="Times New Roman"/>
                <w:sz w:val="24"/>
                <w:szCs w:val="24"/>
                <w:lang w:eastAsia="x-none"/>
              </w:rPr>
              <w:t xml:space="preserve">i địa </w:t>
            </w:r>
            <w:r w:rsidRPr="00A200AC">
              <w:rPr>
                <w:rFonts w:cs="Times New Roman"/>
                <w:sz w:val="24"/>
                <w:szCs w:val="24"/>
                <w:lang w:eastAsia="x-none"/>
              </w:rPr>
              <w:t xml:space="preserve">điểm được chấp thuận để thống nhất với </w:t>
            </w:r>
            <w:r w:rsidR="00D15BDD" w:rsidRPr="00A200AC">
              <w:rPr>
                <w:rFonts w:cs="Times New Roman"/>
                <w:sz w:val="24"/>
                <w:szCs w:val="24"/>
                <w:lang w:eastAsia="x-none"/>
              </w:rPr>
              <w:t>khoản 3 Điều 17</w:t>
            </w:r>
            <w:r w:rsidR="00AC5B93" w:rsidRPr="00A200AC">
              <w:rPr>
                <w:rFonts w:cs="Times New Roman"/>
                <w:sz w:val="24"/>
                <w:szCs w:val="24"/>
                <w:lang w:eastAsia="x-none"/>
              </w:rPr>
              <w:t xml:space="preserve"> Thông tư số 19.</w:t>
            </w:r>
          </w:p>
          <w:p w14:paraId="14A1919B" w14:textId="42C70386" w:rsidR="00834D48" w:rsidRPr="00A200AC" w:rsidRDefault="00F9728A" w:rsidP="002869BA">
            <w:pPr>
              <w:spacing w:after="120"/>
              <w:jc w:val="both"/>
              <w:rPr>
                <w:rFonts w:cs="Times New Roman"/>
                <w:sz w:val="24"/>
                <w:szCs w:val="24"/>
              </w:rPr>
            </w:pPr>
            <w:r w:rsidRPr="00A200AC">
              <w:rPr>
                <w:rFonts w:cs="Times New Roman"/>
                <w:sz w:val="24"/>
                <w:szCs w:val="24"/>
                <w:lang w:eastAsia="x-none"/>
              </w:rPr>
              <w:t xml:space="preserve">- </w:t>
            </w:r>
            <w:r w:rsidR="00B26F13" w:rsidRPr="00A200AC">
              <w:rPr>
                <w:rFonts w:cs="Times New Roman"/>
                <w:sz w:val="24"/>
                <w:szCs w:val="24"/>
              </w:rPr>
              <w:t xml:space="preserve">Bổ sung quy định NHNN chi nhánh Khu vực </w:t>
            </w:r>
            <w:r w:rsidR="002869BA">
              <w:rPr>
                <w:rFonts w:cs="Times New Roman"/>
                <w:sz w:val="24"/>
                <w:szCs w:val="24"/>
              </w:rPr>
              <w:t>có văn đình chỉ hoặc xác nhận việc đáp ứng các yêu cầu để được hoạt động tại địa điểm mới để thống nhất với quy định tại điểm c khoản 3 Điều 17 (sau khi sửa đổi, bổ sung)</w:t>
            </w:r>
            <w:r w:rsidR="00B26F13" w:rsidRPr="00A200AC">
              <w:rPr>
                <w:rFonts w:cs="Times New Roman"/>
                <w:sz w:val="24"/>
                <w:szCs w:val="24"/>
              </w:rPr>
              <w:t xml:space="preserve">. </w:t>
            </w:r>
          </w:p>
        </w:tc>
      </w:tr>
      <w:tr w:rsidR="00A200AC" w:rsidRPr="00A200AC" w14:paraId="12215908" w14:textId="77777777" w:rsidTr="004918D1">
        <w:tc>
          <w:tcPr>
            <w:tcW w:w="709" w:type="dxa"/>
            <w:vAlign w:val="center"/>
          </w:tcPr>
          <w:p w14:paraId="20DADC3E" w14:textId="7C612DE0" w:rsidR="00B26F13" w:rsidRPr="00A200AC" w:rsidRDefault="004918D1" w:rsidP="00A200AC">
            <w:pPr>
              <w:spacing w:after="120"/>
              <w:jc w:val="center"/>
              <w:rPr>
                <w:rFonts w:cs="Times New Roman"/>
                <w:sz w:val="24"/>
                <w:szCs w:val="24"/>
              </w:rPr>
            </w:pPr>
            <w:r>
              <w:rPr>
                <w:rFonts w:cs="Times New Roman"/>
                <w:sz w:val="24"/>
                <w:szCs w:val="24"/>
              </w:rPr>
              <w:t>8.4</w:t>
            </w:r>
          </w:p>
        </w:tc>
        <w:tc>
          <w:tcPr>
            <w:tcW w:w="5812" w:type="dxa"/>
          </w:tcPr>
          <w:p w14:paraId="41880B8D" w14:textId="77777777" w:rsidR="00D06F9F" w:rsidRPr="00A200AC" w:rsidRDefault="00D06F9F" w:rsidP="00A200AC">
            <w:pPr>
              <w:pStyle w:val="NormalWeb"/>
              <w:spacing w:before="0" w:beforeAutospacing="0" w:after="120" w:afterAutospacing="0"/>
            </w:pPr>
            <w:r w:rsidRPr="00A200AC">
              <w:t xml:space="preserve">6. Trong thời hạn 12 tháng kể từ ngày Ngân hàng Nhà nước chi nhánh Khu vực có văn bản chấp thuận, chi nhánh, phòng giao dịch của tổ chức tài chính vi mô phải hoạt động tại địa điểm đã được chấp thuận. Quá thời hạn này mà không hoạt động tại địa điểm mới, văn bản chấp </w:t>
            </w:r>
            <w:r w:rsidRPr="00A200AC">
              <w:lastRenderedPageBreak/>
              <w:t>thuận của Ngân hàng Nhà nước chi nhánh Khu vực đương nhiên hết hiệu lực.</w:t>
            </w:r>
          </w:p>
          <w:p w14:paraId="074005E0" w14:textId="77777777" w:rsidR="00B26F13" w:rsidRPr="00A200AC" w:rsidRDefault="00B26F13" w:rsidP="00A200AC">
            <w:pPr>
              <w:pStyle w:val="Heading1"/>
              <w:spacing w:before="0" w:after="120" w:line="240" w:lineRule="auto"/>
              <w:outlineLvl w:val="0"/>
              <w:rPr>
                <w:rStyle w:val="Emphasis"/>
                <w:b w:val="0"/>
                <w:i w:val="0"/>
                <w:sz w:val="24"/>
                <w:szCs w:val="24"/>
              </w:rPr>
            </w:pPr>
          </w:p>
        </w:tc>
        <w:tc>
          <w:tcPr>
            <w:tcW w:w="5812" w:type="dxa"/>
          </w:tcPr>
          <w:p w14:paraId="5D90081D" w14:textId="77777777" w:rsidR="00D06F9F" w:rsidRPr="00A200AC" w:rsidRDefault="00D06F9F" w:rsidP="002869BA">
            <w:pPr>
              <w:pStyle w:val="BodyTextIndent"/>
              <w:spacing w:before="0" w:after="120"/>
              <w:ind w:firstLine="0"/>
              <w:contextualSpacing/>
              <w:rPr>
                <w:sz w:val="24"/>
              </w:rPr>
            </w:pPr>
            <w:r w:rsidRPr="00A200AC">
              <w:rPr>
                <w:sz w:val="24"/>
              </w:rPr>
              <w:lastRenderedPageBreak/>
              <w:t>4. Sửa đổi, bổ sung khoản 6 Điều 20 như sau:</w:t>
            </w:r>
          </w:p>
          <w:p w14:paraId="3E2E2390" w14:textId="79942B74" w:rsidR="00B26F13" w:rsidRPr="00A200AC" w:rsidRDefault="00D06F9F" w:rsidP="00A200AC">
            <w:pPr>
              <w:pStyle w:val="NormalWeb"/>
              <w:spacing w:before="0" w:beforeAutospacing="0" w:after="120" w:afterAutospacing="0"/>
              <w:contextualSpacing/>
              <w:jc w:val="both"/>
            </w:pPr>
            <w:r w:rsidRPr="00A200AC">
              <w:t xml:space="preserve">“6. Chi nhánh, phòng giao dịch của tổ chức tài chính vi mô chỉ hoạt động tại địa điểm mới sau khi Ngân hàng Nhà nước chi nhánh Khu vực có văn bản xác nhận việc đáp ứng các yêu cầu để được hoạt động tại địa điểm mới. Trong thời hạn 12 tháng kể từ ngày Ngân hàng Nhà nước chi nhánh </w:t>
            </w:r>
            <w:r w:rsidRPr="00A200AC">
              <w:lastRenderedPageBreak/>
              <w:t>Khu vực có văn bản chấp thuận, chi nhánh, phòng giao dịch của tổ chức tài chính vi mô phải hoạt động tại địa điểm đã được chấp thuận. Quá thời hạn này mà không hoạt động tại địa điểm mới, văn bản chấp thuận của Ngân hàng Nhà nước chi nhánh Khu vực đương nhiên hết hiệu lực.”.</w:t>
            </w:r>
          </w:p>
        </w:tc>
        <w:tc>
          <w:tcPr>
            <w:tcW w:w="3969" w:type="dxa"/>
          </w:tcPr>
          <w:p w14:paraId="0B172634" w14:textId="72287B43" w:rsidR="00B26F13" w:rsidRPr="00A200AC" w:rsidRDefault="00B26F13" w:rsidP="00A200AC">
            <w:pPr>
              <w:pStyle w:val="Heading1"/>
              <w:spacing w:before="0" w:after="120" w:line="240" w:lineRule="auto"/>
              <w:outlineLvl w:val="0"/>
              <w:rPr>
                <w:b w:val="0"/>
                <w:sz w:val="24"/>
                <w:szCs w:val="24"/>
                <w:lang w:val="en-US"/>
              </w:rPr>
            </w:pPr>
            <w:r w:rsidRPr="00A200AC">
              <w:rPr>
                <w:b w:val="0"/>
                <w:sz w:val="24"/>
                <w:szCs w:val="24"/>
                <w:lang w:val="en-US"/>
              </w:rPr>
              <w:lastRenderedPageBreak/>
              <w:t>B</w:t>
            </w:r>
            <w:r w:rsidRPr="00A200AC">
              <w:rPr>
                <w:b w:val="0"/>
                <w:sz w:val="24"/>
                <w:szCs w:val="24"/>
              </w:rPr>
              <w:t xml:space="preserve">ổ sung quy định việc “chi nhánh, PGD của </w:t>
            </w:r>
            <w:r w:rsidRPr="00A200AC">
              <w:rPr>
                <w:b w:val="0"/>
                <w:sz w:val="24"/>
                <w:szCs w:val="24"/>
                <w:lang w:val="en-US"/>
              </w:rPr>
              <w:t>tổ chức TCVM</w:t>
            </w:r>
            <w:r w:rsidRPr="00A200AC">
              <w:rPr>
                <w:b w:val="0"/>
                <w:sz w:val="24"/>
                <w:szCs w:val="24"/>
              </w:rPr>
              <w:t xml:space="preserve"> chỉ hoạt động tại </w:t>
            </w:r>
            <w:r w:rsidRPr="00A200AC">
              <w:rPr>
                <w:b w:val="0"/>
                <w:sz w:val="24"/>
                <w:szCs w:val="24"/>
                <w:lang w:val="en-US"/>
              </w:rPr>
              <w:t xml:space="preserve">địa </w:t>
            </w:r>
            <w:r w:rsidRPr="00A200AC">
              <w:rPr>
                <w:b w:val="0"/>
                <w:sz w:val="24"/>
                <w:szCs w:val="24"/>
              </w:rPr>
              <w:t xml:space="preserve">điểm mới sau khi NHNN chi nhánh Khu vực có văn bản xác nhận việc đáp ứng các yêu cầu để được hoạt động tại địa điểm mới” nhằm đảm bảo chi nhánh, PGD của tổ chức </w:t>
            </w:r>
            <w:r w:rsidRPr="00A200AC">
              <w:rPr>
                <w:b w:val="0"/>
                <w:sz w:val="24"/>
                <w:szCs w:val="24"/>
                <w:lang w:val="en-US"/>
              </w:rPr>
              <w:t>TCVM</w:t>
            </w:r>
            <w:r w:rsidRPr="00A200AC">
              <w:rPr>
                <w:b w:val="0"/>
                <w:sz w:val="24"/>
                <w:szCs w:val="24"/>
              </w:rPr>
              <w:t xml:space="preserve"> đủ </w:t>
            </w:r>
            <w:r w:rsidRPr="00A200AC">
              <w:rPr>
                <w:b w:val="0"/>
                <w:sz w:val="24"/>
                <w:szCs w:val="24"/>
              </w:rPr>
              <w:lastRenderedPageBreak/>
              <w:t>điều kiện thì mới được đi vào hoạt động.</w:t>
            </w:r>
          </w:p>
        </w:tc>
      </w:tr>
      <w:tr w:rsidR="00A200AC" w:rsidRPr="00A200AC" w14:paraId="78FEE87B" w14:textId="77777777" w:rsidTr="004918D1">
        <w:tc>
          <w:tcPr>
            <w:tcW w:w="709" w:type="dxa"/>
            <w:vAlign w:val="center"/>
          </w:tcPr>
          <w:p w14:paraId="600D6156" w14:textId="4F0A05E0" w:rsidR="001103AA" w:rsidRPr="00A200AC" w:rsidRDefault="004918D1" w:rsidP="00A200AC">
            <w:pPr>
              <w:spacing w:after="120"/>
              <w:jc w:val="center"/>
              <w:rPr>
                <w:rFonts w:cs="Times New Roman"/>
                <w:sz w:val="24"/>
                <w:szCs w:val="24"/>
              </w:rPr>
            </w:pPr>
            <w:r>
              <w:rPr>
                <w:rFonts w:cs="Times New Roman"/>
                <w:sz w:val="24"/>
                <w:szCs w:val="24"/>
              </w:rPr>
              <w:lastRenderedPageBreak/>
              <w:t>9</w:t>
            </w:r>
          </w:p>
        </w:tc>
        <w:tc>
          <w:tcPr>
            <w:tcW w:w="5812" w:type="dxa"/>
          </w:tcPr>
          <w:p w14:paraId="4EB964E2" w14:textId="77777777" w:rsidR="00D06F9F" w:rsidRPr="00A200AC" w:rsidRDefault="00D06F9F" w:rsidP="00A200AC">
            <w:pPr>
              <w:spacing w:after="120"/>
              <w:jc w:val="both"/>
              <w:rPr>
                <w:rFonts w:cs="Times New Roman"/>
                <w:b/>
                <w:bCs/>
                <w:sz w:val="24"/>
                <w:szCs w:val="24"/>
              </w:rPr>
            </w:pPr>
            <w:bookmarkStart w:id="7" w:name="dieu_26"/>
            <w:r w:rsidRPr="00A200AC">
              <w:rPr>
                <w:rFonts w:cs="Times New Roman"/>
                <w:b/>
                <w:bCs/>
                <w:sz w:val="24"/>
                <w:szCs w:val="24"/>
              </w:rPr>
              <w:t>Điều 26. Tự nguyện chấm dứt hoạt động, giải thể chi nhánh, phòng giao dịch, văn phòng đại diện, đơn vị sự nghiệp</w:t>
            </w:r>
            <w:bookmarkEnd w:id="7"/>
          </w:p>
          <w:p w14:paraId="1A9DF85F" w14:textId="77777777" w:rsidR="00D06F9F" w:rsidRPr="00A200AC" w:rsidRDefault="00D06F9F" w:rsidP="00A200AC">
            <w:pPr>
              <w:spacing w:after="120"/>
              <w:jc w:val="both"/>
              <w:rPr>
                <w:rStyle w:val="Emphasis"/>
                <w:rFonts w:cs="Times New Roman"/>
                <w:i w:val="0"/>
                <w:sz w:val="24"/>
                <w:szCs w:val="24"/>
              </w:rPr>
            </w:pPr>
            <w:r w:rsidRPr="00A200AC">
              <w:rPr>
                <w:rStyle w:val="Emphasis"/>
                <w:rFonts w:cs="Times New Roman"/>
                <w:i w:val="0"/>
                <w:sz w:val="24"/>
                <w:szCs w:val="24"/>
              </w:rPr>
              <w:t>2. Trình tự chấp thuận việc tự nguyện chấm dứt hoạt động, giải thể chi nhánh, phòng giao dịch:</w:t>
            </w:r>
          </w:p>
          <w:p w14:paraId="7C5C1893" w14:textId="113D0ECB" w:rsidR="001103AA" w:rsidRPr="00A200AC" w:rsidRDefault="00D06F9F" w:rsidP="00A200AC">
            <w:pPr>
              <w:spacing w:after="120"/>
              <w:jc w:val="both"/>
              <w:rPr>
                <w:rStyle w:val="Emphasis"/>
                <w:rFonts w:cs="Times New Roman"/>
                <w:i w:val="0"/>
                <w:sz w:val="24"/>
                <w:szCs w:val="24"/>
              </w:rPr>
            </w:pPr>
            <w:r w:rsidRPr="00A200AC">
              <w:rPr>
                <w:rStyle w:val="Emphasis"/>
                <w:rFonts w:cs="Times New Roman"/>
                <w:i w:val="0"/>
                <w:sz w:val="24"/>
                <w:szCs w:val="24"/>
              </w:rPr>
              <w:t xml:space="preserve">b) Trong thời hạn </w:t>
            </w:r>
            <w:r w:rsidRPr="002869BA">
              <w:rPr>
                <w:rStyle w:val="Emphasis"/>
                <w:rFonts w:cs="Times New Roman"/>
                <w:i w:val="0"/>
                <w:sz w:val="24"/>
                <w:szCs w:val="24"/>
                <w:u w:val="single"/>
              </w:rPr>
              <w:t>45 ngày</w:t>
            </w:r>
            <w:r w:rsidRPr="00A200AC">
              <w:rPr>
                <w:rStyle w:val="Emphasis"/>
                <w:rFonts w:cs="Times New Roman"/>
                <w:i w:val="0"/>
                <w:sz w:val="24"/>
                <w:szCs w:val="24"/>
              </w:rPr>
              <w:t xml:space="preserve"> kể từ ngày nhận đủ hồ sơ hợp lệ theo quy định tại khoản 1 Điều này, Ngân hàng Nhà nước chi nhánh Khu vực có văn bản chấp thuận đề nghị của tổ chức tài chính vi mô. Trường hợp không chấp thuận, Ngân hàng Nhà nước chi nhánh Khu vực phải trả lời bằng văn bản và nêu rõ lý do.</w:t>
            </w:r>
          </w:p>
        </w:tc>
        <w:tc>
          <w:tcPr>
            <w:tcW w:w="5812" w:type="dxa"/>
          </w:tcPr>
          <w:p w14:paraId="1280F744" w14:textId="77777777" w:rsidR="00D06F9F" w:rsidRPr="00A200AC" w:rsidRDefault="00D06F9F" w:rsidP="002869BA">
            <w:pPr>
              <w:pStyle w:val="BodyTextIndent"/>
              <w:spacing w:before="0" w:after="120"/>
              <w:ind w:firstLine="0"/>
              <w:contextualSpacing/>
              <w:rPr>
                <w:b/>
                <w:sz w:val="24"/>
                <w:shd w:val="clear" w:color="auto" w:fill="FFFFFF"/>
              </w:rPr>
            </w:pPr>
            <w:r w:rsidRPr="00A200AC">
              <w:rPr>
                <w:b/>
                <w:sz w:val="24"/>
                <w:shd w:val="clear" w:color="auto" w:fill="FFFFFF"/>
              </w:rPr>
              <w:t>Điều 9. Sửa đổi, bổ sung điểm b khoản 2 Điều 26</w:t>
            </w:r>
          </w:p>
          <w:p w14:paraId="7427B4AA" w14:textId="789AB009" w:rsidR="001103AA" w:rsidRPr="002869BA" w:rsidRDefault="00D06F9F" w:rsidP="00A200AC">
            <w:pPr>
              <w:pStyle w:val="BodyTextIndent"/>
              <w:spacing w:before="0" w:after="120"/>
              <w:ind w:firstLine="0"/>
              <w:contextualSpacing/>
              <w:rPr>
                <w:sz w:val="24"/>
                <w:shd w:val="clear" w:color="auto" w:fill="FFFFFF"/>
              </w:rPr>
            </w:pPr>
            <w:r w:rsidRPr="002869BA">
              <w:rPr>
                <w:sz w:val="24"/>
                <w:shd w:val="clear" w:color="auto" w:fill="FFFFFF"/>
              </w:rPr>
              <w:t>Thay thế cụm từ “45 ngày” bằng cụm từ “31 ngày” tại điểm b khoản 2 Điều 26.</w:t>
            </w:r>
          </w:p>
        </w:tc>
        <w:tc>
          <w:tcPr>
            <w:tcW w:w="3969" w:type="dxa"/>
          </w:tcPr>
          <w:p w14:paraId="324AC1F0" w14:textId="093FC62C" w:rsidR="001103AA" w:rsidRPr="00A200AC" w:rsidRDefault="001103AA" w:rsidP="00A200AC">
            <w:pPr>
              <w:spacing w:after="120"/>
              <w:jc w:val="both"/>
              <w:rPr>
                <w:rFonts w:cs="Times New Roman"/>
                <w:sz w:val="24"/>
                <w:szCs w:val="24"/>
              </w:rPr>
            </w:pPr>
            <w:r w:rsidRPr="00A200AC">
              <w:rPr>
                <w:rFonts w:cs="Times New Roman"/>
                <w:sz w:val="24"/>
                <w:szCs w:val="24"/>
              </w:rPr>
              <w:t>Rút ngắn thời gian giải quyết TTHC nhằm thực hiện mục tiêu “</w:t>
            </w:r>
            <w:r w:rsidRPr="00A200AC">
              <w:rPr>
                <w:rFonts w:cs="Times New Roman"/>
                <w:i/>
                <w:sz w:val="24"/>
                <w:szCs w:val="24"/>
              </w:rPr>
              <w:t>giảm ít nhất 30% thời gian giải quyết các TTHC”</w:t>
            </w:r>
            <w:r w:rsidRPr="00A200AC">
              <w:rPr>
                <w:rFonts w:cs="Times New Roman"/>
                <w:sz w:val="24"/>
                <w:szCs w:val="24"/>
              </w:rPr>
              <w:t xml:space="preserve"> quy định tại điểm 1.a Mục II Điều 1 Nghị quyết số 66/NQ-CP.</w:t>
            </w:r>
          </w:p>
        </w:tc>
      </w:tr>
      <w:tr w:rsidR="00A200AC" w:rsidRPr="00A200AC" w14:paraId="5662CB7B" w14:textId="77777777" w:rsidTr="004918D1">
        <w:trPr>
          <w:trHeight w:val="1641"/>
        </w:trPr>
        <w:tc>
          <w:tcPr>
            <w:tcW w:w="709" w:type="dxa"/>
            <w:vAlign w:val="center"/>
          </w:tcPr>
          <w:p w14:paraId="07AF4E80" w14:textId="0B33007D" w:rsidR="001103AA" w:rsidRPr="00A200AC" w:rsidRDefault="004918D1" w:rsidP="00A200AC">
            <w:pPr>
              <w:spacing w:after="120"/>
              <w:jc w:val="center"/>
              <w:rPr>
                <w:rFonts w:cs="Times New Roman"/>
                <w:sz w:val="24"/>
                <w:szCs w:val="24"/>
              </w:rPr>
            </w:pPr>
            <w:r>
              <w:rPr>
                <w:rFonts w:cs="Times New Roman"/>
                <w:sz w:val="24"/>
                <w:szCs w:val="24"/>
              </w:rPr>
              <w:t>10.1</w:t>
            </w:r>
          </w:p>
        </w:tc>
        <w:tc>
          <w:tcPr>
            <w:tcW w:w="5812" w:type="dxa"/>
          </w:tcPr>
          <w:p w14:paraId="6B6340E4" w14:textId="2BEBACC9" w:rsidR="001103AA" w:rsidRPr="00A200AC" w:rsidRDefault="00D06F9F" w:rsidP="00A200AC">
            <w:pPr>
              <w:spacing w:after="120"/>
              <w:rPr>
                <w:rFonts w:cs="Times New Roman"/>
                <w:sz w:val="24"/>
                <w:szCs w:val="24"/>
                <w:lang w:eastAsia="x-none"/>
              </w:rPr>
            </w:pPr>
            <w:r w:rsidRPr="00A200AC">
              <w:rPr>
                <w:rFonts w:cs="Times New Roman"/>
                <w:i/>
                <w:iCs/>
                <w:sz w:val="24"/>
                <w:szCs w:val="24"/>
              </w:rPr>
              <w:t xml:space="preserve">Căn cứ </w:t>
            </w:r>
            <w:bookmarkStart w:id="8" w:name="tvpllink_lfkublldac"/>
            <w:r w:rsidRPr="00A200AC">
              <w:rPr>
                <w:rFonts w:cs="Times New Roman"/>
                <w:i/>
                <w:iCs/>
                <w:sz w:val="24"/>
                <w:szCs w:val="24"/>
              </w:rPr>
              <w:fldChar w:fldCharType="begin"/>
            </w:r>
            <w:r w:rsidRPr="00A200AC">
              <w:rPr>
                <w:rFonts w:cs="Times New Roman"/>
                <w:i/>
                <w:iCs/>
                <w:sz w:val="24"/>
                <w:szCs w:val="24"/>
              </w:rPr>
              <w:instrText xml:space="preserve"> HYPERLINK "https://thuvienphapluat.vn/van-ban/Doanh-nghiep/Luat-Doanh-nghiep-sua-doi-2025-so-76-2025-QH15-659899.aspx" \t "_blank" </w:instrText>
            </w:r>
            <w:r w:rsidRPr="00A200AC">
              <w:rPr>
                <w:rFonts w:cs="Times New Roman"/>
                <w:i/>
                <w:iCs/>
                <w:sz w:val="24"/>
                <w:szCs w:val="24"/>
              </w:rPr>
              <w:fldChar w:fldCharType="separate"/>
            </w:r>
            <w:r w:rsidRPr="00A200AC">
              <w:rPr>
                <w:rStyle w:val="Hyperlink"/>
                <w:rFonts w:cs="Times New Roman"/>
                <w:i/>
                <w:iCs/>
                <w:color w:val="auto"/>
                <w:sz w:val="24"/>
                <w:szCs w:val="24"/>
                <w:u w:val="none"/>
              </w:rPr>
              <w:t>Luật Doanh nghiệp số 76/2025/QH15</w:t>
            </w:r>
            <w:r w:rsidRPr="00A200AC">
              <w:rPr>
                <w:rFonts w:cs="Times New Roman"/>
                <w:i/>
                <w:iCs/>
                <w:sz w:val="24"/>
                <w:szCs w:val="24"/>
              </w:rPr>
              <w:fldChar w:fldCharType="end"/>
            </w:r>
            <w:bookmarkEnd w:id="8"/>
            <w:r w:rsidRPr="00A200AC">
              <w:rPr>
                <w:rFonts w:cs="Times New Roman"/>
                <w:i/>
                <w:iCs/>
                <w:sz w:val="24"/>
                <w:szCs w:val="24"/>
              </w:rPr>
              <w:t>;</w:t>
            </w:r>
          </w:p>
        </w:tc>
        <w:tc>
          <w:tcPr>
            <w:tcW w:w="5812" w:type="dxa"/>
          </w:tcPr>
          <w:p w14:paraId="26168DAE" w14:textId="77777777" w:rsidR="00A200AC" w:rsidRPr="002869BA" w:rsidRDefault="00A200AC" w:rsidP="002869BA">
            <w:pPr>
              <w:pStyle w:val="BodyTextIndent"/>
              <w:spacing w:before="0" w:after="120"/>
              <w:ind w:firstLine="0"/>
              <w:contextualSpacing/>
              <w:rPr>
                <w:b/>
                <w:sz w:val="24"/>
                <w:shd w:val="clear" w:color="auto" w:fill="FFFFFF"/>
                <w:lang w:val="sv-SE"/>
              </w:rPr>
            </w:pPr>
            <w:r w:rsidRPr="002869BA">
              <w:rPr>
                <w:b/>
                <w:sz w:val="24"/>
                <w:shd w:val="clear" w:color="auto" w:fill="FFFFFF"/>
                <w:lang w:val="sv-SE"/>
              </w:rPr>
              <w:t>Điều 10. Sửa đổi, bổ sung nội dung phần căn cứ, phụ lục kèm theo Thông tư số 19/2025/TT-NHNN</w:t>
            </w:r>
          </w:p>
          <w:p w14:paraId="5CCEEC9B" w14:textId="4A461843" w:rsidR="00A200AC" w:rsidRPr="00A200AC" w:rsidRDefault="00A200AC" w:rsidP="002869BA">
            <w:pPr>
              <w:pStyle w:val="BodyTextIndent"/>
              <w:spacing w:before="0" w:after="120"/>
              <w:ind w:firstLine="0"/>
              <w:contextualSpacing/>
              <w:rPr>
                <w:sz w:val="24"/>
                <w:shd w:val="clear" w:color="auto" w:fill="FFFFFF"/>
                <w:lang w:val="sv-SE"/>
              </w:rPr>
            </w:pPr>
            <w:r w:rsidRPr="00A200AC">
              <w:rPr>
                <w:sz w:val="24"/>
                <w:shd w:val="clear" w:color="auto" w:fill="FFFFFF"/>
                <w:lang w:val="sv-SE"/>
              </w:rPr>
              <w:t>1. Thay thế cụm từ ”Căn cứ Luật Doanh nghiệp số 76/2025/QH15” bằng cụm từ ”Căn cứ Luật Doanh nghiệp số 59/2020/QH14;”.</w:t>
            </w:r>
          </w:p>
          <w:p w14:paraId="59BD541A" w14:textId="0B506906" w:rsidR="001103AA" w:rsidRPr="00A200AC" w:rsidRDefault="001103AA" w:rsidP="00A200AC">
            <w:pPr>
              <w:pStyle w:val="BodyTextIndent"/>
              <w:spacing w:before="0" w:after="120"/>
              <w:ind w:firstLine="0"/>
              <w:contextualSpacing/>
              <w:rPr>
                <w:sz w:val="24"/>
              </w:rPr>
            </w:pPr>
          </w:p>
        </w:tc>
        <w:tc>
          <w:tcPr>
            <w:tcW w:w="3969" w:type="dxa"/>
          </w:tcPr>
          <w:p w14:paraId="4F504B3A" w14:textId="3300CA32" w:rsidR="001103AA" w:rsidRPr="00A200AC" w:rsidRDefault="00F635E7" w:rsidP="00A200AC">
            <w:pPr>
              <w:pStyle w:val="Heading1"/>
              <w:spacing w:before="0" w:after="120" w:line="240" w:lineRule="auto"/>
              <w:outlineLvl w:val="0"/>
              <w:rPr>
                <w:b w:val="0"/>
                <w:sz w:val="24"/>
                <w:szCs w:val="24"/>
              </w:rPr>
            </w:pPr>
            <w:r w:rsidRPr="00A200AC">
              <w:rPr>
                <w:b w:val="0"/>
                <w:sz w:val="24"/>
                <w:szCs w:val="24"/>
              </w:rPr>
              <w:t xml:space="preserve">Thay thế để bảo đảm </w:t>
            </w:r>
            <w:r w:rsidRPr="00A200AC">
              <w:rPr>
                <w:rStyle w:val="Strong"/>
                <w:sz w:val="24"/>
                <w:szCs w:val="24"/>
                <w:lang w:val="en-US"/>
              </w:rPr>
              <w:t>tính chính xác của quy định</w:t>
            </w:r>
            <w:r w:rsidRPr="00A200AC">
              <w:rPr>
                <w:b w:val="0"/>
                <w:sz w:val="24"/>
                <w:szCs w:val="24"/>
              </w:rPr>
              <w:t xml:space="preserve"> do Luật Doanh nghiệp số 76/2025/QH15 là văn bản sửa đổi, bổ sung</w:t>
            </w:r>
            <w:r w:rsidRPr="00A200AC">
              <w:rPr>
                <w:b w:val="0"/>
                <w:sz w:val="24"/>
                <w:szCs w:val="24"/>
                <w:lang w:val="en-US"/>
              </w:rPr>
              <w:t xml:space="preserve"> của Luật Doanh nghiệp số 59/2020/QH14</w:t>
            </w:r>
            <w:r w:rsidR="00747DE1" w:rsidRPr="00A200AC">
              <w:rPr>
                <w:b w:val="0"/>
                <w:sz w:val="24"/>
                <w:szCs w:val="24"/>
                <w:lang w:val="en-US"/>
              </w:rPr>
              <w:t xml:space="preserve">. </w:t>
            </w:r>
          </w:p>
        </w:tc>
      </w:tr>
      <w:tr w:rsidR="00A200AC" w:rsidRPr="00A200AC" w14:paraId="4EBD3CA8" w14:textId="77777777" w:rsidTr="004918D1">
        <w:tc>
          <w:tcPr>
            <w:tcW w:w="709" w:type="dxa"/>
            <w:vAlign w:val="center"/>
          </w:tcPr>
          <w:p w14:paraId="65861CB6" w14:textId="70E4C512" w:rsidR="002A1640" w:rsidRPr="00A200AC" w:rsidRDefault="004918D1" w:rsidP="00A200AC">
            <w:pPr>
              <w:spacing w:after="120"/>
              <w:jc w:val="center"/>
              <w:rPr>
                <w:rFonts w:cs="Times New Roman"/>
                <w:sz w:val="24"/>
                <w:szCs w:val="24"/>
              </w:rPr>
            </w:pPr>
            <w:r>
              <w:rPr>
                <w:rFonts w:cs="Times New Roman"/>
                <w:sz w:val="24"/>
                <w:szCs w:val="24"/>
              </w:rPr>
              <w:t>10.2</w:t>
            </w:r>
          </w:p>
        </w:tc>
        <w:tc>
          <w:tcPr>
            <w:tcW w:w="5812" w:type="dxa"/>
          </w:tcPr>
          <w:p w14:paraId="65086E6C" w14:textId="30023F4E" w:rsidR="002A1640" w:rsidRPr="00A200AC" w:rsidRDefault="002A1640" w:rsidP="00A200AC">
            <w:pPr>
              <w:pStyle w:val="Heading1"/>
              <w:spacing w:before="0" w:after="120" w:line="240" w:lineRule="auto"/>
              <w:outlineLvl w:val="0"/>
              <w:rPr>
                <w:b w:val="0"/>
                <w:sz w:val="24"/>
                <w:szCs w:val="24"/>
                <w:lang w:val="en-US"/>
              </w:rPr>
            </w:pPr>
            <w:r w:rsidRPr="00A200AC">
              <w:rPr>
                <w:b w:val="0"/>
                <w:sz w:val="24"/>
                <w:szCs w:val="24"/>
              </w:rPr>
              <w:t>Phụ lục</w:t>
            </w:r>
          </w:p>
        </w:tc>
        <w:tc>
          <w:tcPr>
            <w:tcW w:w="5812" w:type="dxa"/>
          </w:tcPr>
          <w:p w14:paraId="6E6A5C4A" w14:textId="77777777" w:rsidR="00A200AC" w:rsidRPr="00A200AC" w:rsidRDefault="00A200AC" w:rsidP="002869BA">
            <w:pPr>
              <w:pStyle w:val="BodyTextIndent"/>
              <w:spacing w:before="0" w:after="120"/>
              <w:ind w:firstLine="0"/>
              <w:contextualSpacing/>
              <w:rPr>
                <w:sz w:val="24"/>
                <w:shd w:val="clear" w:color="auto" w:fill="FFFFFF"/>
                <w:lang w:val="sv-SE"/>
              </w:rPr>
            </w:pPr>
            <w:r w:rsidRPr="00A200AC">
              <w:rPr>
                <w:sz w:val="24"/>
                <w:shd w:val="clear" w:color="auto" w:fill="FFFFFF"/>
                <w:lang w:val="sv-SE"/>
              </w:rPr>
              <w:t xml:space="preserve">2. Thay thế Phụ lục </w:t>
            </w:r>
            <w:r w:rsidRPr="00A200AC">
              <w:rPr>
                <w:sz w:val="24"/>
                <w:lang w:val="sv-SE"/>
              </w:rPr>
              <w:t>Mẫu văn bản đề nghị chấp thuận thành lập chi nhánh, phòng giao dịch, văn phòng đại diện, đơn vị sự nghiệp của tổ chức tài chính vi mô</w:t>
            </w:r>
            <w:r w:rsidRPr="00A200AC">
              <w:rPr>
                <w:sz w:val="24"/>
                <w:shd w:val="clear" w:color="auto" w:fill="FFFFFF"/>
                <w:lang w:val="sv-SE"/>
              </w:rPr>
              <w:t xml:space="preserve"> ban hành kèm theo Thông tư số 19/2025/TT-NHNN bằng Phụ lục </w:t>
            </w:r>
            <w:r w:rsidRPr="00A200AC">
              <w:rPr>
                <w:sz w:val="24"/>
                <w:lang w:val="sv-SE"/>
              </w:rPr>
              <w:t>Mẫu văn bản đề nghị chấp thuận thành lập chi nhánh, phòng giao dịch, văn phòng đại diện, đơn vị sự nghiệp của tổ chức tài chính vi mô</w:t>
            </w:r>
            <w:r w:rsidRPr="00A200AC">
              <w:rPr>
                <w:sz w:val="24"/>
                <w:shd w:val="clear" w:color="auto" w:fill="FFFFFF"/>
                <w:lang w:val="sv-SE"/>
              </w:rPr>
              <w:t xml:space="preserve"> ban hành kèm theo Thông tư này.</w:t>
            </w:r>
          </w:p>
          <w:p w14:paraId="0F810C30" w14:textId="26D9C207" w:rsidR="002A1640" w:rsidRPr="00A200AC" w:rsidRDefault="002A1640" w:rsidP="00A200AC">
            <w:pPr>
              <w:pStyle w:val="BodyTextIndent"/>
              <w:spacing w:before="0" w:after="120"/>
              <w:ind w:firstLine="0"/>
              <w:contextualSpacing/>
              <w:rPr>
                <w:b/>
                <w:sz w:val="24"/>
                <w:shd w:val="clear" w:color="auto" w:fill="FFFFFF"/>
              </w:rPr>
            </w:pPr>
          </w:p>
        </w:tc>
        <w:tc>
          <w:tcPr>
            <w:tcW w:w="3969" w:type="dxa"/>
          </w:tcPr>
          <w:p w14:paraId="64BD56F1" w14:textId="67DEFD0D" w:rsidR="002A1640" w:rsidRPr="00A200AC" w:rsidRDefault="002A1640" w:rsidP="00A200AC">
            <w:pPr>
              <w:pStyle w:val="Heading1"/>
              <w:spacing w:before="0" w:after="120" w:line="240" w:lineRule="auto"/>
              <w:outlineLvl w:val="0"/>
              <w:rPr>
                <w:b w:val="0"/>
                <w:sz w:val="24"/>
                <w:szCs w:val="24"/>
                <w:lang w:val="en-US"/>
              </w:rPr>
            </w:pPr>
            <w:r w:rsidRPr="00A200AC">
              <w:rPr>
                <w:b w:val="0"/>
                <w:sz w:val="24"/>
                <w:szCs w:val="24"/>
              </w:rPr>
              <w:lastRenderedPageBreak/>
              <w:t xml:space="preserve">Thay thế Phụ lục để </w:t>
            </w:r>
            <w:r w:rsidR="008C1E22" w:rsidRPr="00A200AC">
              <w:rPr>
                <w:b w:val="0"/>
                <w:sz w:val="24"/>
                <w:szCs w:val="24"/>
              </w:rPr>
              <w:t>phù hợp với nội dung sửa đổi, bổ</w:t>
            </w:r>
            <w:r w:rsidRPr="00A200AC">
              <w:rPr>
                <w:b w:val="0"/>
                <w:sz w:val="24"/>
                <w:szCs w:val="24"/>
              </w:rPr>
              <w:t xml:space="preserve"> sung </w:t>
            </w:r>
            <w:r w:rsidR="002869BA">
              <w:rPr>
                <w:b w:val="0"/>
                <w:sz w:val="24"/>
                <w:szCs w:val="24"/>
                <w:lang w:val="en-US"/>
              </w:rPr>
              <w:t xml:space="preserve">tại dự thảo </w:t>
            </w:r>
            <w:r w:rsidRPr="00A200AC">
              <w:rPr>
                <w:b w:val="0"/>
                <w:sz w:val="24"/>
                <w:szCs w:val="24"/>
              </w:rPr>
              <w:t>Thông tư.</w:t>
            </w:r>
          </w:p>
        </w:tc>
      </w:tr>
    </w:tbl>
    <w:p w14:paraId="1B4BB429" w14:textId="2A71BCB5" w:rsidR="005D33BC" w:rsidRPr="00A200AC" w:rsidRDefault="005D33BC" w:rsidP="00A200AC">
      <w:pPr>
        <w:spacing w:after="120" w:line="240" w:lineRule="auto"/>
        <w:jc w:val="both"/>
        <w:rPr>
          <w:rFonts w:cs="Times New Roman"/>
          <w:sz w:val="24"/>
          <w:szCs w:val="24"/>
        </w:rPr>
      </w:pPr>
    </w:p>
    <w:sectPr w:rsidR="005D33BC" w:rsidRPr="00A200AC" w:rsidSect="008543BB">
      <w:headerReference w:type="default" r:id="rId11"/>
      <w:pgSz w:w="16840" w:h="11907" w:orient="landscape" w:code="9"/>
      <w:pgMar w:top="964" w:right="1140" w:bottom="964" w:left="11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689E8" w14:textId="77777777" w:rsidR="00632942" w:rsidRDefault="00632942" w:rsidP="00CF3880">
      <w:pPr>
        <w:spacing w:after="0" w:line="240" w:lineRule="auto"/>
      </w:pPr>
      <w:r>
        <w:separator/>
      </w:r>
    </w:p>
  </w:endnote>
  <w:endnote w:type="continuationSeparator" w:id="0">
    <w:p w14:paraId="2FBD9A98" w14:textId="77777777" w:rsidR="00632942" w:rsidRDefault="00632942" w:rsidP="00CF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EDF6F" w14:textId="77777777" w:rsidR="00632942" w:rsidRDefault="00632942" w:rsidP="00CF3880">
      <w:pPr>
        <w:spacing w:after="0" w:line="240" w:lineRule="auto"/>
      </w:pPr>
      <w:r>
        <w:separator/>
      </w:r>
    </w:p>
  </w:footnote>
  <w:footnote w:type="continuationSeparator" w:id="0">
    <w:p w14:paraId="208CFFBB" w14:textId="77777777" w:rsidR="00632942" w:rsidRDefault="00632942" w:rsidP="00CF3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940976"/>
      <w:docPartObj>
        <w:docPartGallery w:val="Page Numbers (Top of Page)"/>
        <w:docPartUnique/>
      </w:docPartObj>
    </w:sdtPr>
    <w:sdtEndPr>
      <w:rPr>
        <w:noProof/>
        <w:sz w:val="24"/>
        <w:szCs w:val="24"/>
      </w:rPr>
    </w:sdtEndPr>
    <w:sdtContent>
      <w:p w14:paraId="1C21069E" w14:textId="03502A9B" w:rsidR="00361A05" w:rsidRPr="00EA4643" w:rsidRDefault="00361A05">
        <w:pPr>
          <w:pStyle w:val="Header"/>
          <w:jc w:val="center"/>
          <w:rPr>
            <w:sz w:val="24"/>
            <w:szCs w:val="24"/>
          </w:rPr>
        </w:pPr>
        <w:r w:rsidRPr="00EA4643">
          <w:rPr>
            <w:sz w:val="24"/>
            <w:szCs w:val="24"/>
          </w:rPr>
          <w:fldChar w:fldCharType="begin"/>
        </w:r>
        <w:r w:rsidRPr="00EA4643">
          <w:rPr>
            <w:sz w:val="24"/>
            <w:szCs w:val="24"/>
          </w:rPr>
          <w:instrText xml:space="preserve"> PAGE   \* MERGEFORMAT </w:instrText>
        </w:r>
        <w:r w:rsidRPr="00EA4643">
          <w:rPr>
            <w:sz w:val="24"/>
            <w:szCs w:val="24"/>
          </w:rPr>
          <w:fldChar w:fldCharType="separate"/>
        </w:r>
        <w:r w:rsidR="009A08D9">
          <w:rPr>
            <w:noProof/>
            <w:sz w:val="24"/>
            <w:szCs w:val="24"/>
          </w:rPr>
          <w:t>2</w:t>
        </w:r>
        <w:r w:rsidRPr="00EA4643">
          <w:rPr>
            <w:noProof/>
            <w:sz w:val="24"/>
            <w:szCs w:val="24"/>
          </w:rPr>
          <w:fldChar w:fldCharType="end"/>
        </w:r>
      </w:p>
    </w:sdtContent>
  </w:sdt>
  <w:p w14:paraId="0B2743A2" w14:textId="77777777" w:rsidR="00361A05" w:rsidRDefault="00361A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06A7A"/>
    <w:multiLevelType w:val="hybridMultilevel"/>
    <w:tmpl w:val="CBC6227A"/>
    <w:lvl w:ilvl="0" w:tplc="C554DD4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9496C"/>
    <w:multiLevelType w:val="hybridMultilevel"/>
    <w:tmpl w:val="828A6E08"/>
    <w:lvl w:ilvl="0" w:tplc="6E203D0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7B282C"/>
    <w:multiLevelType w:val="hybridMultilevel"/>
    <w:tmpl w:val="5FE2D4D6"/>
    <w:lvl w:ilvl="0" w:tplc="EE863E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D37CF2"/>
    <w:multiLevelType w:val="hybridMultilevel"/>
    <w:tmpl w:val="70ECAD2A"/>
    <w:lvl w:ilvl="0" w:tplc="3E8871BA">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1AFD22D5"/>
    <w:multiLevelType w:val="hybridMultilevel"/>
    <w:tmpl w:val="E53EF6F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1575F"/>
    <w:multiLevelType w:val="hybridMultilevel"/>
    <w:tmpl w:val="5CF0C7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4E0387"/>
    <w:multiLevelType w:val="hybridMultilevel"/>
    <w:tmpl w:val="E9701574"/>
    <w:lvl w:ilvl="0" w:tplc="A85C74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75630"/>
    <w:multiLevelType w:val="hybridMultilevel"/>
    <w:tmpl w:val="35206792"/>
    <w:lvl w:ilvl="0" w:tplc="F0BE34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33271"/>
    <w:multiLevelType w:val="hybridMultilevel"/>
    <w:tmpl w:val="D40A4566"/>
    <w:lvl w:ilvl="0" w:tplc="D74AE9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A307BF6"/>
    <w:multiLevelType w:val="hybridMultilevel"/>
    <w:tmpl w:val="D7B84DF0"/>
    <w:lvl w:ilvl="0" w:tplc="17C8B75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C72AB8"/>
    <w:multiLevelType w:val="multilevel"/>
    <w:tmpl w:val="1E88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3435B3"/>
    <w:multiLevelType w:val="hybridMultilevel"/>
    <w:tmpl w:val="0AC43D6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996D09"/>
    <w:multiLevelType w:val="hybridMultilevel"/>
    <w:tmpl w:val="91447F38"/>
    <w:lvl w:ilvl="0" w:tplc="121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2F0194"/>
    <w:multiLevelType w:val="hybridMultilevel"/>
    <w:tmpl w:val="FD30DD5C"/>
    <w:lvl w:ilvl="0" w:tplc="F9140A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99474A"/>
    <w:multiLevelType w:val="hybridMultilevel"/>
    <w:tmpl w:val="F82EBEA6"/>
    <w:lvl w:ilvl="0" w:tplc="094E6A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6E1421"/>
    <w:multiLevelType w:val="hybridMultilevel"/>
    <w:tmpl w:val="2A3E0B2A"/>
    <w:lvl w:ilvl="0" w:tplc="73A28672">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5"/>
  </w:num>
  <w:num w:numId="4">
    <w:abstractNumId w:val="7"/>
  </w:num>
  <w:num w:numId="5">
    <w:abstractNumId w:val="14"/>
  </w:num>
  <w:num w:numId="6">
    <w:abstractNumId w:val="4"/>
  </w:num>
  <w:num w:numId="7">
    <w:abstractNumId w:val="0"/>
  </w:num>
  <w:num w:numId="8">
    <w:abstractNumId w:val="12"/>
  </w:num>
  <w:num w:numId="9">
    <w:abstractNumId w:val="13"/>
  </w:num>
  <w:num w:numId="10">
    <w:abstractNumId w:val="2"/>
  </w:num>
  <w:num w:numId="11">
    <w:abstractNumId w:val="1"/>
  </w:num>
  <w:num w:numId="12">
    <w:abstractNumId w:val="6"/>
  </w:num>
  <w:num w:numId="13">
    <w:abstractNumId w:val="11"/>
  </w:num>
  <w:num w:numId="14">
    <w:abstractNumId w:val="10"/>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D8"/>
    <w:rsid w:val="000004AC"/>
    <w:rsid w:val="00001045"/>
    <w:rsid w:val="00001A89"/>
    <w:rsid w:val="00002AFF"/>
    <w:rsid w:val="00002DD8"/>
    <w:rsid w:val="00002F1E"/>
    <w:rsid w:val="00004CC8"/>
    <w:rsid w:val="00006323"/>
    <w:rsid w:val="00010324"/>
    <w:rsid w:val="00012CB0"/>
    <w:rsid w:val="00013017"/>
    <w:rsid w:val="00013DA3"/>
    <w:rsid w:val="0001466C"/>
    <w:rsid w:val="00014DF1"/>
    <w:rsid w:val="00014FFF"/>
    <w:rsid w:val="00020F58"/>
    <w:rsid w:val="000235E7"/>
    <w:rsid w:val="0002367E"/>
    <w:rsid w:val="00024125"/>
    <w:rsid w:val="000243F3"/>
    <w:rsid w:val="00027901"/>
    <w:rsid w:val="0003018B"/>
    <w:rsid w:val="000308E9"/>
    <w:rsid w:val="0003393A"/>
    <w:rsid w:val="00033C8C"/>
    <w:rsid w:val="00034522"/>
    <w:rsid w:val="000351C4"/>
    <w:rsid w:val="00035249"/>
    <w:rsid w:val="00035E8E"/>
    <w:rsid w:val="00035F91"/>
    <w:rsid w:val="000365BE"/>
    <w:rsid w:val="00037A63"/>
    <w:rsid w:val="00037B00"/>
    <w:rsid w:val="00037B5B"/>
    <w:rsid w:val="00040C00"/>
    <w:rsid w:val="0004349E"/>
    <w:rsid w:val="000439C2"/>
    <w:rsid w:val="00044212"/>
    <w:rsid w:val="00044421"/>
    <w:rsid w:val="000472C9"/>
    <w:rsid w:val="00047A77"/>
    <w:rsid w:val="00050500"/>
    <w:rsid w:val="000515A3"/>
    <w:rsid w:val="0005253C"/>
    <w:rsid w:val="00053320"/>
    <w:rsid w:val="00054FE9"/>
    <w:rsid w:val="000551C3"/>
    <w:rsid w:val="00055282"/>
    <w:rsid w:val="00055723"/>
    <w:rsid w:val="00055FB4"/>
    <w:rsid w:val="00056667"/>
    <w:rsid w:val="000574CD"/>
    <w:rsid w:val="00057C96"/>
    <w:rsid w:val="00057D17"/>
    <w:rsid w:val="00060D22"/>
    <w:rsid w:val="000612BC"/>
    <w:rsid w:val="00065878"/>
    <w:rsid w:val="000664B1"/>
    <w:rsid w:val="00066629"/>
    <w:rsid w:val="000668B1"/>
    <w:rsid w:val="0006738B"/>
    <w:rsid w:val="00067C9F"/>
    <w:rsid w:val="00072533"/>
    <w:rsid w:val="00072EC3"/>
    <w:rsid w:val="000743FF"/>
    <w:rsid w:val="00081D83"/>
    <w:rsid w:val="00082469"/>
    <w:rsid w:val="000826BB"/>
    <w:rsid w:val="00083F7D"/>
    <w:rsid w:val="0008486B"/>
    <w:rsid w:val="00085E57"/>
    <w:rsid w:val="0008653D"/>
    <w:rsid w:val="00090B7F"/>
    <w:rsid w:val="000945B9"/>
    <w:rsid w:val="0009512C"/>
    <w:rsid w:val="000951DC"/>
    <w:rsid w:val="000961C1"/>
    <w:rsid w:val="000A14A6"/>
    <w:rsid w:val="000A156C"/>
    <w:rsid w:val="000A1E74"/>
    <w:rsid w:val="000A2958"/>
    <w:rsid w:val="000A386C"/>
    <w:rsid w:val="000A63BD"/>
    <w:rsid w:val="000A7641"/>
    <w:rsid w:val="000A77AB"/>
    <w:rsid w:val="000A7B6A"/>
    <w:rsid w:val="000B05F8"/>
    <w:rsid w:val="000B2FBA"/>
    <w:rsid w:val="000B355B"/>
    <w:rsid w:val="000B3DD4"/>
    <w:rsid w:val="000B4588"/>
    <w:rsid w:val="000B62C4"/>
    <w:rsid w:val="000B671B"/>
    <w:rsid w:val="000B68E9"/>
    <w:rsid w:val="000C002E"/>
    <w:rsid w:val="000C03D4"/>
    <w:rsid w:val="000C11D0"/>
    <w:rsid w:val="000C2564"/>
    <w:rsid w:val="000C25DE"/>
    <w:rsid w:val="000C3EE6"/>
    <w:rsid w:val="000C3F0F"/>
    <w:rsid w:val="000C51F2"/>
    <w:rsid w:val="000C5845"/>
    <w:rsid w:val="000C589B"/>
    <w:rsid w:val="000C6026"/>
    <w:rsid w:val="000C617F"/>
    <w:rsid w:val="000C6D2A"/>
    <w:rsid w:val="000C7DEC"/>
    <w:rsid w:val="000D02EC"/>
    <w:rsid w:val="000D07AE"/>
    <w:rsid w:val="000D0AA4"/>
    <w:rsid w:val="000D187F"/>
    <w:rsid w:val="000D1A23"/>
    <w:rsid w:val="000D4CEA"/>
    <w:rsid w:val="000D4F89"/>
    <w:rsid w:val="000D5205"/>
    <w:rsid w:val="000D6B9B"/>
    <w:rsid w:val="000E053F"/>
    <w:rsid w:val="000E1580"/>
    <w:rsid w:val="000E7094"/>
    <w:rsid w:val="000F0914"/>
    <w:rsid w:val="000F3223"/>
    <w:rsid w:val="000F3EC6"/>
    <w:rsid w:val="000F58D4"/>
    <w:rsid w:val="000F5B08"/>
    <w:rsid w:val="000F6E4E"/>
    <w:rsid w:val="000F7B69"/>
    <w:rsid w:val="00105299"/>
    <w:rsid w:val="001056FC"/>
    <w:rsid w:val="00106504"/>
    <w:rsid w:val="001103AA"/>
    <w:rsid w:val="00110515"/>
    <w:rsid w:val="00110F59"/>
    <w:rsid w:val="00111176"/>
    <w:rsid w:val="00112224"/>
    <w:rsid w:val="00113302"/>
    <w:rsid w:val="001160AF"/>
    <w:rsid w:val="00117372"/>
    <w:rsid w:val="00121052"/>
    <w:rsid w:val="00122936"/>
    <w:rsid w:val="00122CB5"/>
    <w:rsid w:val="00124516"/>
    <w:rsid w:val="001250B8"/>
    <w:rsid w:val="00125B0F"/>
    <w:rsid w:val="0012641A"/>
    <w:rsid w:val="00126AEE"/>
    <w:rsid w:val="001278CB"/>
    <w:rsid w:val="00133D96"/>
    <w:rsid w:val="001349FF"/>
    <w:rsid w:val="001357D8"/>
    <w:rsid w:val="00140D5A"/>
    <w:rsid w:val="00141AAE"/>
    <w:rsid w:val="00141AD8"/>
    <w:rsid w:val="00142145"/>
    <w:rsid w:val="0014519A"/>
    <w:rsid w:val="00145AE8"/>
    <w:rsid w:val="00145B5A"/>
    <w:rsid w:val="00145D8D"/>
    <w:rsid w:val="00146B09"/>
    <w:rsid w:val="00147901"/>
    <w:rsid w:val="00147EBA"/>
    <w:rsid w:val="00152914"/>
    <w:rsid w:val="001537A2"/>
    <w:rsid w:val="0015408D"/>
    <w:rsid w:val="00154F17"/>
    <w:rsid w:val="001555E9"/>
    <w:rsid w:val="00155A74"/>
    <w:rsid w:val="00156503"/>
    <w:rsid w:val="0016037D"/>
    <w:rsid w:val="00163410"/>
    <w:rsid w:val="001653DD"/>
    <w:rsid w:val="00165491"/>
    <w:rsid w:val="00165AEF"/>
    <w:rsid w:val="00165BBE"/>
    <w:rsid w:val="00165C43"/>
    <w:rsid w:val="00170A48"/>
    <w:rsid w:val="00171DFD"/>
    <w:rsid w:val="001722A6"/>
    <w:rsid w:val="00172312"/>
    <w:rsid w:val="00172A75"/>
    <w:rsid w:val="00175D25"/>
    <w:rsid w:val="00175DC5"/>
    <w:rsid w:val="00176FEB"/>
    <w:rsid w:val="00177AE2"/>
    <w:rsid w:val="00180DA9"/>
    <w:rsid w:val="00180FBE"/>
    <w:rsid w:val="00181CA1"/>
    <w:rsid w:val="00182DE4"/>
    <w:rsid w:val="00183730"/>
    <w:rsid w:val="00183E93"/>
    <w:rsid w:val="00184489"/>
    <w:rsid w:val="0018493A"/>
    <w:rsid w:val="0018509F"/>
    <w:rsid w:val="00185665"/>
    <w:rsid w:val="00190882"/>
    <w:rsid w:val="001921C2"/>
    <w:rsid w:val="0019263E"/>
    <w:rsid w:val="0019280F"/>
    <w:rsid w:val="00193A0E"/>
    <w:rsid w:val="00193C6E"/>
    <w:rsid w:val="001961A3"/>
    <w:rsid w:val="00196EA4"/>
    <w:rsid w:val="001A0A0D"/>
    <w:rsid w:val="001A0C76"/>
    <w:rsid w:val="001A3C91"/>
    <w:rsid w:val="001A6D27"/>
    <w:rsid w:val="001A7568"/>
    <w:rsid w:val="001B0A2E"/>
    <w:rsid w:val="001B0C63"/>
    <w:rsid w:val="001B12AD"/>
    <w:rsid w:val="001B2E12"/>
    <w:rsid w:val="001B376D"/>
    <w:rsid w:val="001B40C4"/>
    <w:rsid w:val="001B464C"/>
    <w:rsid w:val="001B5460"/>
    <w:rsid w:val="001B555F"/>
    <w:rsid w:val="001B5777"/>
    <w:rsid w:val="001C2C62"/>
    <w:rsid w:val="001C4A63"/>
    <w:rsid w:val="001C57AA"/>
    <w:rsid w:val="001C5BE2"/>
    <w:rsid w:val="001C79A6"/>
    <w:rsid w:val="001D076C"/>
    <w:rsid w:val="001D14BD"/>
    <w:rsid w:val="001D26BC"/>
    <w:rsid w:val="001D2F19"/>
    <w:rsid w:val="001D3E78"/>
    <w:rsid w:val="001D52EB"/>
    <w:rsid w:val="001D568E"/>
    <w:rsid w:val="001D6D0E"/>
    <w:rsid w:val="001D79C2"/>
    <w:rsid w:val="001D7A51"/>
    <w:rsid w:val="001E26F9"/>
    <w:rsid w:val="001E2DBE"/>
    <w:rsid w:val="001E38F8"/>
    <w:rsid w:val="001E4DC0"/>
    <w:rsid w:val="001E555C"/>
    <w:rsid w:val="001E59E2"/>
    <w:rsid w:val="001E5DCE"/>
    <w:rsid w:val="001E776B"/>
    <w:rsid w:val="001E7B3F"/>
    <w:rsid w:val="001E7C77"/>
    <w:rsid w:val="001F0A0B"/>
    <w:rsid w:val="001F121E"/>
    <w:rsid w:val="001F3286"/>
    <w:rsid w:val="001F341D"/>
    <w:rsid w:val="001F4E63"/>
    <w:rsid w:val="001F754D"/>
    <w:rsid w:val="0020079B"/>
    <w:rsid w:val="002007FA"/>
    <w:rsid w:val="00200BB9"/>
    <w:rsid w:val="00203B6D"/>
    <w:rsid w:val="00203DD2"/>
    <w:rsid w:val="00210919"/>
    <w:rsid w:val="00211A43"/>
    <w:rsid w:val="00211EC8"/>
    <w:rsid w:val="00212ED9"/>
    <w:rsid w:val="00213723"/>
    <w:rsid w:val="0021605F"/>
    <w:rsid w:val="0022080D"/>
    <w:rsid w:val="00221216"/>
    <w:rsid w:val="002213EC"/>
    <w:rsid w:val="002217EB"/>
    <w:rsid w:val="00223048"/>
    <w:rsid w:val="0022710E"/>
    <w:rsid w:val="002271D4"/>
    <w:rsid w:val="00232897"/>
    <w:rsid w:val="0023360F"/>
    <w:rsid w:val="0023409A"/>
    <w:rsid w:val="0023431F"/>
    <w:rsid w:val="00235EAD"/>
    <w:rsid w:val="00236353"/>
    <w:rsid w:val="00237697"/>
    <w:rsid w:val="00237C0D"/>
    <w:rsid w:val="00240784"/>
    <w:rsid w:val="0024108B"/>
    <w:rsid w:val="00242790"/>
    <w:rsid w:val="002434F0"/>
    <w:rsid w:val="00243A3D"/>
    <w:rsid w:val="002479BD"/>
    <w:rsid w:val="002479CE"/>
    <w:rsid w:val="002505AD"/>
    <w:rsid w:val="002506D8"/>
    <w:rsid w:val="00250B6A"/>
    <w:rsid w:val="00251623"/>
    <w:rsid w:val="00251AB5"/>
    <w:rsid w:val="0025262B"/>
    <w:rsid w:val="00252663"/>
    <w:rsid w:val="00255169"/>
    <w:rsid w:val="00256719"/>
    <w:rsid w:val="00260E74"/>
    <w:rsid w:val="0026378A"/>
    <w:rsid w:val="002639D1"/>
    <w:rsid w:val="00263C73"/>
    <w:rsid w:val="00265594"/>
    <w:rsid w:val="002661DC"/>
    <w:rsid w:val="00266F85"/>
    <w:rsid w:val="00270EE6"/>
    <w:rsid w:val="00273613"/>
    <w:rsid w:val="00273E1D"/>
    <w:rsid w:val="0028074F"/>
    <w:rsid w:val="00281729"/>
    <w:rsid w:val="00281D1F"/>
    <w:rsid w:val="0028284B"/>
    <w:rsid w:val="0028358C"/>
    <w:rsid w:val="002842CA"/>
    <w:rsid w:val="002869BA"/>
    <w:rsid w:val="00287BC6"/>
    <w:rsid w:val="00290653"/>
    <w:rsid w:val="0029172B"/>
    <w:rsid w:val="00291752"/>
    <w:rsid w:val="00291906"/>
    <w:rsid w:val="00293F19"/>
    <w:rsid w:val="00296D17"/>
    <w:rsid w:val="0029722F"/>
    <w:rsid w:val="002A1640"/>
    <w:rsid w:val="002A1C31"/>
    <w:rsid w:val="002A1DC7"/>
    <w:rsid w:val="002A1DE0"/>
    <w:rsid w:val="002A3C7B"/>
    <w:rsid w:val="002A5A87"/>
    <w:rsid w:val="002A7001"/>
    <w:rsid w:val="002A7619"/>
    <w:rsid w:val="002B015E"/>
    <w:rsid w:val="002B08C1"/>
    <w:rsid w:val="002B095B"/>
    <w:rsid w:val="002B0BF0"/>
    <w:rsid w:val="002B12A0"/>
    <w:rsid w:val="002B37A9"/>
    <w:rsid w:val="002B382D"/>
    <w:rsid w:val="002B404C"/>
    <w:rsid w:val="002B55C2"/>
    <w:rsid w:val="002B6395"/>
    <w:rsid w:val="002B7367"/>
    <w:rsid w:val="002B7BF3"/>
    <w:rsid w:val="002B7D98"/>
    <w:rsid w:val="002C0004"/>
    <w:rsid w:val="002C0D82"/>
    <w:rsid w:val="002C1DDF"/>
    <w:rsid w:val="002C4226"/>
    <w:rsid w:val="002C430A"/>
    <w:rsid w:val="002C474C"/>
    <w:rsid w:val="002C4B27"/>
    <w:rsid w:val="002C72E7"/>
    <w:rsid w:val="002C77F5"/>
    <w:rsid w:val="002C7AAF"/>
    <w:rsid w:val="002D0374"/>
    <w:rsid w:val="002D05EE"/>
    <w:rsid w:val="002D0B61"/>
    <w:rsid w:val="002D0D68"/>
    <w:rsid w:val="002D1C0E"/>
    <w:rsid w:val="002D2120"/>
    <w:rsid w:val="002D262D"/>
    <w:rsid w:val="002D3083"/>
    <w:rsid w:val="002D35FF"/>
    <w:rsid w:val="002D3F1E"/>
    <w:rsid w:val="002D550D"/>
    <w:rsid w:val="002D6174"/>
    <w:rsid w:val="002D6298"/>
    <w:rsid w:val="002D7D7A"/>
    <w:rsid w:val="002E130C"/>
    <w:rsid w:val="002E255D"/>
    <w:rsid w:val="002E31D6"/>
    <w:rsid w:val="002E3580"/>
    <w:rsid w:val="002E41BC"/>
    <w:rsid w:val="002E4D62"/>
    <w:rsid w:val="002E51BE"/>
    <w:rsid w:val="002E6399"/>
    <w:rsid w:val="002E7361"/>
    <w:rsid w:val="002E7742"/>
    <w:rsid w:val="002F2E51"/>
    <w:rsid w:val="002F3672"/>
    <w:rsid w:val="002F397D"/>
    <w:rsid w:val="002F3F75"/>
    <w:rsid w:val="002F550C"/>
    <w:rsid w:val="002F57EB"/>
    <w:rsid w:val="002F5845"/>
    <w:rsid w:val="003004E9"/>
    <w:rsid w:val="003007C1"/>
    <w:rsid w:val="00300E78"/>
    <w:rsid w:val="00306B7C"/>
    <w:rsid w:val="00311716"/>
    <w:rsid w:val="003138E4"/>
    <w:rsid w:val="00313FEA"/>
    <w:rsid w:val="00314028"/>
    <w:rsid w:val="0031434D"/>
    <w:rsid w:val="00314AA9"/>
    <w:rsid w:val="00315818"/>
    <w:rsid w:val="00316051"/>
    <w:rsid w:val="003160EF"/>
    <w:rsid w:val="00316E50"/>
    <w:rsid w:val="00320079"/>
    <w:rsid w:val="00320EA6"/>
    <w:rsid w:val="003215CD"/>
    <w:rsid w:val="0032254E"/>
    <w:rsid w:val="0032385C"/>
    <w:rsid w:val="0032490B"/>
    <w:rsid w:val="003267C6"/>
    <w:rsid w:val="00330009"/>
    <w:rsid w:val="00330FCB"/>
    <w:rsid w:val="003319BF"/>
    <w:rsid w:val="00331D96"/>
    <w:rsid w:val="00332739"/>
    <w:rsid w:val="00333083"/>
    <w:rsid w:val="003337FC"/>
    <w:rsid w:val="00334F84"/>
    <w:rsid w:val="00335C04"/>
    <w:rsid w:val="003370DE"/>
    <w:rsid w:val="003378E8"/>
    <w:rsid w:val="0034115B"/>
    <w:rsid w:val="00341C5E"/>
    <w:rsid w:val="003420B6"/>
    <w:rsid w:val="003439CB"/>
    <w:rsid w:val="00345972"/>
    <w:rsid w:val="00345C16"/>
    <w:rsid w:val="00350E4A"/>
    <w:rsid w:val="003533E8"/>
    <w:rsid w:val="00353977"/>
    <w:rsid w:val="00357690"/>
    <w:rsid w:val="00357BFE"/>
    <w:rsid w:val="00360902"/>
    <w:rsid w:val="00361A05"/>
    <w:rsid w:val="0036239B"/>
    <w:rsid w:val="0036258A"/>
    <w:rsid w:val="003627E0"/>
    <w:rsid w:val="00362B27"/>
    <w:rsid w:val="00362E41"/>
    <w:rsid w:val="00363508"/>
    <w:rsid w:val="00363A8A"/>
    <w:rsid w:val="0036468E"/>
    <w:rsid w:val="00364843"/>
    <w:rsid w:val="00364FD2"/>
    <w:rsid w:val="003678B7"/>
    <w:rsid w:val="00370214"/>
    <w:rsid w:val="00370374"/>
    <w:rsid w:val="0037081F"/>
    <w:rsid w:val="00370914"/>
    <w:rsid w:val="0037097A"/>
    <w:rsid w:val="00373D98"/>
    <w:rsid w:val="0037660C"/>
    <w:rsid w:val="003771D3"/>
    <w:rsid w:val="003777D4"/>
    <w:rsid w:val="00380D39"/>
    <w:rsid w:val="00382456"/>
    <w:rsid w:val="003829FF"/>
    <w:rsid w:val="00382C9C"/>
    <w:rsid w:val="0038500E"/>
    <w:rsid w:val="0038767F"/>
    <w:rsid w:val="00387713"/>
    <w:rsid w:val="003900D7"/>
    <w:rsid w:val="00392391"/>
    <w:rsid w:val="00394098"/>
    <w:rsid w:val="003944A0"/>
    <w:rsid w:val="00394CF8"/>
    <w:rsid w:val="00395776"/>
    <w:rsid w:val="003961AD"/>
    <w:rsid w:val="003A26A1"/>
    <w:rsid w:val="003A2EAB"/>
    <w:rsid w:val="003A35D2"/>
    <w:rsid w:val="003A44A3"/>
    <w:rsid w:val="003A47F2"/>
    <w:rsid w:val="003A5D71"/>
    <w:rsid w:val="003A7C8F"/>
    <w:rsid w:val="003B1038"/>
    <w:rsid w:val="003B1D4D"/>
    <w:rsid w:val="003B1F05"/>
    <w:rsid w:val="003B437F"/>
    <w:rsid w:val="003B5903"/>
    <w:rsid w:val="003B7474"/>
    <w:rsid w:val="003B7D0F"/>
    <w:rsid w:val="003C0E20"/>
    <w:rsid w:val="003C108F"/>
    <w:rsid w:val="003C1A93"/>
    <w:rsid w:val="003C4960"/>
    <w:rsid w:val="003C4C75"/>
    <w:rsid w:val="003C5073"/>
    <w:rsid w:val="003C7483"/>
    <w:rsid w:val="003C776F"/>
    <w:rsid w:val="003D0E11"/>
    <w:rsid w:val="003D2E00"/>
    <w:rsid w:val="003D34C8"/>
    <w:rsid w:val="003D3E14"/>
    <w:rsid w:val="003D63F6"/>
    <w:rsid w:val="003D706E"/>
    <w:rsid w:val="003E3C3C"/>
    <w:rsid w:val="003E4C3E"/>
    <w:rsid w:val="003E54FA"/>
    <w:rsid w:val="003E6539"/>
    <w:rsid w:val="003E6A3C"/>
    <w:rsid w:val="003E6AB5"/>
    <w:rsid w:val="003E7CBA"/>
    <w:rsid w:val="003F08E6"/>
    <w:rsid w:val="003F5065"/>
    <w:rsid w:val="003F5564"/>
    <w:rsid w:val="003F5CDF"/>
    <w:rsid w:val="003F633E"/>
    <w:rsid w:val="003F7BB6"/>
    <w:rsid w:val="004000E1"/>
    <w:rsid w:val="004005DD"/>
    <w:rsid w:val="00400847"/>
    <w:rsid w:val="00400CB0"/>
    <w:rsid w:val="004013A4"/>
    <w:rsid w:val="004018ED"/>
    <w:rsid w:val="00403316"/>
    <w:rsid w:val="00403F72"/>
    <w:rsid w:val="00404686"/>
    <w:rsid w:val="00405492"/>
    <w:rsid w:val="004059FE"/>
    <w:rsid w:val="004072C3"/>
    <w:rsid w:val="00407EBE"/>
    <w:rsid w:val="00412744"/>
    <w:rsid w:val="00413541"/>
    <w:rsid w:val="00415A6B"/>
    <w:rsid w:val="00417ED0"/>
    <w:rsid w:val="0042034A"/>
    <w:rsid w:val="004205B6"/>
    <w:rsid w:val="004206C4"/>
    <w:rsid w:val="00421975"/>
    <w:rsid w:val="004231FE"/>
    <w:rsid w:val="004238E8"/>
    <w:rsid w:val="004245D2"/>
    <w:rsid w:val="00424BF4"/>
    <w:rsid w:val="00424E37"/>
    <w:rsid w:val="00425272"/>
    <w:rsid w:val="0042583A"/>
    <w:rsid w:val="00425E7D"/>
    <w:rsid w:val="00427D57"/>
    <w:rsid w:val="00430FDC"/>
    <w:rsid w:val="00433237"/>
    <w:rsid w:val="00434D4C"/>
    <w:rsid w:val="00435761"/>
    <w:rsid w:val="00436FDC"/>
    <w:rsid w:val="00437658"/>
    <w:rsid w:val="00437B52"/>
    <w:rsid w:val="004406F0"/>
    <w:rsid w:val="004409A1"/>
    <w:rsid w:val="0044109F"/>
    <w:rsid w:val="0044178E"/>
    <w:rsid w:val="004450BA"/>
    <w:rsid w:val="004451CC"/>
    <w:rsid w:val="004462D5"/>
    <w:rsid w:val="004509D2"/>
    <w:rsid w:val="00450A02"/>
    <w:rsid w:val="00452DEA"/>
    <w:rsid w:val="00453490"/>
    <w:rsid w:val="004538D4"/>
    <w:rsid w:val="00453F88"/>
    <w:rsid w:val="004540EA"/>
    <w:rsid w:val="00454569"/>
    <w:rsid w:val="00454C7A"/>
    <w:rsid w:val="00455FDB"/>
    <w:rsid w:val="00457AFC"/>
    <w:rsid w:val="00461449"/>
    <w:rsid w:val="004618CE"/>
    <w:rsid w:val="004619A3"/>
    <w:rsid w:val="00461FDF"/>
    <w:rsid w:val="00464570"/>
    <w:rsid w:val="00465191"/>
    <w:rsid w:val="0046590E"/>
    <w:rsid w:val="00470EF5"/>
    <w:rsid w:val="0047150E"/>
    <w:rsid w:val="004734FC"/>
    <w:rsid w:val="0047577F"/>
    <w:rsid w:val="00475AFE"/>
    <w:rsid w:val="004768FC"/>
    <w:rsid w:val="004770D1"/>
    <w:rsid w:val="004803D8"/>
    <w:rsid w:val="0048134F"/>
    <w:rsid w:val="0048231D"/>
    <w:rsid w:val="00482C2A"/>
    <w:rsid w:val="004832BA"/>
    <w:rsid w:val="004834B0"/>
    <w:rsid w:val="00484DC6"/>
    <w:rsid w:val="00485E54"/>
    <w:rsid w:val="0048612E"/>
    <w:rsid w:val="00486291"/>
    <w:rsid w:val="0049155D"/>
    <w:rsid w:val="004918D1"/>
    <w:rsid w:val="004927A9"/>
    <w:rsid w:val="004937D9"/>
    <w:rsid w:val="00493E97"/>
    <w:rsid w:val="00493FDA"/>
    <w:rsid w:val="0049506C"/>
    <w:rsid w:val="00495145"/>
    <w:rsid w:val="0049577A"/>
    <w:rsid w:val="00496894"/>
    <w:rsid w:val="00496A75"/>
    <w:rsid w:val="004A0811"/>
    <w:rsid w:val="004A0BBD"/>
    <w:rsid w:val="004A22FB"/>
    <w:rsid w:val="004A2938"/>
    <w:rsid w:val="004A49D6"/>
    <w:rsid w:val="004A4B37"/>
    <w:rsid w:val="004A5F25"/>
    <w:rsid w:val="004B0D0D"/>
    <w:rsid w:val="004B3678"/>
    <w:rsid w:val="004B37B7"/>
    <w:rsid w:val="004B3EBE"/>
    <w:rsid w:val="004B4065"/>
    <w:rsid w:val="004B55CF"/>
    <w:rsid w:val="004B6E9F"/>
    <w:rsid w:val="004C2A98"/>
    <w:rsid w:val="004C38FE"/>
    <w:rsid w:val="004C5D68"/>
    <w:rsid w:val="004C5DC7"/>
    <w:rsid w:val="004C7264"/>
    <w:rsid w:val="004C7F64"/>
    <w:rsid w:val="004D0463"/>
    <w:rsid w:val="004D08D6"/>
    <w:rsid w:val="004D1DB6"/>
    <w:rsid w:val="004D315E"/>
    <w:rsid w:val="004D366F"/>
    <w:rsid w:val="004E0527"/>
    <w:rsid w:val="004E09EC"/>
    <w:rsid w:val="004E12B6"/>
    <w:rsid w:val="004E16B9"/>
    <w:rsid w:val="004E1849"/>
    <w:rsid w:val="004E3E9B"/>
    <w:rsid w:val="004E5F93"/>
    <w:rsid w:val="004E6171"/>
    <w:rsid w:val="004F1D96"/>
    <w:rsid w:val="004F1E87"/>
    <w:rsid w:val="004F275E"/>
    <w:rsid w:val="004F27BF"/>
    <w:rsid w:val="004F2C34"/>
    <w:rsid w:val="004F3047"/>
    <w:rsid w:val="004F33A8"/>
    <w:rsid w:val="004F3A6C"/>
    <w:rsid w:val="004F4CF4"/>
    <w:rsid w:val="004F5B46"/>
    <w:rsid w:val="004F67F0"/>
    <w:rsid w:val="004F685E"/>
    <w:rsid w:val="00500DF1"/>
    <w:rsid w:val="00504E97"/>
    <w:rsid w:val="0050608B"/>
    <w:rsid w:val="005100AD"/>
    <w:rsid w:val="00510243"/>
    <w:rsid w:val="00511A26"/>
    <w:rsid w:val="005126C0"/>
    <w:rsid w:val="0051365E"/>
    <w:rsid w:val="005157BC"/>
    <w:rsid w:val="005158CF"/>
    <w:rsid w:val="00515F0C"/>
    <w:rsid w:val="0052206D"/>
    <w:rsid w:val="00522494"/>
    <w:rsid w:val="005224FF"/>
    <w:rsid w:val="005230EB"/>
    <w:rsid w:val="005243C2"/>
    <w:rsid w:val="005252F8"/>
    <w:rsid w:val="005277D3"/>
    <w:rsid w:val="0053079D"/>
    <w:rsid w:val="0053189F"/>
    <w:rsid w:val="005322D8"/>
    <w:rsid w:val="00532D82"/>
    <w:rsid w:val="005340B8"/>
    <w:rsid w:val="00535224"/>
    <w:rsid w:val="00535347"/>
    <w:rsid w:val="00536BEE"/>
    <w:rsid w:val="00536DA1"/>
    <w:rsid w:val="005377CF"/>
    <w:rsid w:val="0054103A"/>
    <w:rsid w:val="00541135"/>
    <w:rsid w:val="00541AB0"/>
    <w:rsid w:val="00541B57"/>
    <w:rsid w:val="00541C9F"/>
    <w:rsid w:val="00542AFA"/>
    <w:rsid w:val="00545AC1"/>
    <w:rsid w:val="00547CEE"/>
    <w:rsid w:val="00551082"/>
    <w:rsid w:val="0055228A"/>
    <w:rsid w:val="00554065"/>
    <w:rsid w:val="005550FF"/>
    <w:rsid w:val="0055559B"/>
    <w:rsid w:val="00555B30"/>
    <w:rsid w:val="00555E6D"/>
    <w:rsid w:val="00556EC5"/>
    <w:rsid w:val="005571EE"/>
    <w:rsid w:val="00560489"/>
    <w:rsid w:val="00562EF3"/>
    <w:rsid w:val="005634C6"/>
    <w:rsid w:val="00563C5E"/>
    <w:rsid w:val="00564474"/>
    <w:rsid w:val="005678AD"/>
    <w:rsid w:val="00571C0E"/>
    <w:rsid w:val="00571F96"/>
    <w:rsid w:val="00572DF6"/>
    <w:rsid w:val="0057533B"/>
    <w:rsid w:val="005770D2"/>
    <w:rsid w:val="00577252"/>
    <w:rsid w:val="0058019A"/>
    <w:rsid w:val="00582108"/>
    <w:rsid w:val="00582230"/>
    <w:rsid w:val="00583D0A"/>
    <w:rsid w:val="005854DA"/>
    <w:rsid w:val="0058602D"/>
    <w:rsid w:val="00586CC3"/>
    <w:rsid w:val="00590A33"/>
    <w:rsid w:val="005929F7"/>
    <w:rsid w:val="00594B83"/>
    <w:rsid w:val="00594F50"/>
    <w:rsid w:val="00595CEB"/>
    <w:rsid w:val="0059678B"/>
    <w:rsid w:val="00597D50"/>
    <w:rsid w:val="005A04FA"/>
    <w:rsid w:val="005A0BE4"/>
    <w:rsid w:val="005A25E8"/>
    <w:rsid w:val="005A274B"/>
    <w:rsid w:val="005A33DC"/>
    <w:rsid w:val="005A44BC"/>
    <w:rsid w:val="005A4BB8"/>
    <w:rsid w:val="005A53F6"/>
    <w:rsid w:val="005A6004"/>
    <w:rsid w:val="005A72EF"/>
    <w:rsid w:val="005B03E0"/>
    <w:rsid w:val="005B196F"/>
    <w:rsid w:val="005B216A"/>
    <w:rsid w:val="005B2A6B"/>
    <w:rsid w:val="005B5332"/>
    <w:rsid w:val="005B6703"/>
    <w:rsid w:val="005B6A95"/>
    <w:rsid w:val="005B7824"/>
    <w:rsid w:val="005C10EE"/>
    <w:rsid w:val="005C18A0"/>
    <w:rsid w:val="005C26EA"/>
    <w:rsid w:val="005C3649"/>
    <w:rsid w:val="005C594D"/>
    <w:rsid w:val="005C7C3E"/>
    <w:rsid w:val="005D33BC"/>
    <w:rsid w:val="005D3765"/>
    <w:rsid w:val="005D3791"/>
    <w:rsid w:val="005D5218"/>
    <w:rsid w:val="005D5C57"/>
    <w:rsid w:val="005D75BC"/>
    <w:rsid w:val="005E0825"/>
    <w:rsid w:val="005E13B1"/>
    <w:rsid w:val="005E26D3"/>
    <w:rsid w:val="005E3238"/>
    <w:rsid w:val="005E3BE4"/>
    <w:rsid w:val="005E3F8B"/>
    <w:rsid w:val="005E4456"/>
    <w:rsid w:val="005E609C"/>
    <w:rsid w:val="005E625F"/>
    <w:rsid w:val="005E640D"/>
    <w:rsid w:val="005E7281"/>
    <w:rsid w:val="005F4CDE"/>
    <w:rsid w:val="005F59B5"/>
    <w:rsid w:val="005F6859"/>
    <w:rsid w:val="005F7D94"/>
    <w:rsid w:val="0060016D"/>
    <w:rsid w:val="0060065E"/>
    <w:rsid w:val="00601716"/>
    <w:rsid w:val="00601CCE"/>
    <w:rsid w:val="00602D19"/>
    <w:rsid w:val="006037CA"/>
    <w:rsid w:val="00604222"/>
    <w:rsid w:val="0060445F"/>
    <w:rsid w:val="0060469C"/>
    <w:rsid w:val="00605AA7"/>
    <w:rsid w:val="0060692D"/>
    <w:rsid w:val="0061075C"/>
    <w:rsid w:val="006207FA"/>
    <w:rsid w:val="0062204E"/>
    <w:rsid w:val="0062226E"/>
    <w:rsid w:val="006226AC"/>
    <w:rsid w:val="00622E35"/>
    <w:rsid w:val="00622FF3"/>
    <w:rsid w:val="00623145"/>
    <w:rsid w:val="0062341D"/>
    <w:rsid w:val="00625172"/>
    <w:rsid w:val="00626049"/>
    <w:rsid w:val="0063044B"/>
    <w:rsid w:val="00632942"/>
    <w:rsid w:val="00633858"/>
    <w:rsid w:val="00634826"/>
    <w:rsid w:val="00634AFB"/>
    <w:rsid w:val="00635A85"/>
    <w:rsid w:val="00637A36"/>
    <w:rsid w:val="00640501"/>
    <w:rsid w:val="00642ECA"/>
    <w:rsid w:val="00644096"/>
    <w:rsid w:val="0064426E"/>
    <w:rsid w:val="00644379"/>
    <w:rsid w:val="006462B3"/>
    <w:rsid w:val="00647F33"/>
    <w:rsid w:val="0065004C"/>
    <w:rsid w:val="006502C8"/>
    <w:rsid w:val="00653194"/>
    <w:rsid w:val="0065350B"/>
    <w:rsid w:val="0065465A"/>
    <w:rsid w:val="00655C7D"/>
    <w:rsid w:val="00657431"/>
    <w:rsid w:val="00661842"/>
    <w:rsid w:val="0066199E"/>
    <w:rsid w:val="00661C91"/>
    <w:rsid w:val="00663255"/>
    <w:rsid w:val="00666C9A"/>
    <w:rsid w:val="00666E7E"/>
    <w:rsid w:val="00670F33"/>
    <w:rsid w:val="00672933"/>
    <w:rsid w:val="006734F3"/>
    <w:rsid w:val="006739B0"/>
    <w:rsid w:val="0067408D"/>
    <w:rsid w:val="0067581C"/>
    <w:rsid w:val="0067622D"/>
    <w:rsid w:val="0067630F"/>
    <w:rsid w:val="00676674"/>
    <w:rsid w:val="00676688"/>
    <w:rsid w:val="006768F3"/>
    <w:rsid w:val="00676D2F"/>
    <w:rsid w:val="00681677"/>
    <w:rsid w:val="00683183"/>
    <w:rsid w:val="006831EB"/>
    <w:rsid w:val="00683969"/>
    <w:rsid w:val="0068521A"/>
    <w:rsid w:val="0069037B"/>
    <w:rsid w:val="0069104C"/>
    <w:rsid w:val="00692056"/>
    <w:rsid w:val="006922BF"/>
    <w:rsid w:val="006960D5"/>
    <w:rsid w:val="00696CC2"/>
    <w:rsid w:val="00697F52"/>
    <w:rsid w:val="006A031B"/>
    <w:rsid w:val="006A2009"/>
    <w:rsid w:val="006A2120"/>
    <w:rsid w:val="006A229D"/>
    <w:rsid w:val="006A47FE"/>
    <w:rsid w:val="006B0667"/>
    <w:rsid w:val="006B08D2"/>
    <w:rsid w:val="006B1973"/>
    <w:rsid w:val="006B5412"/>
    <w:rsid w:val="006B5AC0"/>
    <w:rsid w:val="006B5F7A"/>
    <w:rsid w:val="006B6662"/>
    <w:rsid w:val="006B70FB"/>
    <w:rsid w:val="006B7AF4"/>
    <w:rsid w:val="006C0178"/>
    <w:rsid w:val="006C0565"/>
    <w:rsid w:val="006C0773"/>
    <w:rsid w:val="006C3B87"/>
    <w:rsid w:val="006C3EF5"/>
    <w:rsid w:val="006C40AC"/>
    <w:rsid w:val="006C55D2"/>
    <w:rsid w:val="006D1D8E"/>
    <w:rsid w:val="006D2C92"/>
    <w:rsid w:val="006D2D2D"/>
    <w:rsid w:val="006D4CF8"/>
    <w:rsid w:val="006D4F9E"/>
    <w:rsid w:val="006D692F"/>
    <w:rsid w:val="006D79C7"/>
    <w:rsid w:val="006D7D5F"/>
    <w:rsid w:val="006D7F32"/>
    <w:rsid w:val="006E167F"/>
    <w:rsid w:val="006E2901"/>
    <w:rsid w:val="006E4023"/>
    <w:rsid w:val="006E43A4"/>
    <w:rsid w:val="006E6153"/>
    <w:rsid w:val="006E7100"/>
    <w:rsid w:val="006E722A"/>
    <w:rsid w:val="006E7E67"/>
    <w:rsid w:val="006F0457"/>
    <w:rsid w:val="006F2830"/>
    <w:rsid w:val="006F396D"/>
    <w:rsid w:val="006F5657"/>
    <w:rsid w:val="006F6F6D"/>
    <w:rsid w:val="007008CF"/>
    <w:rsid w:val="00702AB4"/>
    <w:rsid w:val="00705A32"/>
    <w:rsid w:val="00705BA8"/>
    <w:rsid w:val="00707298"/>
    <w:rsid w:val="00707825"/>
    <w:rsid w:val="007079AB"/>
    <w:rsid w:val="007114DD"/>
    <w:rsid w:val="00713E9D"/>
    <w:rsid w:val="007152E7"/>
    <w:rsid w:val="007159B7"/>
    <w:rsid w:val="00716E36"/>
    <w:rsid w:val="007176DB"/>
    <w:rsid w:val="00717F93"/>
    <w:rsid w:val="0072417F"/>
    <w:rsid w:val="00724A1D"/>
    <w:rsid w:val="007273E4"/>
    <w:rsid w:val="007279CA"/>
    <w:rsid w:val="00727DAF"/>
    <w:rsid w:val="0073046F"/>
    <w:rsid w:val="00730A1E"/>
    <w:rsid w:val="00730BF7"/>
    <w:rsid w:val="007319C2"/>
    <w:rsid w:val="00731B76"/>
    <w:rsid w:val="00731D77"/>
    <w:rsid w:val="007346FF"/>
    <w:rsid w:val="007354FA"/>
    <w:rsid w:val="00736417"/>
    <w:rsid w:val="00736475"/>
    <w:rsid w:val="00736E42"/>
    <w:rsid w:val="0073775B"/>
    <w:rsid w:val="00737954"/>
    <w:rsid w:val="0074199D"/>
    <w:rsid w:val="00741B98"/>
    <w:rsid w:val="007429E3"/>
    <w:rsid w:val="00742DF6"/>
    <w:rsid w:val="007443E5"/>
    <w:rsid w:val="00744FB8"/>
    <w:rsid w:val="007458C2"/>
    <w:rsid w:val="00746421"/>
    <w:rsid w:val="00746E68"/>
    <w:rsid w:val="00747DE1"/>
    <w:rsid w:val="00751C40"/>
    <w:rsid w:val="00754396"/>
    <w:rsid w:val="007544A2"/>
    <w:rsid w:val="00754770"/>
    <w:rsid w:val="00755A12"/>
    <w:rsid w:val="007619D7"/>
    <w:rsid w:val="00763480"/>
    <w:rsid w:val="0076382E"/>
    <w:rsid w:val="00765859"/>
    <w:rsid w:val="00765F26"/>
    <w:rsid w:val="00766909"/>
    <w:rsid w:val="007674DB"/>
    <w:rsid w:val="00767E75"/>
    <w:rsid w:val="00770CBF"/>
    <w:rsid w:val="007734F4"/>
    <w:rsid w:val="00773B0A"/>
    <w:rsid w:val="00775960"/>
    <w:rsid w:val="00775A67"/>
    <w:rsid w:val="00775AF4"/>
    <w:rsid w:val="007775D3"/>
    <w:rsid w:val="007813E6"/>
    <w:rsid w:val="00783BB4"/>
    <w:rsid w:val="007846EF"/>
    <w:rsid w:val="00784952"/>
    <w:rsid w:val="00784BCC"/>
    <w:rsid w:val="00785625"/>
    <w:rsid w:val="00786738"/>
    <w:rsid w:val="00786FD0"/>
    <w:rsid w:val="0079030B"/>
    <w:rsid w:val="00790BD7"/>
    <w:rsid w:val="0079131A"/>
    <w:rsid w:val="00792247"/>
    <w:rsid w:val="00792CD4"/>
    <w:rsid w:val="00793403"/>
    <w:rsid w:val="007938A4"/>
    <w:rsid w:val="00793A57"/>
    <w:rsid w:val="00794BF3"/>
    <w:rsid w:val="00794C51"/>
    <w:rsid w:val="007977AE"/>
    <w:rsid w:val="007A196D"/>
    <w:rsid w:val="007A278C"/>
    <w:rsid w:val="007A27CE"/>
    <w:rsid w:val="007A3483"/>
    <w:rsid w:val="007A4DF8"/>
    <w:rsid w:val="007A5A1A"/>
    <w:rsid w:val="007A6AA3"/>
    <w:rsid w:val="007B0FDB"/>
    <w:rsid w:val="007B1DA0"/>
    <w:rsid w:val="007B21E4"/>
    <w:rsid w:val="007B3037"/>
    <w:rsid w:val="007B4454"/>
    <w:rsid w:val="007B47B8"/>
    <w:rsid w:val="007C1611"/>
    <w:rsid w:val="007C165C"/>
    <w:rsid w:val="007C20C8"/>
    <w:rsid w:val="007C2390"/>
    <w:rsid w:val="007C3E9E"/>
    <w:rsid w:val="007C3F5E"/>
    <w:rsid w:val="007C4735"/>
    <w:rsid w:val="007C5837"/>
    <w:rsid w:val="007D26AA"/>
    <w:rsid w:val="007D2F2A"/>
    <w:rsid w:val="007D3BEE"/>
    <w:rsid w:val="007D3E4C"/>
    <w:rsid w:val="007D4373"/>
    <w:rsid w:val="007D65BA"/>
    <w:rsid w:val="007D6A51"/>
    <w:rsid w:val="007E0A19"/>
    <w:rsid w:val="007E1484"/>
    <w:rsid w:val="007E1D99"/>
    <w:rsid w:val="007E265F"/>
    <w:rsid w:val="007E3DBB"/>
    <w:rsid w:val="007E5AA4"/>
    <w:rsid w:val="007E6ABF"/>
    <w:rsid w:val="007E7577"/>
    <w:rsid w:val="007E7E6E"/>
    <w:rsid w:val="007F028D"/>
    <w:rsid w:val="007F155A"/>
    <w:rsid w:val="007F26F5"/>
    <w:rsid w:val="007F2B64"/>
    <w:rsid w:val="007F3DF8"/>
    <w:rsid w:val="007F4369"/>
    <w:rsid w:val="007F5614"/>
    <w:rsid w:val="007F56F5"/>
    <w:rsid w:val="00800277"/>
    <w:rsid w:val="0080097E"/>
    <w:rsid w:val="00800B0E"/>
    <w:rsid w:val="00800BD5"/>
    <w:rsid w:val="00801353"/>
    <w:rsid w:val="00804B1E"/>
    <w:rsid w:val="00806442"/>
    <w:rsid w:val="0081050B"/>
    <w:rsid w:val="00810D96"/>
    <w:rsid w:val="00811DFC"/>
    <w:rsid w:val="008127EB"/>
    <w:rsid w:val="008131B6"/>
    <w:rsid w:val="00813396"/>
    <w:rsid w:val="00813939"/>
    <w:rsid w:val="00817C86"/>
    <w:rsid w:val="00820779"/>
    <w:rsid w:val="00821CDA"/>
    <w:rsid w:val="00827393"/>
    <w:rsid w:val="008301E2"/>
    <w:rsid w:val="00831B51"/>
    <w:rsid w:val="00832A58"/>
    <w:rsid w:val="00833358"/>
    <w:rsid w:val="00833A52"/>
    <w:rsid w:val="00833D7F"/>
    <w:rsid w:val="00833E20"/>
    <w:rsid w:val="008343A9"/>
    <w:rsid w:val="00834BA0"/>
    <w:rsid w:val="00834D48"/>
    <w:rsid w:val="00835050"/>
    <w:rsid w:val="0083596C"/>
    <w:rsid w:val="0084030B"/>
    <w:rsid w:val="008417BA"/>
    <w:rsid w:val="00842572"/>
    <w:rsid w:val="008425BA"/>
    <w:rsid w:val="00843398"/>
    <w:rsid w:val="00845091"/>
    <w:rsid w:val="00846132"/>
    <w:rsid w:val="00847615"/>
    <w:rsid w:val="008501F4"/>
    <w:rsid w:val="008512D2"/>
    <w:rsid w:val="008515C9"/>
    <w:rsid w:val="00851910"/>
    <w:rsid w:val="00851E6B"/>
    <w:rsid w:val="0085418D"/>
    <w:rsid w:val="008543BB"/>
    <w:rsid w:val="00854D9D"/>
    <w:rsid w:val="008571D1"/>
    <w:rsid w:val="00857216"/>
    <w:rsid w:val="00857646"/>
    <w:rsid w:val="00857825"/>
    <w:rsid w:val="00862D2F"/>
    <w:rsid w:val="00862EC3"/>
    <w:rsid w:val="00870323"/>
    <w:rsid w:val="008712E3"/>
    <w:rsid w:val="00871D4E"/>
    <w:rsid w:val="00872D67"/>
    <w:rsid w:val="00873309"/>
    <w:rsid w:val="00875E71"/>
    <w:rsid w:val="00876065"/>
    <w:rsid w:val="00876544"/>
    <w:rsid w:val="00876664"/>
    <w:rsid w:val="00877641"/>
    <w:rsid w:val="00877D8A"/>
    <w:rsid w:val="0088109F"/>
    <w:rsid w:val="00883696"/>
    <w:rsid w:val="0088488D"/>
    <w:rsid w:val="00884FC7"/>
    <w:rsid w:val="008858F5"/>
    <w:rsid w:val="00887266"/>
    <w:rsid w:val="0089388A"/>
    <w:rsid w:val="00893B20"/>
    <w:rsid w:val="00894060"/>
    <w:rsid w:val="008941B5"/>
    <w:rsid w:val="008957FA"/>
    <w:rsid w:val="00896368"/>
    <w:rsid w:val="00897691"/>
    <w:rsid w:val="008A09B2"/>
    <w:rsid w:val="008A0CB2"/>
    <w:rsid w:val="008A2AE2"/>
    <w:rsid w:val="008A4E7C"/>
    <w:rsid w:val="008A5EFE"/>
    <w:rsid w:val="008A642F"/>
    <w:rsid w:val="008A66A7"/>
    <w:rsid w:val="008A6D7F"/>
    <w:rsid w:val="008A6EB2"/>
    <w:rsid w:val="008B0D49"/>
    <w:rsid w:val="008B22F7"/>
    <w:rsid w:val="008B342E"/>
    <w:rsid w:val="008B4AC5"/>
    <w:rsid w:val="008B743F"/>
    <w:rsid w:val="008C0942"/>
    <w:rsid w:val="008C1E22"/>
    <w:rsid w:val="008C3F5B"/>
    <w:rsid w:val="008C4029"/>
    <w:rsid w:val="008C52CD"/>
    <w:rsid w:val="008C58C9"/>
    <w:rsid w:val="008C5940"/>
    <w:rsid w:val="008C6F84"/>
    <w:rsid w:val="008D074A"/>
    <w:rsid w:val="008D17E6"/>
    <w:rsid w:val="008D33CC"/>
    <w:rsid w:val="008D3DC8"/>
    <w:rsid w:val="008D4409"/>
    <w:rsid w:val="008D4FDA"/>
    <w:rsid w:val="008D6FFC"/>
    <w:rsid w:val="008E1602"/>
    <w:rsid w:val="008E1D76"/>
    <w:rsid w:val="008E3800"/>
    <w:rsid w:val="008E4011"/>
    <w:rsid w:val="008E4088"/>
    <w:rsid w:val="008E736E"/>
    <w:rsid w:val="008E74EA"/>
    <w:rsid w:val="008F013F"/>
    <w:rsid w:val="008F0D43"/>
    <w:rsid w:val="008F2CF8"/>
    <w:rsid w:val="008F3882"/>
    <w:rsid w:val="008F3C92"/>
    <w:rsid w:val="008F4871"/>
    <w:rsid w:val="008F5065"/>
    <w:rsid w:val="008F5248"/>
    <w:rsid w:val="008F735F"/>
    <w:rsid w:val="009007B6"/>
    <w:rsid w:val="00901218"/>
    <w:rsid w:val="00903C2E"/>
    <w:rsid w:val="009041E5"/>
    <w:rsid w:val="0090590F"/>
    <w:rsid w:val="00905E42"/>
    <w:rsid w:val="00906E16"/>
    <w:rsid w:val="00907B23"/>
    <w:rsid w:val="00907C0C"/>
    <w:rsid w:val="00911C67"/>
    <w:rsid w:val="00911ED0"/>
    <w:rsid w:val="00917084"/>
    <w:rsid w:val="00920DAA"/>
    <w:rsid w:val="00920F85"/>
    <w:rsid w:val="009228C2"/>
    <w:rsid w:val="00923C43"/>
    <w:rsid w:val="00924C51"/>
    <w:rsid w:val="00926205"/>
    <w:rsid w:val="00927BC3"/>
    <w:rsid w:val="00930407"/>
    <w:rsid w:val="009325D7"/>
    <w:rsid w:val="00932775"/>
    <w:rsid w:val="00933EFD"/>
    <w:rsid w:val="009344C4"/>
    <w:rsid w:val="00935676"/>
    <w:rsid w:val="00942A28"/>
    <w:rsid w:val="009469E4"/>
    <w:rsid w:val="00946BEF"/>
    <w:rsid w:val="009472E8"/>
    <w:rsid w:val="0094763D"/>
    <w:rsid w:val="009508E8"/>
    <w:rsid w:val="00950D44"/>
    <w:rsid w:val="0095245E"/>
    <w:rsid w:val="009560A3"/>
    <w:rsid w:val="00956B80"/>
    <w:rsid w:val="00957126"/>
    <w:rsid w:val="00961ADA"/>
    <w:rsid w:val="009629D2"/>
    <w:rsid w:val="009647E7"/>
    <w:rsid w:val="00965C5F"/>
    <w:rsid w:val="0096608F"/>
    <w:rsid w:val="00967F71"/>
    <w:rsid w:val="009708A0"/>
    <w:rsid w:val="009744C8"/>
    <w:rsid w:val="00974CA0"/>
    <w:rsid w:val="00976031"/>
    <w:rsid w:val="00976A21"/>
    <w:rsid w:val="00980216"/>
    <w:rsid w:val="00980640"/>
    <w:rsid w:val="00982EE9"/>
    <w:rsid w:val="00983625"/>
    <w:rsid w:val="00986B50"/>
    <w:rsid w:val="009876A7"/>
    <w:rsid w:val="00990777"/>
    <w:rsid w:val="00990A34"/>
    <w:rsid w:val="00991276"/>
    <w:rsid w:val="00995076"/>
    <w:rsid w:val="009951CB"/>
    <w:rsid w:val="00996BEB"/>
    <w:rsid w:val="009978FC"/>
    <w:rsid w:val="009A08D9"/>
    <w:rsid w:val="009A0D7D"/>
    <w:rsid w:val="009A3059"/>
    <w:rsid w:val="009A34EE"/>
    <w:rsid w:val="009A53AF"/>
    <w:rsid w:val="009A5A80"/>
    <w:rsid w:val="009A6DA3"/>
    <w:rsid w:val="009B011C"/>
    <w:rsid w:val="009B1714"/>
    <w:rsid w:val="009B2065"/>
    <w:rsid w:val="009B22D5"/>
    <w:rsid w:val="009B4202"/>
    <w:rsid w:val="009B45EF"/>
    <w:rsid w:val="009B6619"/>
    <w:rsid w:val="009B7A49"/>
    <w:rsid w:val="009B7B19"/>
    <w:rsid w:val="009B7BAA"/>
    <w:rsid w:val="009C1A9E"/>
    <w:rsid w:val="009C2D79"/>
    <w:rsid w:val="009C5370"/>
    <w:rsid w:val="009C7FA3"/>
    <w:rsid w:val="009D0232"/>
    <w:rsid w:val="009D1441"/>
    <w:rsid w:val="009D14E5"/>
    <w:rsid w:val="009D19D7"/>
    <w:rsid w:val="009D2008"/>
    <w:rsid w:val="009D239C"/>
    <w:rsid w:val="009D25BB"/>
    <w:rsid w:val="009D3276"/>
    <w:rsid w:val="009D4B42"/>
    <w:rsid w:val="009D585A"/>
    <w:rsid w:val="009D61C1"/>
    <w:rsid w:val="009D64B3"/>
    <w:rsid w:val="009E00D1"/>
    <w:rsid w:val="009E05A6"/>
    <w:rsid w:val="009E1323"/>
    <w:rsid w:val="009E1363"/>
    <w:rsid w:val="009E2C52"/>
    <w:rsid w:val="009E410B"/>
    <w:rsid w:val="009E6483"/>
    <w:rsid w:val="009E6BB9"/>
    <w:rsid w:val="009F1FAB"/>
    <w:rsid w:val="009F3211"/>
    <w:rsid w:val="009F4B83"/>
    <w:rsid w:val="009F5844"/>
    <w:rsid w:val="00A0263E"/>
    <w:rsid w:val="00A03575"/>
    <w:rsid w:val="00A03D2F"/>
    <w:rsid w:val="00A05032"/>
    <w:rsid w:val="00A062DA"/>
    <w:rsid w:val="00A06481"/>
    <w:rsid w:val="00A0672B"/>
    <w:rsid w:val="00A06BC0"/>
    <w:rsid w:val="00A06E63"/>
    <w:rsid w:val="00A07A43"/>
    <w:rsid w:val="00A07D08"/>
    <w:rsid w:val="00A11B32"/>
    <w:rsid w:val="00A127CA"/>
    <w:rsid w:val="00A13FCA"/>
    <w:rsid w:val="00A1587D"/>
    <w:rsid w:val="00A15964"/>
    <w:rsid w:val="00A15B19"/>
    <w:rsid w:val="00A15D50"/>
    <w:rsid w:val="00A17ED9"/>
    <w:rsid w:val="00A200AC"/>
    <w:rsid w:val="00A20FE4"/>
    <w:rsid w:val="00A24D52"/>
    <w:rsid w:val="00A27DEB"/>
    <w:rsid w:val="00A31158"/>
    <w:rsid w:val="00A3202B"/>
    <w:rsid w:val="00A33521"/>
    <w:rsid w:val="00A33954"/>
    <w:rsid w:val="00A33BA3"/>
    <w:rsid w:val="00A33BC9"/>
    <w:rsid w:val="00A33C3F"/>
    <w:rsid w:val="00A3665F"/>
    <w:rsid w:val="00A36694"/>
    <w:rsid w:val="00A369D3"/>
    <w:rsid w:val="00A41B57"/>
    <w:rsid w:val="00A41BFB"/>
    <w:rsid w:val="00A42CC5"/>
    <w:rsid w:val="00A43A5B"/>
    <w:rsid w:val="00A45BC4"/>
    <w:rsid w:val="00A4679A"/>
    <w:rsid w:val="00A509FA"/>
    <w:rsid w:val="00A5183F"/>
    <w:rsid w:val="00A5221B"/>
    <w:rsid w:val="00A5448B"/>
    <w:rsid w:val="00A544B8"/>
    <w:rsid w:val="00A55BF6"/>
    <w:rsid w:val="00A56138"/>
    <w:rsid w:val="00A56251"/>
    <w:rsid w:val="00A5666E"/>
    <w:rsid w:val="00A5727D"/>
    <w:rsid w:val="00A60655"/>
    <w:rsid w:val="00A60D2F"/>
    <w:rsid w:val="00A6189D"/>
    <w:rsid w:val="00A62D0E"/>
    <w:rsid w:val="00A63442"/>
    <w:rsid w:val="00A6439F"/>
    <w:rsid w:val="00A64490"/>
    <w:rsid w:val="00A6571D"/>
    <w:rsid w:val="00A65C43"/>
    <w:rsid w:val="00A6732F"/>
    <w:rsid w:val="00A67351"/>
    <w:rsid w:val="00A7099A"/>
    <w:rsid w:val="00A7415C"/>
    <w:rsid w:val="00A75C12"/>
    <w:rsid w:val="00A75F0D"/>
    <w:rsid w:val="00A760C8"/>
    <w:rsid w:val="00A77CE5"/>
    <w:rsid w:val="00A80253"/>
    <w:rsid w:val="00A8031F"/>
    <w:rsid w:val="00A8041A"/>
    <w:rsid w:val="00A8049F"/>
    <w:rsid w:val="00A82773"/>
    <w:rsid w:val="00A84508"/>
    <w:rsid w:val="00A85571"/>
    <w:rsid w:val="00A87084"/>
    <w:rsid w:val="00A87DEB"/>
    <w:rsid w:val="00A9069C"/>
    <w:rsid w:val="00A90FFE"/>
    <w:rsid w:val="00A92DC4"/>
    <w:rsid w:val="00A92F86"/>
    <w:rsid w:val="00A93CB4"/>
    <w:rsid w:val="00A946AE"/>
    <w:rsid w:val="00A95E98"/>
    <w:rsid w:val="00A96B18"/>
    <w:rsid w:val="00A96EF8"/>
    <w:rsid w:val="00A96F60"/>
    <w:rsid w:val="00A97CB4"/>
    <w:rsid w:val="00AA2D4A"/>
    <w:rsid w:val="00AA459B"/>
    <w:rsid w:val="00AA48A3"/>
    <w:rsid w:val="00AA4AA6"/>
    <w:rsid w:val="00AA5612"/>
    <w:rsid w:val="00AA6398"/>
    <w:rsid w:val="00AA6F1B"/>
    <w:rsid w:val="00AB0C47"/>
    <w:rsid w:val="00AB0F8C"/>
    <w:rsid w:val="00AB1E5F"/>
    <w:rsid w:val="00AB2547"/>
    <w:rsid w:val="00AB2F44"/>
    <w:rsid w:val="00AB5532"/>
    <w:rsid w:val="00AB5728"/>
    <w:rsid w:val="00AB5D13"/>
    <w:rsid w:val="00AB6DBD"/>
    <w:rsid w:val="00AC0559"/>
    <w:rsid w:val="00AC1FBF"/>
    <w:rsid w:val="00AC24DF"/>
    <w:rsid w:val="00AC32D0"/>
    <w:rsid w:val="00AC54C0"/>
    <w:rsid w:val="00AC5B93"/>
    <w:rsid w:val="00AC705C"/>
    <w:rsid w:val="00AD0F59"/>
    <w:rsid w:val="00AD15DD"/>
    <w:rsid w:val="00AD26DB"/>
    <w:rsid w:val="00AD3BF7"/>
    <w:rsid w:val="00AD3F10"/>
    <w:rsid w:val="00AD4553"/>
    <w:rsid w:val="00AE27F2"/>
    <w:rsid w:val="00AE33B9"/>
    <w:rsid w:val="00AE40B4"/>
    <w:rsid w:val="00AE40DC"/>
    <w:rsid w:val="00AE532D"/>
    <w:rsid w:val="00AE5456"/>
    <w:rsid w:val="00AE68DC"/>
    <w:rsid w:val="00AF05B8"/>
    <w:rsid w:val="00AF1ACD"/>
    <w:rsid w:val="00AF29B5"/>
    <w:rsid w:val="00AF4E8C"/>
    <w:rsid w:val="00AF5A0F"/>
    <w:rsid w:val="00AF5EFF"/>
    <w:rsid w:val="00AF7C4D"/>
    <w:rsid w:val="00B00009"/>
    <w:rsid w:val="00B0027A"/>
    <w:rsid w:val="00B013C4"/>
    <w:rsid w:val="00B01ACB"/>
    <w:rsid w:val="00B01FD8"/>
    <w:rsid w:val="00B02240"/>
    <w:rsid w:val="00B0333B"/>
    <w:rsid w:val="00B03C66"/>
    <w:rsid w:val="00B04CA0"/>
    <w:rsid w:val="00B04D48"/>
    <w:rsid w:val="00B04DD9"/>
    <w:rsid w:val="00B05D81"/>
    <w:rsid w:val="00B06627"/>
    <w:rsid w:val="00B06F7E"/>
    <w:rsid w:val="00B11EC0"/>
    <w:rsid w:val="00B12B54"/>
    <w:rsid w:val="00B16CB5"/>
    <w:rsid w:val="00B17421"/>
    <w:rsid w:val="00B177F1"/>
    <w:rsid w:val="00B204D5"/>
    <w:rsid w:val="00B22CEF"/>
    <w:rsid w:val="00B23A23"/>
    <w:rsid w:val="00B26069"/>
    <w:rsid w:val="00B2696E"/>
    <w:rsid w:val="00B26F13"/>
    <w:rsid w:val="00B27754"/>
    <w:rsid w:val="00B316EC"/>
    <w:rsid w:val="00B31745"/>
    <w:rsid w:val="00B35395"/>
    <w:rsid w:val="00B367E9"/>
    <w:rsid w:val="00B36B48"/>
    <w:rsid w:val="00B370FD"/>
    <w:rsid w:val="00B3781A"/>
    <w:rsid w:val="00B400C4"/>
    <w:rsid w:val="00B4042B"/>
    <w:rsid w:val="00B4083A"/>
    <w:rsid w:val="00B41667"/>
    <w:rsid w:val="00B41837"/>
    <w:rsid w:val="00B42A71"/>
    <w:rsid w:val="00B43642"/>
    <w:rsid w:val="00B43C3A"/>
    <w:rsid w:val="00B4407F"/>
    <w:rsid w:val="00B44DB3"/>
    <w:rsid w:val="00B507DB"/>
    <w:rsid w:val="00B50A61"/>
    <w:rsid w:val="00B515F7"/>
    <w:rsid w:val="00B517F0"/>
    <w:rsid w:val="00B51FCF"/>
    <w:rsid w:val="00B5308B"/>
    <w:rsid w:val="00B53374"/>
    <w:rsid w:val="00B53414"/>
    <w:rsid w:val="00B537F8"/>
    <w:rsid w:val="00B556FF"/>
    <w:rsid w:val="00B55A8A"/>
    <w:rsid w:val="00B56B8D"/>
    <w:rsid w:val="00B5792B"/>
    <w:rsid w:val="00B60733"/>
    <w:rsid w:val="00B61645"/>
    <w:rsid w:val="00B642A3"/>
    <w:rsid w:val="00B651F9"/>
    <w:rsid w:val="00B65F7D"/>
    <w:rsid w:val="00B661B3"/>
    <w:rsid w:val="00B671E5"/>
    <w:rsid w:val="00B718F0"/>
    <w:rsid w:val="00B71A09"/>
    <w:rsid w:val="00B73916"/>
    <w:rsid w:val="00B7532E"/>
    <w:rsid w:val="00B826B6"/>
    <w:rsid w:val="00B831C1"/>
    <w:rsid w:val="00B86876"/>
    <w:rsid w:val="00B87436"/>
    <w:rsid w:val="00B91235"/>
    <w:rsid w:val="00B9189A"/>
    <w:rsid w:val="00B91908"/>
    <w:rsid w:val="00B941CD"/>
    <w:rsid w:val="00B9732A"/>
    <w:rsid w:val="00B97378"/>
    <w:rsid w:val="00B9783E"/>
    <w:rsid w:val="00B9790F"/>
    <w:rsid w:val="00BA0DEE"/>
    <w:rsid w:val="00BA0E84"/>
    <w:rsid w:val="00BA12D2"/>
    <w:rsid w:val="00BA1FE6"/>
    <w:rsid w:val="00BA31DC"/>
    <w:rsid w:val="00BA4633"/>
    <w:rsid w:val="00BA65BE"/>
    <w:rsid w:val="00BA777F"/>
    <w:rsid w:val="00BB13A4"/>
    <w:rsid w:val="00BB1C68"/>
    <w:rsid w:val="00BB5CAF"/>
    <w:rsid w:val="00BB6CA6"/>
    <w:rsid w:val="00BB7DD8"/>
    <w:rsid w:val="00BC0784"/>
    <w:rsid w:val="00BC4B4D"/>
    <w:rsid w:val="00BC4EC6"/>
    <w:rsid w:val="00BC53D3"/>
    <w:rsid w:val="00BC6CE6"/>
    <w:rsid w:val="00BD02D9"/>
    <w:rsid w:val="00BD067A"/>
    <w:rsid w:val="00BD0C9F"/>
    <w:rsid w:val="00BD1783"/>
    <w:rsid w:val="00BD18CF"/>
    <w:rsid w:val="00BD32D7"/>
    <w:rsid w:val="00BD3D48"/>
    <w:rsid w:val="00BD489C"/>
    <w:rsid w:val="00BD4C76"/>
    <w:rsid w:val="00BD78EA"/>
    <w:rsid w:val="00BD7A31"/>
    <w:rsid w:val="00BD7C33"/>
    <w:rsid w:val="00BE1695"/>
    <w:rsid w:val="00BE1762"/>
    <w:rsid w:val="00BE1CB6"/>
    <w:rsid w:val="00BE2077"/>
    <w:rsid w:val="00BE2AED"/>
    <w:rsid w:val="00BE2D9D"/>
    <w:rsid w:val="00BE3D0F"/>
    <w:rsid w:val="00BE403B"/>
    <w:rsid w:val="00BE4E80"/>
    <w:rsid w:val="00BE6401"/>
    <w:rsid w:val="00BE6878"/>
    <w:rsid w:val="00BE6C65"/>
    <w:rsid w:val="00BF014F"/>
    <w:rsid w:val="00BF18B0"/>
    <w:rsid w:val="00BF1B12"/>
    <w:rsid w:val="00BF5A60"/>
    <w:rsid w:val="00C0197A"/>
    <w:rsid w:val="00C01D88"/>
    <w:rsid w:val="00C037B0"/>
    <w:rsid w:val="00C045DE"/>
    <w:rsid w:val="00C04972"/>
    <w:rsid w:val="00C04A69"/>
    <w:rsid w:val="00C06ABF"/>
    <w:rsid w:val="00C07E68"/>
    <w:rsid w:val="00C12973"/>
    <w:rsid w:val="00C159D9"/>
    <w:rsid w:val="00C15C4F"/>
    <w:rsid w:val="00C173C1"/>
    <w:rsid w:val="00C17B68"/>
    <w:rsid w:val="00C218F6"/>
    <w:rsid w:val="00C21A68"/>
    <w:rsid w:val="00C21B55"/>
    <w:rsid w:val="00C21F6E"/>
    <w:rsid w:val="00C240E6"/>
    <w:rsid w:val="00C24A6A"/>
    <w:rsid w:val="00C25436"/>
    <w:rsid w:val="00C26BD6"/>
    <w:rsid w:val="00C308CB"/>
    <w:rsid w:val="00C30F4C"/>
    <w:rsid w:val="00C30F50"/>
    <w:rsid w:val="00C32786"/>
    <w:rsid w:val="00C34171"/>
    <w:rsid w:val="00C366A2"/>
    <w:rsid w:val="00C37A43"/>
    <w:rsid w:val="00C419DF"/>
    <w:rsid w:val="00C41CB5"/>
    <w:rsid w:val="00C42647"/>
    <w:rsid w:val="00C43745"/>
    <w:rsid w:val="00C445ED"/>
    <w:rsid w:val="00C472E8"/>
    <w:rsid w:val="00C52B15"/>
    <w:rsid w:val="00C52E51"/>
    <w:rsid w:val="00C53064"/>
    <w:rsid w:val="00C569E2"/>
    <w:rsid w:val="00C57C25"/>
    <w:rsid w:val="00C57C3A"/>
    <w:rsid w:val="00C65028"/>
    <w:rsid w:val="00C672C9"/>
    <w:rsid w:val="00C67F93"/>
    <w:rsid w:val="00C729EF"/>
    <w:rsid w:val="00C7340C"/>
    <w:rsid w:val="00C73B48"/>
    <w:rsid w:val="00C754C6"/>
    <w:rsid w:val="00C7604C"/>
    <w:rsid w:val="00C82D97"/>
    <w:rsid w:val="00C84EDB"/>
    <w:rsid w:val="00C855F4"/>
    <w:rsid w:val="00C91852"/>
    <w:rsid w:val="00C922FE"/>
    <w:rsid w:val="00C92761"/>
    <w:rsid w:val="00C9291B"/>
    <w:rsid w:val="00C931F8"/>
    <w:rsid w:val="00C93475"/>
    <w:rsid w:val="00C93BDF"/>
    <w:rsid w:val="00C93F67"/>
    <w:rsid w:val="00C93FDB"/>
    <w:rsid w:val="00C94209"/>
    <w:rsid w:val="00C956C7"/>
    <w:rsid w:val="00C96140"/>
    <w:rsid w:val="00C976D3"/>
    <w:rsid w:val="00C97DE2"/>
    <w:rsid w:val="00CA042B"/>
    <w:rsid w:val="00CA080E"/>
    <w:rsid w:val="00CA0EE3"/>
    <w:rsid w:val="00CA1CB6"/>
    <w:rsid w:val="00CA43AC"/>
    <w:rsid w:val="00CA471B"/>
    <w:rsid w:val="00CA4B10"/>
    <w:rsid w:val="00CA7CC2"/>
    <w:rsid w:val="00CB1ACF"/>
    <w:rsid w:val="00CB2BDA"/>
    <w:rsid w:val="00CB3154"/>
    <w:rsid w:val="00CB60D7"/>
    <w:rsid w:val="00CB7570"/>
    <w:rsid w:val="00CC06EC"/>
    <w:rsid w:val="00CC0B4A"/>
    <w:rsid w:val="00CC3CC9"/>
    <w:rsid w:val="00CC4422"/>
    <w:rsid w:val="00CC4F8B"/>
    <w:rsid w:val="00CC5F3F"/>
    <w:rsid w:val="00CC607E"/>
    <w:rsid w:val="00CC661A"/>
    <w:rsid w:val="00CC693A"/>
    <w:rsid w:val="00CC69B3"/>
    <w:rsid w:val="00CC7350"/>
    <w:rsid w:val="00CD28D2"/>
    <w:rsid w:val="00CD5397"/>
    <w:rsid w:val="00CD56E7"/>
    <w:rsid w:val="00CD5DB0"/>
    <w:rsid w:val="00CD735A"/>
    <w:rsid w:val="00CD7DE0"/>
    <w:rsid w:val="00CE0B34"/>
    <w:rsid w:val="00CE1179"/>
    <w:rsid w:val="00CE13CD"/>
    <w:rsid w:val="00CE2FDC"/>
    <w:rsid w:val="00CE4009"/>
    <w:rsid w:val="00CE48A2"/>
    <w:rsid w:val="00CE7A9F"/>
    <w:rsid w:val="00CF014C"/>
    <w:rsid w:val="00CF122C"/>
    <w:rsid w:val="00CF1910"/>
    <w:rsid w:val="00CF1CA1"/>
    <w:rsid w:val="00CF3359"/>
    <w:rsid w:val="00CF3880"/>
    <w:rsid w:val="00CF5F27"/>
    <w:rsid w:val="00D012A8"/>
    <w:rsid w:val="00D01B75"/>
    <w:rsid w:val="00D02263"/>
    <w:rsid w:val="00D022B0"/>
    <w:rsid w:val="00D03F6F"/>
    <w:rsid w:val="00D0426B"/>
    <w:rsid w:val="00D04803"/>
    <w:rsid w:val="00D06F9F"/>
    <w:rsid w:val="00D101F1"/>
    <w:rsid w:val="00D10B83"/>
    <w:rsid w:val="00D144DC"/>
    <w:rsid w:val="00D1511F"/>
    <w:rsid w:val="00D15BDD"/>
    <w:rsid w:val="00D15CC4"/>
    <w:rsid w:val="00D15DCF"/>
    <w:rsid w:val="00D15FFB"/>
    <w:rsid w:val="00D16170"/>
    <w:rsid w:val="00D1720A"/>
    <w:rsid w:val="00D17C23"/>
    <w:rsid w:val="00D206C3"/>
    <w:rsid w:val="00D21B34"/>
    <w:rsid w:val="00D22426"/>
    <w:rsid w:val="00D2407D"/>
    <w:rsid w:val="00D25AEC"/>
    <w:rsid w:val="00D2656A"/>
    <w:rsid w:val="00D270EC"/>
    <w:rsid w:val="00D307AB"/>
    <w:rsid w:val="00D312E2"/>
    <w:rsid w:val="00D31516"/>
    <w:rsid w:val="00D3253D"/>
    <w:rsid w:val="00D32955"/>
    <w:rsid w:val="00D3434F"/>
    <w:rsid w:val="00D34A41"/>
    <w:rsid w:val="00D34A53"/>
    <w:rsid w:val="00D34AD4"/>
    <w:rsid w:val="00D3594B"/>
    <w:rsid w:val="00D35BC2"/>
    <w:rsid w:val="00D3628E"/>
    <w:rsid w:val="00D40396"/>
    <w:rsid w:val="00D42F40"/>
    <w:rsid w:val="00D43CB3"/>
    <w:rsid w:val="00D44535"/>
    <w:rsid w:val="00D4518E"/>
    <w:rsid w:val="00D474BC"/>
    <w:rsid w:val="00D47982"/>
    <w:rsid w:val="00D50B2C"/>
    <w:rsid w:val="00D514FC"/>
    <w:rsid w:val="00D51821"/>
    <w:rsid w:val="00D5237D"/>
    <w:rsid w:val="00D536DA"/>
    <w:rsid w:val="00D5458A"/>
    <w:rsid w:val="00D5562F"/>
    <w:rsid w:val="00D5677A"/>
    <w:rsid w:val="00D578EE"/>
    <w:rsid w:val="00D57E38"/>
    <w:rsid w:val="00D60E2A"/>
    <w:rsid w:val="00D60E66"/>
    <w:rsid w:val="00D619B7"/>
    <w:rsid w:val="00D623E4"/>
    <w:rsid w:val="00D63FA2"/>
    <w:rsid w:val="00D6543E"/>
    <w:rsid w:val="00D661AE"/>
    <w:rsid w:val="00D6731C"/>
    <w:rsid w:val="00D6745E"/>
    <w:rsid w:val="00D67ECA"/>
    <w:rsid w:val="00D71215"/>
    <w:rsid w:val="00D714CB"/>
    <w:rsid w:val="00D7225B"/>
    <w:rsid w:val="00D72F1B"/>
    <w:rsid w:val="00D73C52"/>
    <w:rsid w:val="00D74413"/>
    <w:rsid w:val="00D750B2"/>
    <w:rsid w:val="00D75F12"/>
    <w:rsid w:val="00D768EE"/>
    <w:rsid w:val="00D8161D"/>
    <w:rsid w:val="00D82EBE"/>
    <w:rsid w:val="00D8332E"/>
    <w:rsid w:val="00D8568B"/>
    <w:rsid w:val="00D87A83"/>
    <w:rsid w:val="00D91316"/>
    <w:rsid w:val="00D91697"/>
    <w:rsid w:val="00D91E24"/>
    <w:rsid w:val="00D921F9"/>
    <w:rsid w:val="00D95821"/>
    <w:rsid w:val="00D95DFB"/>
    <w:rsid w:val="00D96B7A"/>
    <w:rsid w:val="00D9780B"/>
    <w:rsid w:val="00DA0C90"/>
    <w:rsid w:val="00DA1B1B"/>
    <w:rsid w:val="00DA23F9"/>
    <w:rsid w:val="00DA2954"/>
    <w:rsid w:val="00DA333B"/>
    <w:rsid w:val="00DA3A28"/>
    <w:rsid w:val="00DA3D14"/>
    <w:rsid w:val="00DA6BED"/>
    <w:rsid w:val="00DB0062"/>
    <w:rsid w:val="00DB2023"/>
    <w:rsid w:val="00DB238C"/>
    <w:rsid w:val="00DB4A90"/>
    <w:rsid w:val="00DB61DB"/>
    <w:rsid w:val="00DC03CF"/>
    <w:rsid w:val="00DC0770"/>
    <w:rsid w:val="00DC0AEB"/>
    <w:rsid w:val="00DC4AE6"/>
    <w:rsid w:val="00DC4E0D"/>
    <w:rsid w:val="00DD0AE5"/>
    <w:rsid w:val="00DD1946"/>
    <w:rsid w:val="00DD351F"/>
    <w:rsid w:val="00DD49DA"/>
    <w:rsid w:val="00DD4F72"/>
    <w:rsid w:val="00DD5FB9"/>
    <w:rsid w:val="00DD61AE"/>
    <w:rsid w:val="00DD6A76"/>
    <w:rsid w:val="00DE00F1"/>
    <w:rsid w:val="00DE01F3"/>
    <w:rsid w:val="00DE039A"/>
    <w:rsid w:val="00DE4ABB"/>
    <w:rsid w:val="00DE51E6"/>
    <w:rsid w:val="00DE5E67"/>
    <w:rsid w:val="00DE6E2C"/>
    <w:rsid w:val="00DE79E8"/>
    <w:rsid w:val="00DE7A6E"/>
    <w:rsid w:val="00DF0494"/>
    <w:rsid w:val="00DF0A5F"/>
    <w:rsid w:val="00DF1933"/>
    <w:rsid w:val="00DF1B33"/>
    <w:rsid w:val="00DF1E19"/>
    <w:rsid w:val="00DF2EAA"/>
    <w:rsid w:val="00DF335A"/>
    <w:rsid w:val="00DF4913"/>
    <w:rsid w:val="00DF5114"/>
    <w:rsid w:val="00DF5B21"/>
    <w:rsid w:val="00DF66EB"/>
    <w:rsid w:val="00E023F3"/>
    <w:rsid w:val="00E03AE7"/>
    <w:rsid w:val="00E05221"/>
    <w:rsid w:val="00E10A4A"/>
    <w:rsid w:val="00E1247D"/>
    <w:rsid w:val="00E12606"/>
    <w:rsid w:val="00E12622"/>
    <w:rsid w:val="00E132DB"/>
    <w:rsid w:val="00E13EB3"/>
    <w:rsid w:val="00E20262"/>
    <w:rsid w:val="00E206FC"/>
    <w:rsid w:val="00E21822"/>
    <w:rsid w:val="00E22C0E"/>
    <w:rsid w:val="00E233DF"/>
    <w:rsid w:val="00E23D00"/>
    <w:rsid w:val="00E25B2F"/>
    <w:rsid w:val="00E26AF1"/>
    <w:rsid w:val="00E30514"/>
    <w:rsid w:val="00E3234A"/>
    <w:rsid w:val="00E32D0E"/>
    <w:rsid w:val="00E340B3"/>
    <w:rsid w:val="00E34EFE"/>
    <w:rsid w:val="00E355C6"/>
    <w:rsid w:val="00E37B2F"/>
    <w:rsid w:val="00E402BF"/>
    <w:rsid w:val="00E41E1C"/>
    <w:rsid w:val="00E42D4D"/>
    <w:rsid w:val="00E44F37"/>
    <w:rsid w:val="00E47ED8"/>
    <w:rsid w:val="00E52245"/>
    <w:rsid w:val="00E52A0C"/>
    <w:rsid w:val="00E52C18"/>
    <w:rsid w:val="00E548F6"/>
    <w:rsid w:val="00E54CB1"/>
    <w:rsid w:val="00E550A0"/>
    <w:rsid w:val="00E57A52"/>
    <w:rsid w:val="00E61244"/>
    <w:rsid w:val="00E61378"/>
    <w:rsid w:val="00E6259C"/>
    <w:rsid w:val="00E6368D"/>
    <w:rsid w:val="00E7039D"/>
    <w:rsid w:val="00E71127"/>
    <w:rsid w:val="00E718DC"/>
    <w:rsid w:val="00E72FF5"/>
    <w:rsid w:val="00E73F3D"/>
    <w:rsid w:val="00E74701"/>
    <w:rsid w:val="00E80F73"/>
    <w:rsid w:val="00E83026"/>
    <w:rsid w:val="00E84C6F"/>
    <w:rsid w:val="00E904E8"/>
    <w:rsid w:val="00E90795"/>
    <w:rsid w:val="00E913B2"/>
    <w:rsid w:val="00E91DDE"/>
    <w:rsid w:val="00E963A4"/>
    <w:rsid w:val="00E9722E"/>
    <w:rsid w:val="00EA0F06"/>
    <w:rsid w:val="00EA321A"/>
    <w:rsid w:val="00EA4643"/>
    <w:rsid w:val="00EA676C"/>
    <w:rsid w:val="00EB07F4"/>
    <w:rsid w:val="00EB0B6D"/>
    <w:rsid w:val="00EB1C98"/>
    <w:rsid w:val="00EB3540"/>
    <w:rsid w:val="00EB43F2"/>
    <w:rsid w:val="00EB44A7"/>
    <w:rsid w:val="00EB498A"/>
    <w:rsid w:val="00EB498E"/>
    <w:rsid w:val="00EB4C22"/>
    <w:rsid w:val="00EB5F57"/>
    <w:rsid w:val="00EB7996"/>
    <w:rsid w:val="00EC1F18"/>
    <w:rsid w:val="00EC2ADF"/>
    <w:rsid w:val="00EC667D"/>
    <w:rsid w:val="00EC6BBC"/>
    <w:rsid w:val="00EC7597"/>
    <w:rsid w:val="00ED1A0C"/>
    <w:rsid w:val="00ED1C9E"/>
    <w:rsid w:val="00ED1CFB"/>
    <w:rsid w:val="00ED2D08"/>
    <w:rsid w:val="00ED33D2"/>
    <w:rsid w:val="00ED3702"/>
    <w:rsid w:val="00ED3C23"/>
    <w:rsid w:val="00ED413B"/>
    <w:rsid w:val="00ED675A"/>
    <w:rsid w:val="00ED7223"/>
    <w:rsid w:val="00ED7A42"/>
    <w:rsid w:val="00EE5549"/>
    <w:rsid w:val="00EE761D"/>
    <w:rsid w:val="00EF10D7"/>
    <w:rsid w:val="00EF1413"/>
    <w:rsid w:val="00EF156F"/>
    <w:rsid w:val="00EF21C1"/>
    <w:rsid w:val="00EF2779"/>
    <w:rsid w:val="00EF43BD"/>
    <w:rsid w:val="00EF45AB"/>
    <w:rsid w:val="00EF4E9F"/>
    <w:rsid w:val="00EF54A7"/>
    <w:rsid w:val="00EF5640"/>
    <w:rsid w:val="00EF6971"/>
    <w:rsid w:val="00EF792B"/>
    <w:rsid w:val="00EF7E79"/>
    <w:rsid w:val="00F0072E"/>
    <w:rsid w:val="00F007D6"/>
    <w:rsid w:val="00F00A97"/>
    <w:rsid w:val="00F05609"/>
    <w:rsid w:val="00F066EB"/>
    <w:rsid w:val="00F06E22"/>
    <w:rsid w:val="00F06F52"/>
    <w:rsid w:val="00F07865"/>
    <w:rsid w:val="00F078AE"/>
    <w:rsid w:val="00F10A13"/>
    <w:rsid w:val="00F11166"/>
    <w:rsid w:val="00F1124E"/>
    <w:rsid w:val="00F11793"/>
    <w:rsid w:val="00F14619"/>
    <w:rsid w:val="00F14733"/>
    <w:rsid w:val="00F14D31"/>
    <w:rsid w:val="00F14F68"/>
    <w:rsid w:val="00F16066"/>
    <w:rsid w:val="00F21946"/>
    <w:rsid w:val="00F2259D"/>
    <w:rsid w:val="00F23A39"/>
    <w:rsid w:val="00F30E4E"/>
    <w:rsid w:val="00F320B9"/>
    <w:rsid w:val="00F337B6"/>
    <w:rsid w:val="00F338AC"/>
    <w:rsid w:val="00F3409A"/>
    <w:rsid w:val="00F342C6"/>
    <w:rsid w:val="00F366DA"/>
    <w:rsid w:val="00F36835"/>
    <w:rsid w:val="00F36A0C"/>
    <w:rsid w:val="00F3780A"/>
    <w:rsid w:val="00F37D88"/>
    <w:rsid w:val="00F411C2"/>
    <w:rsid w:val="00F42941"/>
    <w:rsid w:val="00F42E7C"/>
    <w:rsid w:val="00F43FD8"/>
    <w:rsid w:val="00F45F92"/>
    <w:rsid w:val="00F4741A"/>
    <w:rsid w:val="00F47B13"/>
    <w:rsid w:val="00F50BA0"/>
    <w:rsid w:val="00F50F95"/>
    <w:rsid w:val="00F51F14"/>
    <w:rsid w:val="00F52765"/>
    <w:rsid w:val="00F538E7"/>
    <w:rsid w:val="00F54B0F"/>
    <w:rsid w:val="00F5523D"/>
    <w:rsid w:val="00F5615F"/>
    <w:rsid w:val="00F56C3E"/>
    <w:rsid w:val="00F56C6E"/>
    <w:rsid w:val="00F56DAC"/>
    <w:rsid w:val="00F57456"/>
    <w:rsid w:val="00F60514"/>
    <w:rsid w:val="00F60C9E"/>
    <w:rsid w:val="00F62AC9"/>
    <w:rsid w:val="00F635E7"/>
    <w:rsid w:val="00F65815"/>
    <w:rsid w:val="00F65E8D"/>
    <w:rsid w:val="00F6639B"/>
    <w:rsid w:val="00F666E0"/>
    <w:rsid w:val="00F66A81"/>
    <w:rsid w:val="00F703CB"/>
    <w:rsid w:val="00F70C57"/>
    <w:rsid w:val="00F711A5"/>
    <w:rsid w:val="00F71EA8"/>
    <w:rsid w:val="00F721AD"/>
    <w:rsid w:val="00F733F8"/>
    <w:rsid w:val="00F743CA"/>
    <w:rsid w:val="00F7520D"/>
    <w:rsid w:val="00F76A90"/>
    <w:rsid w:val="00F82013"/>
    <w:rsid w:val="00F82ADF"/>
    <w:rsid w:val="00F86673"/>
    <w:rsid w:val="00F8704D"/>
    <w:rsid w:val="00F87171"/>
    <w:rsid w:val="00F87D30"/>
    <w:rsid w:val="00F87DBC"/>
    <w:rsid w:val="00F90160"/>
    <w:rsid w:val="00F90AE1"/>
    <w:rsid w:val="00F9728A"/>
    <w:rsid w:val="00FA0D74"/>
    <w:rsid w:val="00FA24D4"/>
    <w:rsid w:val="00FA4436"/>
    <w:rsid w:val="00FA5216"/>
    <w:rsid w:val="00FA6F85"/>
    <w:rsid w:val="00FB11F9"/>
    <w:rsid w:val="00FB1EA8"/>
    <w:rsid w:val="00FB36FE"/>
    <w:rsid w:val="00FB452B"/>
    <w:rsid w:val="00FB7B20"/>
    <w:rsid w:val="00FC0C70"/>
    <w:rsid w:val="00FC4FDF"/>
    <w:rsid w:val="00FC583D"/>
    <w:rsid w:val="00FD00B0"/>
    <w:rsid w:val="00FD0609"/>
    <w:rsid w:val="00FD2442"/>
    <w:rsid w:val="00FD443B"/>
    <w:rsid w:val="00FD44AC"/>
    <w:rsid w:val="00FD5BF0"/>
    <w:rsid w:val="00FD5C03"/>
    <w:rsid w:val="00FD5E9F"/>
    <w:rsid w:val="00FD5FB9"/>
    <w:rsid w:val="00FD6728"/>
    <w:rsid w:val="00FD7C86"/>
    <w:rsid w:val="00FD7D6F"/>
    <w:rsid w:val="00FE1299"/>
    <w:rsid w:val="00FE2EBB"/>
    <w:rsid w:val="00FE34AD"/>
    <w:rsid w:val="00FE37A7"/>
    <w:rsid w:val="00FE3F87"/>
    <w:rsid w:val="00FE4BA6"/>
    <w:rsid w:val="00FE641E"/>
    <w:rsid w:val="00FE6F42"/>
    <w:rsid w:val="00FE7711"/>
    <w:rsid w:val="00FE7CF9"/>
    <w:rsid w:val="00FF0FAC"/>
    <w:rsid w:val="00FF1C22"/>
    <w:rsid w:val="00FF21EB"/>
    <w:rsid w:val="00FF2AD4"/>
    <w:rsid w:val="00FF41C1"/>
    <w:rsid w:val="00FF54B2"/>
    <w:rsid w:val="00FF6351"/>
    <w:rsid w:val="00FF71F4"/>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F118B"/>
  <w15:docId w15:val="{FAC88B05-9289-411A-953F-8D6191AC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11B32"/>
    <w:pPr>
      <w:keepNext/>
      <w:spacing w:before="60" w:after="60" w:line="288" w:lineRule="auto"/>
      <w:jc w:val="both"/>
      <w:outlineLvl w:val="0"/>
    </w:pPr>
    <w:rPr>
      <w:rFonts w:eastAsia="Times New Roman" w:cs="Times New Roman"/>
      <w:b/>
      <w:bCs/>
      <w:kern w:val="32"/>
      <w:szCs w:val="32"/>
      <w:lang w:val="x-none" w:eastAsia="x-none"/>
    </w:rPr>
  </w:style>
  <w:style w:type="paragraph" w:styleId="Heading2">
    <w:name w:val="heading 2"/>
    <w:basedOn w:val="Normal"/>
    <w:next w:val="Normal"/>
    <w:link w:val="Heading2Char"/>
    <w:uiPriority w:val="9"/>
    <w:unhideWhenUsed/>
    <w:qFormat/>
    <w:rsid w:val="00670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47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21A"/>
    <w:pPr>
      <w:ind w:left="720"/>
      <w:contextualSpacing/>
    </w:pPr>
  </w:style>
  <w:style w:type="table" w:styleId="TableGrid">
    <w:name w:val="Table Grid"/>
    <w:basedOn w:val="TableNormal"/>
    <w:uiPriority w:val="39"/>
    <w:rsid w:val="00997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3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880"/>
  </w:style>
  <w:style w:type="paragraph" w:styleId="Footer">
    <w:name w:val="footer"/>
    <w:basedOn w:val="Normal"/>
    <w:link w:val="FooterChar"/>
    <w:uiPriority w:val="99"/>
    <w:unhideWhenUsed/>
    <w:rsid w:val="00CF3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880"/>
  </w:style>
  <w:style w:type="paragraph" w:styleId="Revision">
    <w:name w:val="Revision"/>
    <w:hidden/>
    <w:uiPriority w:val="99"/>
    <w:semiHidden/>
    <w:rsid w:val="00E21822"/>
    <w:pPr>
      <w:spacing w:after="0" w:line="240" w:lineRule="auto"/>
    </w:pPr>
  </w:style>
  <w:style w:type="paragraph" w:styleId="BalloonText">
    <w:name w:val="Balloon Text"/>
    <w:basedOn w:val="Normal"/>
    <w:link w:val="BalloonTextChar"/>
    <w:uiPriority w:val="99"/>
    <w:semiHidden/>
    <w:unhideWhenUsed/>
    <w:rsid w:val="00FD4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AC"/>
    <w:rPr>
      <w:rFonts w:ascii="Segoe UI" w:hAnsi="Segoe UI" w:cs="Segoe UI"/>
      <w:sz w:val="18"/>
      <w:szCs w:val="18"/>
    </w:rPr>
  </w:style>
  <w:style w:type="character" w:styleId="CommentReference">
    <w:name w:val="annotation reference"/>
    <w:semiHidden/>
    <w:rsid w:val="0069104C"/>
    <w:rPr>
      <w:sz w:val="16"/>
      <w:szCs w:val="16"/>
    </w:rPr>
  </w:style>
  <w:style w:type="paragraph" w:styleId="CommentText">
    <w:name w:val="annotation text"/>
    <w:basedOn w:val="Normal"/>
    <w:link w:val="CommentTextChar"/>
    <w:rsid w:val="0069104C"/>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691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4409"/>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8D4409"/>
    <w:rPr>
      <w:rFonts w:eastAsia="Times New Roman" w:cs="Times New Roman"/>
      <w:b/>
      <w:bCs/>
      <w:sz w:val="20"/>
      <w:szCs w:val="20"/>
    </w:rPr>
  </w:style>
  <w:style w:type="character" w:customStyle="1" w:styleId="Heading1Char">
    <w:name w:val="Heading 1 Char"/>
    <w:basedOn w:val="DefaultParagraphFont"/>
    <w:link w:val="Heading1"/>
    <w:rsid w:val="00A11B32"/>
    <w:rPr>
      <w:rFonts w:eastAsia="Times New Roman" w:cs="Times New Roman"/>
      <w:b/>
      <w:bCs/>
      <w:kern w:val="32"/>
      <w:szCs w:val="32"/>
      <w:lang w:val="x-none" w:eastAsia="x-none"/>
    </w:rPr>
  </w:style>
  <w:style w:type="character" w:customStyle="1" w:styleId="Heading2Char">
    <w:name w:val="Heading 2 Char"/>
    <w:basedOn w:val="DefaultParagraphFont"/>
    <w:link w:val="Heading2"/>
    <w:uiPriority w:val="9"/>
    <w:rsid w:val="00670F3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70F33"/>
    <w:rPr>
      <w:color w:val="0000FF"/>
      <w:u w:val="single"/>
    </w:rPr>
  </w:style>
  <w:style w:type="character" w:customStyle="1" w:styleId="normal-h1">
    <w:name w:val="normal-h1"/>
    <w:rsid w:val="008F3C92"/>
    <w:rPr>
      <w:rFonts w:ascii="Times New Roman" w:hAnsi="Times New Roman" w:cs="Times New Roman" w:hint="default"/>
      <w:sz w:val="28"/>
      <w:szCs w:val="28"/>
    </w:rPr>
  </w:style>
  <w:style w:type="paragraph" w:styleId="NormalWeb">
    <w:name w:val="Normal (Web)"/>
    <w:basedOn w:val="Normal"/>
    <w:link w:val="NormalWebChar"/>
    <w:uiPriority w:val="99"/>
    <w:rsid w:val="00362E41"/>
    <w:pPr>
      <w:spacing w:before="100" w:beforeAutospacing="1" w:after="100" w:afterAutospacing="1" w:line="240" w:lineRule="auto"/>
    </w:pPr>
    <w:rPr>
      <w:rFonts w:eastAsia="Times New Roman" w:cs="Times New Roman"/>
      <w:sz w:val="24"/>
      <w:szCs w:val="24"/>
    </w:rPr>
  </w:style>
  <w:style w:type="paragraph" w:customStyle="1" w:styleId="Noidung">
    <w:name w:val="Noi dung"/>
    <w:basedOn w:val="Normal"/>
    <w:link w:val="NoidungChar"/>
    <w:qFormat/>
    <w:rsid w:val="0057533B"/>
    <w:pPr>
      <w:spacing w:before="120" w:after="120" w:line="240" w:lineRule="auto"/>
      <w:ind w:firstLine="720"/>
      <w:jc w:val="both"/>
    </w:pPr>
    <w:rPr>
      <w:rFonts w:eastAsia="Calibri" w:cs="Times New Roman"/>
    </w:rPr>
  </w:style>
  <w:style w:type="character" w:customStyle="1" w:styleId="NoidungChar">
    <w:name w:val="Noi dung Char"/>
    <w:link w:val="Noidung"/>
    <w:rsid w:val="0057533B"/>
    <w:rPr>
      <w:rFonts w:eastAsia="Calibri" w:cs="Times New Roman"/>
    </w:rPr>
  </w:style>
  <w:style w:type="character" w:styleId="Strong">
    <w:name w:val="Strong"/>
    <w:basedOn w:val="DefaultParagraphFont"/>
    <w:uiPriority w:val="22"/>
    <w:qFormat/>
    <w:rsid w:val="00EA4643"/>
    <w:rPr>
      <w:b/>
      <w:bCs/>
    </w:rPr>
  </w:style>
  <w:style w:type="character" w:customStyle="1" w:styleId="Heading3Char">
    <w:name w:val="Heading 3 Char"/>
    <w:basedOn w:val="DefaultParagraphFont"/>
    <w:link w:val="Heading3"/>
    <w:uiPriority w:val="9"/>
    <w:rsid w:val="007C4735"/>
    <w:rPr>
      <w:rFonts w:asciiTheme="majorHAnsi" w:eastAsiaTheme="majorEastAsia" w:hAnsiTheme="majorHAnsi" w:cstheme="majorBidi"/>
      <w:color w:val="1F3763" w:themeColor="accent1" w:themeShade="7F"/>
      <w:sz w:val="24"/>
      <w:szCs w:val="24"/>
    </w:rPr>
  </w:style>
  <w:style w:type="character" w:customStyle="1" w:styleId="NormalWebChar">
    <w:name w:val="Normal (Web) Char"/>
    <w:link w:val="NormalWeb"/>
    <w:uiPriority w:val="99"/>
    <w:rsid w:val="00B4407F"/>
    <w:rPr>
      <w:rFonts w:eastAsia="Times New Roman" w:cs="Times New Roman"/>
      <w:sz w:val="24"/>
      <w:szCs w:val="24"/>
    </w:rPr>
  </w:style>
  <w:style w:type="paragraph" w:styleId="BodyTextIndent">
    <w:name w:val="Body Text Indent"/>
    <w:basedOn w:val="Normal"/>
    <w:link w:val="BodyTextIndentChar"/>
    <w:rsid w:val="00B4407F"/>
    <w:pPr>
      <w:spacing w:before="120" w:after="0" w:line="240" w:lineRule="auto"/>
      <w:ind w:firstLine="720"/>
      <w:jc w:val="both"/>
    </w:pPr>
    <w:rPr>
      <w:rFonts w:eastAsia="Times New Roman" w:cs="Times New Roman"/>
      <w:szCs w:val="24"/>
      <w:lang w:val="en-AU" w:eastAsia="en-AU"/>
    </w:rPr>
  </w:style>
  <w:style w:type="character" w:customStyle="1" w:styleId="BodyTextIndentChar">
    <w:name w:val="Body Text Indent Char"/>
    <w:basedOn w:val="DefaultParagraphFont"/>
    <w:link w:val="BodyTextIndent"/>
    <w:rsid w:val="00B4407F"/>
    <w:rPr>
      <w:rFonts w:eastAsia="Times New Roman" w:cs="Times New Roman"/>
      <w:szCs w:val="24"/>
      <w:lang w:val="en-AU" w:eastAsia="en-AU"/>
    </w:rPr>
  </w:style>
  <w:style w:type="character" w:styleId="Emphasis">
    <w:name w:val="Emphasis"/>
    <w:qFormat/>
    <w:rsid w:val="009B7B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159">
      <w:bodyDiv w:val="1"/>
      <w:marLeft w:val="0"/>
      <w:marRight w:val="0"/>
      <w:marTop w:val="0"/>
      <w:marBottom w:val="0"/>
      <w:divBdr>
        <w:top w:val="none" w:sz="0" w:space="0" w:color="auto"/>
        <w:left w:val="none" w:sz="0" w:space="0" w:color="auto"/>
        <w:bottom w:val="none" w:sz="0" w:space="0" w:color="auto"/>
        <w:right w:val="none" w:sz="0" w:space="0" w:color="auto"/>
      </w:divBdr>
    </w:div>
    <w:div w:id="3289758">
      <w:bodyDiv w:val="1"/>
      <w:marLeft w:val="0"/>
      <w:marRight w:val="0"/>
      <w:marTop w:val="0"/>
      <w:marBottom w:val="0"/>
      <w:divBdr>
        <w:top w:val="none" w:sz="0" w:space="0" w:color="auto"/>
        <w:left w:val="none" w:sz="0" w:space="0" w:color="auto"/>
        <w:bottom w:val="none" w:sz="0" w:space="0" w:color="auto"/>
        <w:right w:val="none" w:sz="0" w:space="0" w:color="auto"/>
      </w:divBdr>
    </w:div>
    <w:div w:id="163522505">
      <w:bodyDiv w:val="1"/>
      <w:marLeft w:val="0"/>
      <w:marRight w:val="0"/>
      <w:marTop w:val="0"/>
      <w:marBottom w:val="0"/>
      <w:divBdr>
        <w:top w:val="none" w:sz="0" w:space="0" w:color="auto"/>
        <w:left w:val="none" w:sz="0" w:space="0" w:color="auto"/>
        <w:bottom w:val="none" w:sz="0" w:space="0" w:color="auto"/>
        <w:right w:val="none" w:sz="0" w:space="0" w:color="auto"/>
      </w:divBdr>
    </w:div>
    <w:div w:id="167527472">
      <w:bodyDiv w:val="1"/>
      <w:marLeft w:val="0"/>
      <w:marRight w:val="0"/>
      <w:marTop w:val="0"/>
      <w:marBottom w:val="0"/>
      <w:divBdr>
        <w:top w:val="none" w:sz="0" w:space="0" w:color="auto"/>
        <w:left w:val="none" w:sz="0" w:space="0" w:color="auto"/>
        <w:bottom w:val="none" w:sz="0" w:space="0" w:color="auto"/>
        <w:right w:val="none" w:sz="0" w:space="0" w:color="auto"/>
      </w:divBdr>
    </w:div>
    <w:div w:id="242103042">
      <w:bodyDiv w:val="1"/>
      <w:marLeft w:val="0"/>
      <w:marRight w:val="0"/>
      <w:marTop w:val="0"/>
      <w:marBottom w:val="0"/>
      <w:divBdr>
        <w:top w:val="none" w:sz="0" w:space="0" w:color="auto"/>
        <w:left w:val="none" w:sz="0" w:space="0" w:color="auto"/>
        <w:bottom w:val="none" w:sz="0" w:space="0" w:color="auto"/>
        <w:right w:val="none" w:sz="0" w:space="0" w:color="auto"/>
      </w:divBdr>
    </w:div>
    <w:div w:id="245191019">
      <w:bodyDiv w:val="1"/>
      <w:marLeft w:val="0"/>
      <w:marRight w:val="0"/>
      <w:marTop w:val="0"/>
      <w:marBottom w:val="0"/>
      <w:divBdr>
        <w:top w:val="none" w:sz="0" w:space="0" w:color="auto"/>
        <w:left w:val="none" w:sz="0" w:space="0" w:color="auto"/>
        <w:bottom w:val="none" w:sz="0" w:space="0" w:color="auto"/>
        <w:right w:val="none" w:sz="0" w:space="0" w:color="auto"/>
      </w:divBdr>
    </w:div>
    <w:div w:id="305476598">
      <w:bodyDiv w:val="1"/>
      <w:marLeft w:val="0"/>
      <w:marRight w:val="0"/>
      <w:marTop w:val="0"/>
      <w:marBottom w:val="0"/>
      <w:divBdr>
        <w:top w:val="none" w:sz="0" w:space="0" w:color="auto"/>
        <w:left w:val="none" w:sz="0" w:space="0" w:color="auto"/>
        <w:bottom w:val="none" w:sz="0" w:space="0" w:color="auto"/>
        <w:right w:val="none" w:sz="0" w:space="0" w:color="auto"/>
      </w:divBdr>
    </w:div>
    <w:div w:id="450587534">
      <w:bodyDiv w:val="1"/>
      <w:marLeft w:val="0"/>
      <w:marRight w:val="0"/>
      <w:marTop w:val="0"/>
      <w:marBottom w:val="0"/>
      <w:divBdr>
        <w:top w:val="none" w:sz="0" w:space="0" w:color="auto"/>
        <w:left w:val="none" w:sz="0" w:space="0" w:color="auto"/>
        <w:bottom w:val="none" w:sz="0" w:space="0" w:color="auto"/>
        <w:right w:val="none" w:sz="0" w:space="0" w:color="auto"/>
      </w:divBdr>
    </w:div>
    <w:div w:id="457383944">
      <w:bodyDiv w:val="1"/>
      <w:marLeft w:val="0"/>
      <w:marRight w:val="0"/>
      <w:marTop w:val="0"/>
      <w:marBottom w:val="0"/>
      <w:divBdr>
        <w:top w:val="none" w:sz="0" w:space="0" w:color="auto"/>
        <w:left w:val="none" w:sz="0" w:space="0" w:color="auto"/>
        <w:bottom w:val="none" w:sz="0" w:space="0" w:color="auto"/>
        <w:right w:val="none" w:sz="0" w:space="0" w:color="auto"/>
      </w:divBdr>
    </w:div>
    <w:div w:id="595207839">
      <w:bodyDiv w:val="1"/>
      <w:marLeft w:val="0"/>
      <w:marRight w:val="0"/>
      <w:marTop w:val="0"/>
      <w:marBottom w:val="0"/>
      <w:divBdr>
        <w:top w:val="none" w:sz="0" w:space="0" w:color="auto"/>
        <w:left w:val="none" w:sz="0" w:space="0" w:color="auto"/>
        <w:bottom w:val="none" w:sz="0" w:space="0" w:color="auto"/>
        <w:right w:val="none" w:sz="0" w:space="0" w:color="auto"/>
      </w:divBdr>
    </w:div>
    <w:div w:id="621887989">
      <w:bodyDiv w:val="1"/>
      <w:marLeft w:val="0"/>
      <w:marRight w:val="0"/>
      <w:marTop w:val="0"/>
      <w:marBottom w:val="0"/>
      <w:divBdr>
        <w:top w:val="none" w:sz="0" w:space="0" w:color="auto"/>
        <w:left w:val="none" w:sz="0" w:space="0" w:color="auto"/>
        <w:bottom w:val="none" w:sz="0" w:space="0" w:color="auto"/>
        <w:right w:val="none" w:sz="0" w:space="0" w:color="auto"/>
      </w:divBdr>
    </w:div>
    <w:div w:id="641428298">
      <w:bodyDiv w:val="1"/>
      <w:marLeft w:val="0"/>
      <w:marRight w:val="0"/>
      <w:marTop w:val="0"/>
      <w:marBottom w:val="0"/>
      <w:divBdr>
        <w:top w:val="none" w:sz="0" w:space="0" w:color="auto"/>
        <w:left w:val="none" w:sz="0" w:space="0" w:color="auto"/>
        <w:bottom w:val="none" w:sz="0" w:space="0" w:color="auto"/>
        <w:right w:val="none" w:sz="0" w:space="0" w:color="auto"/>
      </w:divBdr>
    </w:div>
    <w:div w:id="788401136">
      <w:bodyDiv w:val="1"/>
      <w:marLeft w:val="0"/>
      <w:marRight w:val="0"/>
      <w:marTop w:val="0"/>
      <w:marBottom w:val="0"/>
      <w:divBdr>
        <w:top w:val="none" w:sz="0" w:space="0" w:color="auto"/>
        <w:left w:val="none" w:sz="0" w:space="0" w:color="auto"/>
        <w:bottom w:val="none" w:sz="0" w:space="0" w:color="auto"/>
        <w:right w:val="none" w:sz="0" w:space="0" w:color="auto"/>
      </w:divBdr>
    </w:div>
    <w:div w:id="965424935">
      <w:bodyDiv w:val="1"/>
      <w:marLeft w:val="0"/>
      <w:marRight w:val="0"/>
      <w:marTop w:val="0"/>
      <w:marBottom w:val="0"/>
      <w:divBdr>
        <w:top w:val="none" w:sz="0" w:space="0" w:color="auto"/>
        <w:left w:val="none" w:sz="0" w:space="0" w:color="auto"/>
        <w:bottom w:val="none" w:sz="0" w:space="0" w:color="auto"/>
        <w:right w:val="none" w:sz="0" w:space="0" w:color="auto"/>
      </w:divBdr>
    </w:div>
    <w:div w:id="1782996613">
      <w:bodyDiv w:val="1"/>
      <w:marLeft w:val="0"/>
      <w:marRight w:val="0"/>
      <w:marTop w:val="0"/>
      <w:marBottom w:val="0"/>
      <w:divBdr>
        <w:top w:val="none" w:sz="0" w:space="0" w:color="auto"/>
        <w:left w:val="none" w:sz="0" w:space="0" w:color="auto"/>
        <w:bottom w:val="none" w:sz="0" w:space="0" w:color="auto"/>
        <w:right w:val="none" w:sz="0" w:space="0" w:color="auto"/>
      </w:divBdr>
    </w:div>
    <w:div w:id="19975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048A1-A65A-4AD4-9996-78D962A521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6C172C-A8D8-45A8-961A-115EFE328A48}">
  <ds:schemaRefs>
    <ds:schemaRef ds:uri="http://schemas.microsoft.com/sharepoint/v3/contenttype/forms"/>
  </ds:schemaRefs>
</ds:datastoreItem>
</file>

<file path=customXml/itemProps3.xml><?xml version="1.0" encoding="utf-8"?>
<ds:datastoreItem xmlns:ds="http://schemas.openxmlformats.org/officeDocument/2006/customXml" ds:itemID="{97122B83-79DF-4F42-B7A3-C403720AF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166875-E723-4E41-AAC5-CBABD24A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Trung Hau (VCL)</dc:creator>
  <cp:keywords/>
  <dc:description/>
  <cp:lastModifiedBy>Dao Thu Thuy (TTGSNH)</cp:lastModifiedBy>
  <cp:revision>2</cp:revision>
  <cp:lastPrinted>2025-10-10T09:01:00Z</cp:lastPrinted>
  <dcterms:created xsi:type="dcterms:W3CDTF">2025-11-06T06:55:00Z</dcterms:created>
  <dcterms:modified xsi:type="dcterms:W3CDTF">2025-11-06T06:55:00Z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