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25279" w14:textId="53AE1C06" w:rsidR="00755E60" w:rsidRPr="0002360B" w:rsidRDefault="00755E60" w:rsidP="00B268EC">
      <w:pPr>
        <w:pStyle w:val="Heading1"/>
        <w:keepNext w:val="0"/>
        <w:widowControl w:val="0"/>
        <w:tabs>
          <w:tab w:val="left" w:pos="5670"/>
        </w:tabs>
        <w:jc w:val="center"/>
        <w:rPr>
          <w:rFonts w:ascii="Times New Roman" w:hAnsi="Times New Roman"/>
          <w:sz w:val="24"/>
          <w:szCs w:val="24"/>
          <w:lang w:val="pt-BR"/>
        </w:rPr>
      </w:pPr>
      <w:bookmarkStart w:id="0" w:name="_GoBack"/>
      <w:bookmarkEnd w:id="0"/>
      <w:r w:rsidRPr="0002360B">
        <w:rPr>
          <w:rFonts w:ascii="Times New Roman" w:hAnsi="Times New Roman"/>
          <w:sz w:val="24"/>
          <w:szCs w:val="24"/>
          <w:lang w:val="pt-BR"/>
        </w:rPr>
        <w:t>Phụ lục</w:t>
      </w:r>
    </w:p>
    <w:p w14:paraId="03A2D9E1" w14:textId="77777777" w:rsidR="00755E60" w:rsidRPr="0002360B" w:rsidRDefault="00755E60" w:rsidP="00B268EC">
      <w:pPr>
        <w:widowControl w:val="0"/>
        <w:tabs>
          <w:tab w:val="left" w:pos="5670"/>
        </w:tabs>
        <w:ind w:left="-993"/>
        <w:jc w:val="center"/>
        <w:rPr>
          <w:b/>
          <w:lang w:val="pt-BR" w:eastAsia="x-none"/>
        </w:rPr>
      </w:pPr>
      <w:r w:rsidRPr="0002360B">
        <w:rPr>
          <w:b/>
          <w:lang w:val="pt-BR" w:eastAsia="x-none"/>
        </w:rPr>
        <w:t>BẢN TỔNG HỢP Ý KIẾN, TIẾP THU, GIẢI TRÌNH Ý KIẾN GÓP Ý, THAM VẤN CHÍNH SÁCH CỦA CÁC TCTD, CNNHNNG</w:t>
      </w:r>
    </w:p>
    <w:p w14:paraId="198D5220" w14:textId="6BD8D43D" w:rsidR="00755E60" w:rsidRPr="0002360B" w:rsidRDefault="00EF7650" w:rsidP="00B268EC">
      <w:pPr>
        <w:widowControl w:val="0"/>
        <w:tabs>
          <w:tab w:val="left" w:pos="5670"/>
        </w:tabs>
        <w:ind w:left="-993"/>
        <w:jc w:val="center"/>
        <w:rPr>
          <w:b/>
          <w:lang w:val="pt-BR" w:eastAsia="x-none"/>
        </w:rPr>
      </w:pPr>
      <w:r>
        <w:rPr>
          <w:b/>
          <w:lang w:val="pt-BR" w:eastAsia="x-none"/>
        </w:rPr>
        <w:t xml:space="preserve">HIỆP HỘI NGÂN HÀNG ĐỐI VỚI </w:t>
      </w:r>
      <w:r w:rsidR="00755E60" w:rsidRPr="0002360B">
        <w:rPr>
          <w:b/>
          <w:lang w:val="pt-BR" w:eastAsia="x-none"/>
        </w:rPr>
        <w:t xml:space="preserve">DỰ THẢO THÔNG TƯ THAY THỂ THÔNG TƯ </w:t>
      </w:r>
      <w:r w:rsidR="00B674B7">
        <w:rPr>
          <w:b/>
          <w:lang w:val="pt-BR" w:eastAsia="x-none"/>
        </w:rPr>
        <w:t xml:space="preserve">SỐ </w:t>
      </w:r>
      <w:r w:rsidR="00755E60" w:rsidRPr="0002360B">
        <w:rPr>
          <w:b/>
          <w:lang w:val="pt-BR" w:eastAsia="x-none"/>
        </w:rPr>
        <w:t xml:space="preserve">52/2018/TT-NHNN QUY ĐỊNH </w:t>
      </w:r>
    </w:p>
    <w:p w14:paraId="5D9450BE" w14:textId="77777777" w:rsidR="00755E60" w:rsidRPr="0002360B" w:rsidRDefault="00755E60" w:rsidP="00B268EC">
      <w:pPr>
        <w:widowControl w:val="0"/>
        <w:tabs>
          <w:tab w:val="left" w:pos="5670"/>
        </w:tabs>
        <w:ind w:left="-993"/>
        <w:jc w:val="center"/>
        <w:rPr>
          <w:b/>
          <w:lang w:val="pt-BR" w:eastAsia="x-none"/>
        </w:rPr>
      </w:pPr>
      <w:r w:rsidRPr="0002360B">
        <w:rPr>
          <w:b/>
          <w:lang w:val="pt-BR" w:eastAsia="x-none"/>
        </w:rPr>
        <w:t>XẾP HẠNG TỔ CHỨC TÍN DỤNG, CHI NHÁNH NGÂN HÀNG NƯỚC NGOÀI</w:t>
      </w:r>
    </w:p>
    <w:p w14:paraId="1DEA6EEE" w14:textId="77777777" w:rsidR="00755E60" w:rsidRPr="0002360B" w:rsidRDefault="00755E60" w:rsidP="00B268EC">
      <w:pPr>
        <w:widowControl w:val="0"/>
        <w:tabs>
          <w:tab w:val="left" w:pos="5670"/>
        </w:tabs>
        <w:ind w:left="-993"/>
        <w:jc w:val="center"/>
        <w:rPr>
          <w:b/>
          <w:lang w:val="pt-BR" w:eastAsia="x-none"/>
        </w:rPr>
      </w:pPr>
      <w:r w:rsidRPr="0002360B">
        <w:rPr>
          <w:noProof/>
        </w:rPr>
        <mc:AlternateContent>
          <mc:Choice Requires="wps">
            <w:drawing>
              <wp:anchor distT="0" distB="0" distL="114300" distR="114300" simplePos="0" relativeHeight="251659264" behindDoc="0" locked="0" layoutInCell="1" allowOverlap="1" wp14:anchorId="34DA6BA7" wp14:editId="3A60C760">
                <wp:simplePos x="0" y="0"/>
                <wp:positionH relativeFrom="column">
                  <wp:posOffset>3653790</wp:posOffset>
                </wp:positionH>
                <wp:positionV relativeFrom="paragraph">
                  <wp:posOffset>45085</wp:posOffset>
                </wp:positionV>
                <wp:extent cx="1447800" cy="0"/>
                <wp:effectExtent l="9525" t="6985" r="952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C6B462" id="_x0000_t32" coordsize="21600,21600" o:spt="32" o:oned="t" path="m,l21600,21600e" filled="f">
                <v:path arrowok="t" fillok="f" o:connecttype="none"/>
                <o:lock v:ext="edit" shapetype="t"/>
              </v:shapetype>
              <v:shape id="Straight Arrow Connector 1" o:spid="_x0000_s1026" type="#_x0000_t32" style="position:absolute;margin-left:287.7pt;margin-top:3.55pt;width:11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9JQIAAEo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"/>
            </w:pict>
          </mc:Fallback>
        </mc:AlternateContent>
      </w:r>
    </w:p>
    <w:p w14:paraId="45AE5523" w14:textId="77777777" w:rsidR="00755E60" w:rsidRPr="0002360B" w:rsidRDefault="00755E60" w:rsidP="00B268EC">
      <w:pPr>
        <w:widowControl w:val="0"/>
        <w:tabs>
          <w:tab w:val="left" w:pos="5670"/>
        </w:tabs>
        <w:ind w:left="-992" w:firstLine="720"/>
        <w:rPr>
          <w:lang w:val="pt-BR" w:eastAsia="x-none"/>
        </w:rPr>
      </w:pPr>
      <w:r w:rsidRPr="0002360B">
        <w:rPr>
          <w:lang w:val="pt-BR" w:eastAsia="x-none"/>
        </w:rPr>
        <w:t>Căn cứ Luật Ban hành văn bản quy phạm pháp luật, Cục An toàn hệ thống các tổ chức tín dụng (Cục ATHT) đã tổ chức lấy ý kiến đối với dự thảo Thông tư thay thế Thông tư 52/2018/TT-NHNN ngày 31/12/2018 (đã được sửa đổi, bổ sung bởi Thông tư số 23/2021/TT-NHNN ngày 31/12/2021) quy định xếp hạng tổ chức tín dụng, chi nhánh ngân hàng nước ngoài (Thông tư 52).</w:t>
      </w:r>
    </w:p>
    <w:p w14:paraId="07BD6289" w14:textId="36201C70" w:rsidR="00755E60" w:rsidRPr="0002360B" w:rsidRDefault="00755E60">
      <w:pPr>
        <w:widowControl w:val="0"/>
        <w:tabs>
          <w:tab w:val="left" w:pos="5670"/>
        </w:tabs>
        <w:ind w:left="-992" w:firstLine="720"/>
        <w:rPr>
          <w:lang w:val="pt-BR" w:eastAsia="x-none"/>
        </w:rPr>
      </w:pPr>
      <w:r w:rsidRPr="0002360B">
        <w:rPr>
          <w:lang w:val="pt-BR" w:eastAsia="x-none"/>
        </w:rPr>
        <w:t xml:space="preserve">Tổng số ý kiến đã nhận được: </w:t>
      </w:r>
    </w:p>
    <w:p w14:paraId="0779DB8B" w14:textId="77777777" w:rsidR="00755E60" w:rsidRPr="0002360B" w:rsidRDefault="00755E60" w:rsidP="00B268EC">
      <w:pPr>
        <w:widowControl w:val="0"/>
        <w:tabs>
          <w:tab w:val="left" w:pos="5670"/>
        </w:tabs>
        <w:ind w:left="-992" w:firstLine="720"/>
        <w:rPr>
          <w:lang w:val="pt-BR" w:eastAsia="x-none"/>
        </w:rPr>
      </w:pPr>
      <w:r w:rsidRPr="0002360B">
        <w:rPr>
          <w:lang w:val="pt-BR" w:eastAsia="x-none"/>
        </w:rPr>
        <w:t>- 55/117 TCTD, CNNHNNg;</w:t>
      </w:r>
    </w:p>
    <w:p w14:paraId="68E818B1" w14:textId="77777777" w:rsidR="00755E60" w:rsidRPr="0002360B" w:rsidRDefault="00755E60" w:rsidP="00B268EC">
      <w:pPr>
        <w:widowControl w:val="0"/>
        <w:tabs>
          <w:tab w:val="left" w:pos="5670"/>
        </w:tabs>
        <w:ind w:left="-992" w:firstLine="720"/>
        <w:rPr>
          <w:lang w:val="pt-BR" w:eastAsia="x-none"/>
        </w:rPr>
      </w:pPr>
      <w:r w:rsidRPr="0002360B">
        <w:rPr>
          <w:lang w:val="pt-BR" w:eastAsia="x-none"/>
        </w:rPr>
        <w:t xml:space="preserve">- 1/3 đơn vị. </w:t>
      </w:r>
    </w:p>
    <w:p w14:paraId="2B083D28" w14:textId="77777777" w:rsidR="00755E60" w:rsidRPr="0002360B" w:rsidRDefault="00755E60" w:rsidP="00B268EC">
      <w:pPr>
        <w:widowControl w:val="0"/>
        <w:tabs>
          <w:tab w:val="left" w:pos="5670"/>
        </w:tabs>
        <w:ind w:left="-992" w:firstLine="720"/>
        <w:rPr>
          <w:b/>
          <w:lang w:val="pt-BR" w:eastAsia="x-none"/>
        </w:rPr>
      </w:pPr>
    </w:p>
    <w:p w14:paraId="761EEEDC" w14:textId="77777777" w:rsidR="00755E60" w:rsidRPr="0002360B" w:rsidRDefault="00755E60" w:rsidP="00B268EC">
      <w:pPr>
        <w:widowControl w:val="0"/>
        <w:tabs>
          <w:tab w:val="left" w:pos="5670"/>
        </w:tabs>
        <w:ind w:left="-992" w:firstLine="720"/>
        <w:rPr>
          <w:lang w:val="pt-BR" w:eastAsia="x-none"/>
        </w:rPr>
      </w:pPr>
      <w:r w:rsidRPr="0002360B">
        <w:rPr>
          <w:b/>
          <w:lang w:val="pt-BR" w:eastAsia="x-none"/>
        </w:rPr>
        <w:br w:type="page"/>
      </w:r>
      <w:r w:rsidRPr="0002360B">
        <w:rPr>
          <w:b/>
          <w:lang w:val="pt-BR" w:eastAsia="x-none"/>
        </w:rPr>
        <w:lastRenderedPageBreak/>
        <w:t>2.</w:t>
      </w:r>
      <w:r w:rsidRPr="0002360B">
        <w:rPr>
          <w:lang w:val="pt-BR" w:eastAsia="x-none"/>
        </w:rPr>
        <w:t xml:space="preserve"> Kết quả cụ thể như sau:</w:t>
      </w:r>
    </w:p>
    <w:p w14:paraId="1BBE6B21" w14:textId="77777777" w:rsidR="00755E60" w:rsidRPr="0002360B" w:rsidRDefault="00755E60" w:rsidP="00B268EC">
      <w:pPr>
        <w:pStyle w:val="BodyText"/>
        <w:widowControl w:val="0"/>
        <w:tabs>
          <w:tab w:val="left" w:pos="5670"/>
        </w:tabs>
        <w:spacing w:before="120"/>
        <w:ind w:firstLine="720"/>
        <w:rPr>
          <w:color w:val="auto"/>
          <w:sz w:val="22"/>
          <w:szCs w:val="22"/>
          <w:lang w:val="pt-BR"/>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730"/>
        <w:gridCol w:w="5358"/>
        <w:gridCol w:w="4252"/>
      </w:tblGrid>
      <w:tr w:rsidR="0002360B" w:rsidRPr="0002360B" w14:paraId="727A9F85" w14:textId="77777777" w:rsidTr="00776E98">
        <w:trPr>
          <w:cantSplit/>
          <w:tblHeader/>
        </w:trPr>
        <w:tc>
          <w:tcPr>
            <w:tcW w:w="3828" w:type="dxa"/>
          </w:tcPr>
          <w:p w14:paraId="7320988B" w14:textId="77777777" w:rsidR="00755E60" w:rsidRPr="0002360B" w:rsidRDefault="00755E60" w:rsidP="00B268EC">
            <w:pPr>
              <w:widowControl w:val="0"/>
              <w:tabs>
                <w:tab w:val="left" w:pos="5670"/>
              </w:tabs>
              <w:spacing w:before="0" w:after="0"/>
              <w:jc w:val="center"/>
              <w:rPr>
                <w:b/>
                <w:szCs w:val="24"/>
              </w:rPr>
            </w:pPr>
            <w:r w:rsidRPr="0002360B">
              <w:rPr>
                <w:b/>
                <w:szCs w:val="24"/>
              </w:rPr>
              <w:t>Nhóm vấn đề/Điều, khoản</w:t>
            </w:r>
          </w:p>
        </w:tc>
        <w:tc>
          <w:tcPr>
            <w:tcW w:w="1730" w:type="dxa"/>
            <w:vAlign w:val="center"/>
          </w:tcPr>
          <w:p w14:paraId="4488F83E" w14:textId="77777777" w:rsidR="00755E60" w:rsidRPr="0002360B" w:rsidRDefault="00755E60" w:rsidP="00B268EC">
            <w:pPr>
              <w:widowControl w:val="0"/>
              <w:tabs>
                <w:tab w:val="left" w:pos="5670"/>
              </w:tabs>
              <w:spacing w:before="0" w:after="0"/>
              <w:jc w:val="center"/>
              <w:rPr>
                <w:szCs w:val="24"/>
                <w:lang w:val="pt-BR"/>
              </w:rPr>
            </w:pPr>
            <w:r w:rsidRPr="0002360B">
              <w:rPr>
                <w:b/>
                <w:szCs w:val="24"/>
              </w:rPr>
              <w:t>Chủ thể góp ý</w:t>
            </w:r>
          </w:p>
        </w:tc>
        <w:tc>
          <w:tcPr>
            <w:tcW w:w="5358" w:type="dxa"/>
            <w:vAlign w:val="center"/>
          </w:tcPr>
          <w:p w14:paraId="55A84427" w14:textId="77777777" w:rsidR="00755E60" w:rsidRPr="0002360B" w:rsidRDefault="00755E60" w:rsidP="00B268EC">
            <w:pPr>
              <w:widowControl w:val="0"/>
              <w:tabs>
                <w:tab w:val="left" w:pos="5670"/>
              </w:tabs>
              <w:spacing w:before="0" w:after="0"/>
              <w:jc w:val="center"/>
              <w:rPr>
                <w:b/>
                <w:szCs w:val="24"/>
              </w:rPr>
            </w:pPr>
            <w:r w:rsidRPr="0002360B">
              <w:rPr>
                <w:b/>
                <w:szCs w:val="24"/>
              </w:rPr>
              <w:t xml:space="preserve">Nội dung góp ý </w:t>
            </w:r>
          </w:p>
        </w:tc>
        <w:tc>
          <w:tcPr>
            <w:tcW w:w="4252" w:type="dxa"/>
          </w:tcPr>
          <w:p w14:paraId="334B8002" w14:textId="77777777" w:rsidR="00755E60" w:rsidRPr="0002360B" w:rsidRDefault="00755E60" w:rsidP="00B268EC">
            <w:pPr>
              <w:widowControl w:val="0"/>
              <w:tabs>
                <w:tab w:val="left" w:pos="5670"/>
              </w:tabs>
              <w:spacing w:before="0" w:after="0"/>
              <w:jc w:val="center"/>
              <w:rPr>
                <w:b/>
                <w:szCs w:val="24"/>
              </w:rPr>
            </w:pPr>
            <w:r w:rsidRPr="0002360B">
              <w:rPr>
                <w:b/>
                <w:szCs w:val="24"/>
              </w:rPr>
              <w:t>Nội dung tiếp thu, giải trình</w:t>
            </w:r>
          </w:p>
        </w:tc>
      </w:tr>
      <w:tr w:rsidR="0002360B" w:rsidRPr="0002360B" w14:paraId="5D3C1409" w14:textId="77777777" w:rsidTr="00776E98">
        <w:trPr>
          <w:cantSplit/>
          <w:tblHeader/>
        </w:trPr>
        <w:tc>
          <w:tcPr>
            <w:tcW w:w="3828" w:type="dxa"/>
          </w:tcPr>
          <w:p w14:paraId="6546A681" w14:textId="77777777" w:rsidR="00755E60" w:rsidRPr="0059729F" w:rsidRDefault="00755E60" w:rsidP="00B268EC">
            <w:pPr>
              <w:pStyle w:val="BodyText"/>
              <w:widowControl w:val="0"/>
              <w:tabs>
                <w:tab w:val="left" w:pos="5670"/>
              </w:tabs>
              <w:spacing w:before="0"/>
              <w:jc w:val="center"/>
              <w:rPr>
                <w:color w:val="auto"/>
                <w:sz w:val="24"/>
                <w:szCs w:val="24"/>
                <w:lang w:val="pt-BR"/>
              </w:rPr>
            </w:pPr>
            <w:r w:rsidRPr="0059729F">
              <w:rPr>
                <w:color w:val="auto"/>
                <w:sz w:val="24"/>
                <w:szCs w:val="24"/>
                <w:lang w:val="pt-BR"/>
              </w:rPr>
              <w:t>(2)</w:t>
            </w:r>
          </w:p>
        </w:tc>
        <w:tc>
          <w:tcPr>
            <w:tcW w:w="1730" w:type="dxa"/>
          </w:tcPr>
          <w:p w14:paraId="626E7FFF" w14:textId="77777777" w:rsidR="00755E60" w:rsidRPr="0059729F" w:rsidRDefault="00755E60" w:rsidP="00B268EC">
            <w:pPr>
              <w:pStyle w:val="BodyText"/>
              <w:widowControl w:val="0"/>
              <w:tabs>
                <w:tab w:val="left" w:pos="5670"/>
              </w:tabs>
              <w:spacing w:before="0"/>
              <w:jc w:val="center"/>
              <w:rPr>
                <w:color w:val="auto"/>
                <w:sz w:val="24"/>
                <w:szCs w:val="24"/>
                <w:lang w:val="pt-BR"/>
              </w:rPr>
            </w:pPr>
            <w:r w:rsidRPr="0059729F">
              <w:rPr>
                <w:color w:val="auto"/>
                <w:sz w:val="24"/>
                <w:szCs w:val="24"/>
                <w:lang w:val="pt-BR"/>
              </w:rPr>
              <w:t>(3)</w:t>
            </w:r>
          </w:p>
        </w:tc>
        <w:tc>
          <w:tcPr>
            <w:tcW w:w="5358" w:type="dxa"/>
          </w:tcPr>
          <w:p w14:paraId="4431515F" w14:textId="77777777" w:rsidR="00755E60" w:rsidRPr="0059729F" w:rsidRDefault="00755E60" w:rsidP="00B268EC">
            <w:pPr>
              <w:pStyle w:val="BodyText"/>
              <w:widowControl w:val="0"/>
              <w:tabs>
                <w:tab w:val="left" w:pos="5670"/>
              </w:tabs>
              <w:spacing w:before="0"/>
              <w:jc w:val="center"/>
              <w:rPr>
                <w:color w:val="auto"/>
                <w:sz w:val="24"/>
                <w:szCs w:val="24"/>
                <w:lang w:val="pt-BR"/>
              </w:rPr>
            </w:pPr>
            <w:r w:rsidRPr="0059729F">
              <w:rPr>
                <w:color w:val="auto"/>
                <w:sz w:val="24"/>
                <w:szCs w:val="24"/>
                <w:lang w:val="pt-BR"/>
              </w:rPr>
              <w:t>(4)</w:t>
            </w:r>
          </w:p>
        </w:tc>
        <w:tc>
          <w:tcPr>
            <w:tcW w:w="4252" w:type="dxa"/>
          </w:tcPr>
          <w:p w14:paraId="330B8D64" w14:textId="77777777" w:rsidR="00755E60" w:rsidRPr="0059729F" w:rsidRDefault="00755E60" w:rsidP="00B268EC">
            <w:pPr>
              <w:pStyle w:val="BodyText"/>
              <w:widowControl w:val="0"/>
              <w:tabs>
                <w:tab w:val="left" w:pos="5670"/>
              </w:tabs>
              <w:spacing w:before="0"/>
              <w:jc w:val="center"/>
              <w:rPr>
                <w:color w:val="auto"/>
                <w:sz w:val="24"/>
                <w:szCs w:val="24"/>
                <w:lang w:val="pt-BR"/>
              </w:rPr>
            </w:pPr>
            <w:r w:rsidRPr="0059729F">
              <w:rPr>
                <w:color w:val="auto"/>
                <w:sz w:val="24"/>
                <w:szCs w:val="24"/>
                <w:lang w:val="pt-BR"/>
              </w:rPr>
              <w:t>(5)</w:t>
            </w:r>
          </w:p>
        </w:tc>
      </w:tr>
      <w:tr w:rsidR="0002360B" w:rsidRPr="0002360B" w14:paraId="3D8357C3" w14:textId="77777777" w:rsidTr="00776E98">
        <w:trPr>
          <w:cantSplit/>
        </w:trPr>
        <w:tc>
          <w:tcPr>
            <w:tcW w:w="3828" w:type="dxa"/>
            <w:vMerge w:val="restart"/>
          </w:tcPr>
          <w:p w14:paraId="64D98DE3" w14:textId="77777777" w:rsidR="00755E60" w:rsidRPr="0002360B" w:rsidRDefault="00755E60" w:rsidP="00B268EC">
            <w:pPr>
              <w:widowControl w:val="0"/>
              <w:tabs>
                <w:tab w:val="left" w:pos="5670"/>
              </w:tabs>
              <w:spacing w:before="0" w:after="0"/>
              <w:ind w:right="33" w:hanging="1"/>
              <w:rPr>
                <w:b/>
                <w:szCs w:val="24"/>
                <w:lang w:val="pt-BR"/>
              </w:rPr>
            </w:pPr>
            <w:r w:rsidRPr="0002360B">
              <w:rPr>
                <w:b/>
                <w:szCs w:val="24"/>
                <w:lang w:val="pt-BR"/>
              </w:rPr>
              <w:t>Điểm c khoản 1 Điều 2 DTTT sửa đổi, bổ sung khoản 3 Điều 3 Thông tư 52</w:t>
            </w:r>
          </w:p>
          <w:p w14:paraId="09251788" w14:textId="77777777" w:rsidR="00755E60" w:rsidRPr="0002360B" w:rsidRDefault="00755E60" w:rsidP="00B268EC">
            <w:pPr>
              <w:widowControl w:val="0"/>
              <w:tabs>
                <w:tab w:val="left" w:pos="5670"/>
              </w:tabs>
              <w:spacing w:before="0" w:after="0"/>
              <w:ind w:right="33" w:hanging="1"/>
              <w:rPr>
                <w:b/>
                <w:szCs w:val="24"/>
                <w:lang w:val="pt-BR"/>
              </w:rPr>
            </w:pPr>
            <w:r w:rsidRPr="0002360B">
              <w:rPr>
                <w:szCs w:val="24"/>
              </w:rPr>
              <w:t>“3. Nợ cơ cấu tiềm ẩn trở thành nợ xấu là số dư nợ của khách hàng chưa chuyển sang nhóm nợ xấu do được cơ cấu lại thời hạn trả nợ, miễn, giảm lãi và giữ nguyên nhóm nợ của tổ chức tín dụng, chi nhánh ngân hàng nước ngoài.”</w:t>
            </w:r>
          </w:p>
        </w:tc>
        <w:tc>
          <w:tcPr>
            <w:tcW w:w="1730" w:type="dxa"/>
            <w:vAlign w:val="center"/>
          </w:tcPr>
          <w:p w14:paraId="6F047C9E" w14:textId="77777777" w:rsidR="00755E60" w:rsidRPr="0002360B" w:rsidRDefault="00755E60" w:rsidP="00B268EC">
            <w:pPr>
              <w:widowControl w:val="0"/>
              <w:tabs>
                <w:tab w:val="left" w:pos="5670"/>
              </w:tabs>
              <w:spacing w:before="0" w:after="0"/>
              <w:ind w:left="34" w:hanging="1"/>
              <w:jc w:val="left"/>
              <w:rPr>
                <w:szCs w:val="24"/>
                <w:lang w:val="pt-BR"/>
              </w:rPr>
            </w:pPr>
            <w:r w:rsidRPr="0002360B">
              <w:rPr>
                <w:szCs w:val="24"/>
                <w:lang w:val="pt-BR"/>
              </w:rPr>
              <w:t>NHTMCP Kỹ thương Việt Nam</w:t>
            </w:r>
          </w:p>
        </w:tc>
        <w:tc>
          <w:tcPr>
            <w:tcW w:w="5358" w:type="dxa"/>
          </w:tcPr>
          <w:p w14:paraId="1A2DACCA" w14:textId="77777777" w:rsidR="00755E60" w:rsidRPr="0002360B" w:rsidRDefault="00755E60" w:rsidP="00B268EC">
            <w:pPr>
              <w:widowControl w:val="0"/>
              <w:shd w:val="clear" w:color="auto" w:fill="FFFFFF"/>
              <w:tabs>
                <w:tab w:val="left" w:pos="5670"/>
              </w:tabs>
              <w:spacing w:before="0" w:after="0"/>
              <w:rPr>
                <w:iCs/>
                <w:szCs w:val="24"/>
              </w:rPr>
            </w:pPr>
            <w:r w:rsidRPr="0002360B">
              <w:rPr>
                <w:szCs w:val="24"/>
              </w:rPr>
              <w:t>Đề nghị Ngân hàng Nhà nước làm rõ việc xác định số dư nợ của khách hàng tại quy định nêu trên trong trường hợp khách hàng có nhiều hợp đồng tín dụng và chỉ có 01 hợp đồng có khoản nợ được cơ cấu lại thời hạn trả nợ, miễn, giảm lãi và giữ nguyên nhóm nợ thì khi xác định số dư nợ của khách hàng chỉ lấy số dư của hợp đồng có khoản nợ được cơ cấu hay lấy toàn bộ dư nợ của khách hàng tại ngân hàng.</w:t>
            </w:r>
          </w:p>
        </w:tc>
        <w:tc>
          <w:tcPr>
            <w:tcW w:w="4252" w:type="dxa"/>
            <w:vMerge w:val="restart"/>
          </w:tcPr>
          <w:p w14:paraId="654A90BB" w14:textId="77777777" w:rsidR="00755E60" w:rsidRPr="0002360B" w:rsidRDefault="00755E60" w:rsidP="00B268EC">
            <w:pPr>
              <w:widowControl w:val="0"/>
              <w:shd w:val="clear" w:color="auto" w:fill="FFFFFF"/>
              <w:tabs>
                <w:tab w:val="left" w:pos="5670"/>
              </w:tabs>
              <w:spacing w:before="0" w:after="0"/>
              <w:rPr>
                <w:b/>
                <w:bCs/>
                <w:szCs w:val="24"/>
              </w:rPr>
            </w:pPr>
            <w:r w:rsidRPr="0002360B">
              <w:rPr>
                <w:b/>
                <w:bCs/>
                <w:szCs w:val="24"/>
              </w:rPr>
              <w:t>Tiếp thu một phần và giải thích làm rõ</w:t>
            </w:r>
          </w:p>
          <w:p w14:paraId="789F3D7B" w14:textId="77777777" w:rsidR="00755E60" w:rsidRPr="0002360B" w:rsidRDefault="00755E60" w:rsidP="00B268EC">
            <w:pPr>
              <w:widowControl w:val="0"/>
              <w:shd w:val="clear" w:color="auto" w:fill="FFFFFF"/>
              <w:tabs>
                <w:tab w:val="left" w:pos="5670"/>
              </w:tabs>
              <w:spacing w:before="0" w:after="0"/>
              <w:rPr>
                <w:szCs w:val="24"/>
              </w:rPr>
            </w:pPr>
            <w:r w:rsidRPr="0002360B">
              <w:rPr>
                <w:szCs w:val="24"/>
              </w:rPr>
              <w:t>Trong trường hợp khách hàng có nhiều hợp đồng tín dụng và chỉ có 01 hợp đồng có khoản nợ được cơ cấu lại thời hạn trả nợ, miễn, giảm lãi và giữ nguyên nhóm nợ số dư nợ của khách hàng được xác định là toàn bộ dư nợ của khách hàng tại ngân hàng chưa chuyển sang nhóm nợ xấu.</w:t>
            </w:r>
          </w:p>
          <w:p w14:paraId="100698F0" w14:textId="77777777" w:rsidR="00755E60" w:rsidRPr="0002360B" w:rsidRDefault="00755E60" w:rsidP="00B268EC">
            <w:pPr>
              <w:widowControl w:val="0"/>
              <w:shd w:val="clear" w:color="auto" w:fill="FFFFFF"/>
              <w:tabs>
                <w:tab w:val="left" w:pos="5670"/>
              </w:tabs>
              <w:spacing w:before="0" w:after="0"/>
              <w:rPr>
                <w:szCs w:val="24"/>
              </w:rPr>
            </w:pPr>
            <w:r w:rsidRPr="0002360B">
              <w:rPr>
                <w:szCs w:val="24"/>
              </w:rPr>
              <w:t>Lý do: NHNN đã có Công văn số 9592/NHNN-TTGSNH ngày 15/12/2023 gửi các TCTD liên quan đến việc xác định tỷ lệ nợ xấu nội bảng, nợ xấu đã bán cho VAMC chưa được xử lý, thu hồi và nợ tiềm ẩn trở thành nợ xấu trong phạm vi thực hiện mục tiêu tại Đề án 689. Theo đó, nợ cơ cấu lại thời hạn trả nợ, miễn, giảm lãi và giữ nguyên nhóm nợ tiềm ẩn trở thành nợ xấu được giải thích là dư nợ của khách hàng không bị chuyển sang nhóm nợ xấu do được cơ cấu lại thời hạn trả nợ, miễn giảm lãi và giữ nguyên nhóm nợ.</w:t>
            </w:r>
          </w:p>
          <w:p w14:paraId="6825EF66" w14:textId="77777777" w:rsidR="00755E60" w:rsidRPr="0002360B" w:rsidRDefault="00755E60" w:rsidP="00B268EC">
            <w:pPr>
              <w:widowControl w:val="0"/>
              <w:shd w:val="clear" w:color="auto" w:fill="FFFFFF"/>
              <w:tabs>
                <w:tab w:val="left" w:pos="5670"/>
              </w:tabs>
              <w:spacing w:before="0" w:after="0"/>
              <w:rPr>
                <w:szCs w:val="24"/>
              </w:rPr>
            </w:pPr>
            <w:r w:rsidRPr="0002360B">
              <w:rPr>
                <w:szCs w:val="24"/>
              </w:rPr>
              <w:t xml:space="preserve">Do đó, DTTT đã sửa đổi, bổ sung quy định về khái niệm này nhằm phản ánh rõ ràng hơn phạm vi của nợ tiềm ẩn trở </w:t>
            </w:r>
            <w:r w:rsidRPr="0002360B">
              <w:rPr>
                <w:szCs w:val="24"/>
              </w:rPr>
              <w:lastRenderedPageBreak/>
              <w:t>thành nợ xấu và thống nhất với cách xác định về nợ cơ cấu lại thời hạn trả nợ, miễn, giảm lãi và giữ nguyên nhóm nợ tiềm ẩn trở thành nợ xấu được thực hiện theo văn bản nêu trên.</w:t>
            </w:r>
          </w:p>
          <w:p w14:paraId="125E0F73" w14:textId="77777777" w:rsidR="00755E60" w:rsidRPr="0002360B" w:rsidRDefault="00755E60" w:rsidP="00B268EC">
            <w:pPr>
              <w:widowControl w:val="0"/>
              <w:tabs>
                <w:tab w:val="left" w:pos="5670"/>
              </w:tabs>
              <w:spacing w:before="0" w:after="0"/>
              <w:rPr>
                <w:b/>
                <w:szCs w:val="24"/>
                <w:lang w:val="pt-BR"/>
              </w:rPr>
            </w:pPr>
          </w:p>
        </w:tc>
      </w:tr>
      <w:tr w:rsidR="0002360B" w:rsidRPr="0002360B" w14:paraId="7934AB2B" w14:textId="77777777" w:rsidTr="00776E98">
        <w:trPr>
          <w:cantSplit/>
        </w:trPr>
        <w:tc>
          <w:tcPr>
            <w:tcW w:w="3828" w:type="dxa"/>
            <w:vMerge/>
          </w:tcPr>
          <w:p w14:paraId="72CABB63"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6683C637" w14:textId="77777777" w:rsidR="00755E60" w:rsidRPr="0002360B" w:rsidRDefault="00755E60" w:rsidP="00B268EC">
            <w:pPr>
              <w:widowControl w:val="0"/>
              <w:tabs>
                <w:tab w:val="left" w:pos="5670"/>
              </w:tabs>
              <w:spacing w:before="0" w:after="0"/>
              <w:jc w:val="left"/>
              <w:rPr>
                <w:szCs w:val="24"/>
                <w:lang w:val="pt-BR"/>
              </w:rPr>
            </w:pPr>
            <w:r w:rsidRPr="0002360B">
              <w:rPr>
                <w:szCs w:val="24"/>
              </w:rPr>
              <w:t>NHTMCP Công Thương</w:t>
            </w:r>
          </w:p>
        </w:tc>
        <w:tc>
          <w:tcPr>
            <w:tcW w:w="5358" w:type="dxa"/>
            <w:vAlign w:val="center"/>
          </w:tcPr>
          <w:p w14:paraId="6858128E" w14:textId="77777777" w:rsidR="00755E60" w:rsidRPr="0002360B" w:rsidRDefault="00755E60" w:rsidP="00B268EC">
            <w:pPr>
              <w:widowControl w:val="0"/>
              <w:tabs>
                <w:tab w:val="left" w:pos="5670"/>
              </w:tabs>
              <w:spacing w:before="0" w:after="0"/>
              <w:rPr>
                <w:spacing w:val="-2"/>
                <w:szCs w:val="24"/>
              </w:rPr>
            </w:pPr>
            <w:r w:rsidRPr="0002360B">
              <w:rPr>
                <w:szCs w:val="24"/>
              </w:rPr>
              <w:t>- NHNN đã ban hành Công văn số 9592/NHNN-</w:t>
            </w:r>
            <w:r w:rsidRPr="0002360B">
              <w:rPr>
                <w:spacing w:val="-2"/>
                <w:szCs w:val="24"/>
              </w:rPr>
              <w:t>TTGSNH ngày 15/12/2023 (CV 9592) hướng dẫn cách xác định “Nợ tiềm ẩn trở thành nợ xấu” theo đề án “Cơ cấu lại hệ thống các TCTD gắn với xử lý nợ xấu giai đoạn 2021-2025” bao gồm Nợ cơ cấu lại thời hạn trả nợ, miễn, giảm lãi và giữ nguyên nhóm nợ tiềm ẩn trở thành nợ xấu. Trong đó, nợ cơ cấu lại thời hạn trả nợ, miễn, giảm lãi và giữ nguyên nhóm nợ là dư nợ của khách hàng không bị chuyển sang nhóm nợ xấu do được cơ cấu lại thời hạn trả nợ, miễn giảm lãi và giữ nguyên nhóm nợ.</w:t>
            </w:r>
            <w:r w:rsidR="00776E98" w:rsidRPr="0002360B">
              <w:rPr>
                <w:spacing w:val="-2"/>
                <w:szCs w:val="24"/>
              </w:rPr>
              <w:t xml:space="preserve"> </w:t>
            </w:r>
            <w:r w:rsidRPr="0002360B">
              <w:rPr>
                <w:spacing w:val="-2"/>
                <w:szCs w:val="24"/>
              </w:rPr>
              <w:t>VietinBank kính đề nghị NHNN xem xét thống nhất cách dùng từ giữa Thông tư 52 (Nợ cơ cấu tiềm ẩn trở thành nợ xấu) và CV 9592 (Nợ tiềm ẩn trở thành nợ xấu).</w:t>
            </w:r>
          </w:p>
          <w:p w14:paraId="15CCC4FA" w14:textId="77777777" w:rsidR="00755E60" w:rsidRPr="0002360B" w:rsidRDefault="00755E60" w:rsidP="00B268EC">
            <w:pPr>
              <w:widowControl w:val="0"/>
              <w:tabs>
                <w:tab w:val="left" w:pos="5670"/>
              </w:tabs>
              <w:spacing w:before="0" w:after="0"/>
              <w:rPr>
                <w:szCs w:val="24"/>
              </w:rPr>
            </w:pPr>
            <w:r w:rsidRPr="0002360B">
              <w:rPr>
                <w:szCs w:val="24"/>
              </w:rPr>
              <w:t>- Bên cạnh đó, VietinBank kính đề nghị NHNN làm rõ “số dư nợ của khách hàng” có phải chỉ bao gồm phần “số tiền gốc” được cơ cấu hay toàn bộ dư nợ của khách hàng được cơ cấu.</w:t>
            </w:r>
          </w:p>
        </w:tc>
        <w:tc>
          <w:tcPr>
            <w:tcW w:w="4252" w:type="dxa"/>
            <w:vMerge/>
          </w:tcPr>
          <w:p w14:paraId="6BAD7A2B" w14:textId="77777777" w:rsidR="00755E60" w:rsidRPr="0002360B" w:rsidRDefault="00755E60" w:rsidP="00B268EC">
            <w:pPr>
              <w:widowControl w:val="0"/>
              <w:shd w:val="clear" w:color="auto" w:fill="FFFFFF"/>
              <w:tabs>
                <w:tab w:val="left" w:pos="5670"/>
              </w:tabs>
              <w:spacing w:before="0" w:after="0"/>
              <w:rPr>
                <w:szCs w:val="24"/>
              </w:rPr>
            </w:pPr>
          </w:p>
        </w:tc>
      </w:tr>
      <w:tr w:rsidR="0002360B" w:rsidRPr="0002360B" w14:paraId="72D97FD3" w14:textId="77777777" w:rsidTr="00776E98">
        <w:trPr>
          <w:cantSplit/>
        </w:trPr>
        <w:tc>
          <w:tcPr>
            <w:tcW w:w="3828" w:type="dxa"/>
            <w:vMerge/>
          </w:tcPr>
          <w:p w14:paraId="74979205"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75C9BE54" w14:textId="420FF0EE" w:rsidR="00755E60" w:rsidRPr="0002360B" w:rsidRDefault="00755E60" w:rsidP="00B268EC">
            <w:pPr>
              <w:widowControl w:val="0"/>
              <w:tabs>
                <w:tab w:val="left" w:pos="5670"/>
              </w:tabs>
              <w:spacing w:before="0" w:after="0"/>
              <w:jc w:val="left"/>
              <w:rPr>
                <w:szCs w:val="24"/>
                <w:lang w:val="pt-BR"/>
              </w:rPr>
            </w:pPr>
            <w:r w:rsidRPr="0002360B">
              <w:rPr>
                <w:szCs w:val="24"/>
              </w:rPr>
              <w:t>NHTMCP Đầu Tư</w:t>
            </w:r>
            <w:r w:rsidR="00C35981">
              <w:rPr>
                <w:szCs w:val="24"/>
              </w:rPr>
              <w:t>, Hiệp hội ngân hàng</w:t>
            </w:r>
          </w:p>
        </w:tc>
        <w:tc>
          <w:tcPr>
            <w:tcW w:w="5358" w:type="dxa"/>
            <w:vAlign w:val="center"/>
          </w:tcPr>
          <w:p w14:paraId="579787BD" w14:textId="77777777" w:rsidR="00755E60" w:rsidRPr="0002360B" w:rsidRDefault="00755E60" w:rsidP="00B268EC">
            <w:pPr>
              <w:widowControl w:val="0"/>
              <w:tabs>
                <w:tab w:val="left" w:pos="5670"/>
              </w:tabs>
              <w:spacing w:before="0" w:after="0"/>
              <w:rPr>
                <w:szCs w:val="24"/>
              </w:rPr>
            </w:pPr>
            <w:r w:rsidRPr="0002360B">
              <w:rPr>
                <w:szCs w:val="24"/>
              </w:rPr>
              <w:t>Chỉ tiêu nợ cơ cấu tiềm ẩn trở thành nợ xấu: BIDV đề nghị xác định là khoản nợ cơ cấu của khách hàng không phải chuyển nợ xấu do cơ cấu lại thời hạn trả nợ, miễn, giảm lãi và giữ nguyên nhóm nợ của TCTD, chi nhánh ngân hàng nước ngoài. Lý do đề xuất: Tại Thông tư 02/2023/TT-NHNN, Thông tư 53/2024/TT-NHNN, Nghị định 156/2025/NĐ-CP đều quy định việc giữ nguyên nhóm nợ trước khi cơ cấu đối với từng khoản nợ, không phải toàn bộ dư nợ khách hàng.</w:t>
            </w:r>
          </w:p>
        </w:tc>
        <w:tc>
          <w:tcPr>
            <w:tcW w:w="4252" w:type="dxa"/>
            <w:vMerge/>
          </w:tcPr>
          <w:p w14:paraId="6B3F34CD" w14:textId="77777777" w:rsidR="00755E60" w:rsidRPr="0002360B" w:rsidRDefault="00755E60" w:rsidP="00B268EC">
            <w:pPr>
              <w:widowControl w:val="0"/>
              <w:shd w:val="clear" w:color="auto" w:fill="FFFFFF"/>
              <w:tabs>
                <w:tab w:val="left" w:pos="5670"/>
              </w:tabs>
              <w:spacing w:before="0" w:after="0"/>
              <w:rPr>
                <w:szCs w:val="24"/>
              </w:rPr>
            </w:pPr>
          </w:p>
        </w:tc>
      </w:tr>
      <w:tr w:rsidR="0002360B" w:rsidRPr="0002360B" w14:paraId="193A6D21" w14:textId="77777777" w:rsidTr="00776E98">
        <w:trPr>
          <w:cantSplit/>
        </w:trPr>
        <w:tc>
          <w:tcPr>
            <w:tcW w:w="3828" w:type="dxa"/>
            <w:vMerge/>
          </w:tcPr>
          <w:p w14:paraId="1D09BC76"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198FC99F" w14:textId="77777777" w:rsidR="00755E60" w:rsidRPr="0002360B" w:rsidRDefault="00755E60" w:rsidP="00B268EC">
            <w:pPr>
              <w:widowControl w:val="0"/>
              <w:tabs>
                <w:tab w:val="left" w:pos="5670"/>
              </w:tabs>
              <w:spacing w:before="0" w:after="0"/>
              <w:jc w:val="left"/>
              <w:rPr>
                <w:szCs w:val="24"/>
                <w:lang w:val="pt-BR"/>
              </w:rPr>
            </w:pPr>
            <w:r w:rsidRPr="0002360B">
              <w:rPr>
                <w:szCs w:val="24"/>
              </w:rPr>
              <w:t>NHTMCP Ngoại Thương</w:t>
            </w:r>
          </w:p>
        </w:tc>
        <w:tc>
          <w:tcPr>
            <w:tcW w:w="5358" w:type="dxa"/>
            <w:vAlign w:val="center"/>
          </w:tcPr>
          <w:p w14:paraId="3C368891" w14:textId="77777777" w:rsidR="00755E60" w:rsidRPr="0002360B" w:rsidRDefault="00755E60" w:rsidP="00B268EC">
            <w:pPr>
              <w:widowControl w:val="0"/>
              <w:tabs>
                <w:tab w:val="left" w:pos="5670"/>
              </w:tabs>
              <w:spacing w:before="0" w:after="0"/>
              <w:rPr>
                <w:szCs w:val="24"/>
              </w:rPr>
            </w:pPr>
            <w:r w:rsidRPr="0002360B">
              <w:rPr>
                <w:szCs w:val="24"/>
              </w:rPr>
              <w:t xml:space="preserve">Đề nghị “c) Sửa đổi, bổ sung khoản 3 Điều 3 như sau: Nợ cơ cấu tiềm ẩn trở thành nợ xấu là số dư nợ </w:t>
            </w:r>
            <w:r w:rsidRPr="0002360B">
              <w:rPr>
                <w:szCs w:val="24"/>
                <w:u w:val="single"/>
              </w:rPr>
              <w:t>gốc</w:t>
            </w:r>
            <w:r w:rsidRPr="0002360B">
              <w:rPr>
                <w:szCs w:val="24"/>
              </w:rPr>
              <w:t xml:space="preserve"> của khách hàng...” để xác định cụ thể phạm vi dư nợ thống kê trong báo cáo. </w:t>
            </w:r>
          </w:p>
        </w:tc>
        <w:tc>
          <w:tcPr>
            <w:tcW w:w="4252" w:type="dxa"/>
            <w:vMerge/>
          </w:tcPr>
          <w:p w14:paraId="1321F82C" w14:textId="77777777" w:rsidR="00755E60" w:rsidRPr="0002360B" w:rsidRDefault="00755E60" w:rsidP="00B268EC">
            <w:pPr>
              <w:widowControl w:val="0"/>
              <w:shd w:val="clear" w:color="auto" w:fill="FFFFFF"/>
              <w:tabs>
                <w:tab w:val="left" w:pos="5670"/>
              </w:tabs>
              <w:spacing w:before="0" w:after="0"/>
              <w:rPr>
                <w:szCs w:val="24"/>
              </w:rPr>
            </w:pPr>
          </w:p>
        </w:tc>
      </w:tr>
      <w:tr w:rsidR="0002360B" w:rsidRPr="0002360B" w14:paraId="719391E7" w14:textId="77777777" w:rsidTr="00776E98">
        <w:trPr>
          <w:cantSplit/>
          <w:trHeight w:val="4088"/>
        </w:trPr>
        <w:tc>
          <w:tcPr>
            <w:tcW w:w="3828" w:type="dxa"/>
            <w:vMerge/>
          </w:tcPr>
          <w:p w14:paraId="717946DA"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54A01E6B" w14:textId="77777777" w:rsidR="00755E60" w:rsidRPr="0002360B" w:rsidRDefault="00755E60" w:rsidP="00B268EC">
            <w:pPr>
              <w:widowControl w:val="0"/>
              <w:tabs>
                <w:tab w:val="left" w:pos="5670"/>
              </w:tabs>
              <w:spacing w:before="0" w:after="0"/>
              <w:ind w:left="34" w:hanging="1"/>
              <w:jc w:val="left"/>
              <w:rPr>
                <w:szCs w:val="24"/>
                <w:lang w:val="pt-BR"/>
              </w:rPr>
            </w:pPr>
            <w:r w:rsidRPr="0059729F">
              <w:rPr>
                <w:szCs w:val="24"/>
              </w:rPr>
              <w:t>NHTMCP Lộc Phát</w:t>
            </w:r>
          </w:p>
        </w:tc>
        <w:tc>
          <w:tcPr>
            <w:tcW w:w="5358" w:type="dxa"/>
            <w:vAlign w:val="center"/>
          </w:tcPr>
          <w:p w14:paraId="1DBBC737" w14:textId="77777777" w:rsidR="00755E60" w:rsidRPr="0059729F" w:rsidRDefault="00755E60" w:rsidP="00B268EC">
            <w:pPr>
              <w:widowControl w:val="0"/>
              <w:shd w:val="clear" w:color="auto" w:fill="FFFFFF"/>
              <w:tabs>
                <w:tab w:val="left" w:pos="5670"/>
              </w:tabs>
              <w:spacing w:before="0" w:after="0"/>
              <w:rPr>
                <w:szCs w:val="24"/>
              </w:rPr>
            </w:pPr>
            <w:r w:rsidRPr="0059729F">
              <w:rPr>
                <w:szCs w:val="24"/>
              </w:rPr>
              <w:t>Nhằm đảm bảo phản ánh đúng chất lượng tín dụng, không đánh giá chỉ dựa vào lịch sử cơ cấu, LPBank kính đề nghị (i) không sửa đổi chỉ tiêu này, hoặc (ii) sửa đổi nhưng loại trừ những khoản nợ cơ cấu sau không được xác định là nợ cơ cấu tiềm ẩn trở thành nợ xấu:</w:t>
            </w:r>
          </w:p>
          <w:p w14:paraId="47D64260" w14:textId="77777777" w:rsidR="00755E60" w:rsidRPr="0059729F" w:rsidRDefault="00755E60" w:rsidP="00B268EC">
            <w:pPr>
              <w:widowControl w:val="0"/>
              <w:shd w:val="clear" w:color="auto" w:fill="FFFFFF"/>
              <w:tabs>
                <w:tab w:val="left" w:pos="5670"/>
              </w:tabs>
              <w:spacing w:before="0" w:after="0"/>
              <w:rPr>
                <w:szCs w:val="24"/>
              </w:rPr>
            </w:pPr>
            <w:r w:rsidRPr="0059729F">
              <w:rPr>
                <w:szCs w:val="24"/>
              </w:rPr>
              <w:t>- Khách hàng đã thanh toán hết các kỳ được cơ cấu;</w:t>
            </w:r>
            <w:r w:rsidRPr="0059729F">
              <w:rPr>
                <w:szCs w:val="24"/>
              </w:rPr>
              <w:br/>
              <w:t>- Khoản vay đang trong thời hạn cơ cấu nhưng khách hàng thanh toán đầy đủ, đúng hạn (đủ điều kiện phân loại về nhóm nợ thấp hơn theo quy định phân loại nợ).</w:t>
            </w:r>
          </w:p>
          <w:p w14:paraId="01BD3BF7" w14:textId="77777777" w:rsidR="00755E60" w:rsidRPr="0002360B" w:rsidRDefault="00755E60" w:rsidP="00B268EC">
            <w:pPr>
              <w:widowControl w:val="0"/>
              <w:shd w:val="clear" w:color="auto" w:fill="FFFFFF"/>
              <w:tabs>
                <w:tab w:val="left" w:pos="5670"/>
              </w:tabs>
              <w:spacing w:before="0" w:after="0"/>
              <w:rPr>
                <w:szCs w:val="24"/>
              </w:rPr>
            </w:pPr>
            <w:r w:rsidRPr="0059729F">
              <w:rPr>
                <w:szCs w:val="24"/>
              </w:rPr>
              <w:t>- Chỉ tiêu này tính trên tổng dư nợ khách hàng sẽ làm giảm động lực triển khai các chương trình của Chính phủ v/v cơ cấu hỗ trợ khách hàng gặp khó khăn của các TCTD khi mà việc thực hiện cơ cấu lại thời hạn trả nợ cho khách hàng của các TCTD sẽ đồng thời làm (i) tăng chi phí trích lập, (ii) thoái lãi dự thu, và (iii) bị trừ điểm theo Thông tư 52 với khung điểm cao hơn.</w:t>
            </w:r>
          </w:p>
        </w:tc>
        <w:tc>
          <w:tcPr>
            <w:tcW w:w="4252" w:type="dxa"/>
            <w:vMerge/>
          </w:tcPr>
          <w:p w14:paraId="53B21319" w14:textId="77777777" w:rsidR="00755E60" w:rsidRPr="0002360B" w:rsidRDefault="00755E60" w:rsidP="00B268EC">
            <w:pPr>
              <w:widowControl w:val="0"/>
              <w:shd w:val="clear" w:color="auto" w:fill="FFFFFF"/>
              <w:tabs>
                <w:tab w:val="left" w:pos="5670"/>
              </w:tabs>
              <w:spacing w:before="0" w:after="0"/>
              <w:rPr>
                <w:szCs w:val="24"/>
              </w:rPr>
            </w:pPr>
          </w:p>
        </w:tc>
      </w:tr>
      <w:tr w:rsidR="0002360B" w:rsidRPr="0002360B" w14:paraId="09500286" w14:textId="77777777" w:rsidTr="00776E98">
        <w:trPr>
          <w:cantSplit/>
        </w:trPr>
        <w:tc>
          <w:tcPr>
            <w:tcW w:w="3828" w:type="dxa"/>
            <w:vMerge/>
          </w:tcPr>
          <w:p w14:paraId="45514A5F"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5A9EF74D" w14:textId="77777777" w:rsidR="00755E60" w:rsidRPr="0002360B" w:rsidRDefault="00755E60" w:rsidP="00B268EC">
            <w:pPr>
              <w:widowControl w:val="0"/>
              <w:tabs>
                <w:tab w:val="left" w:pos="5670"/>
              </w:tabs>
              <w:spacing w:before="0" w:after="0"/>
              <w:ind w:left="34" w:hanging="1"/>
              <w:jc w:val="left"/>
              <w:rPr>
                <w:szCs w:val="24"/>
                <w:lang w:val="pt-BR"/>
              </w:rPr>
            </w:pPr>
            <w:r w:rsidRPr="0059729F">
              <w:rPr>
                <w:szCs w:val="24"/>
              </w:rPr>
              <w:t>CTTC Điện Lực</w:t>
            </w:r>
          </w:p>
        </w:tc>
        <w:tc>
          <w:tcPr>
            <w:tcW w:w="5358" w:type="dxa"/>
            <w:vAlign w:val="center"/>
          </w:tcPr>
          <w:p w14:paraId="1F82282E" w14:textId="77777777" w:rsidR="00755E60" w:rsidRPr="0002360B" w:rsidRDefault="00755E60" w:rsidP="00B268EC">
            <w:pPr>
              <w:widowControl w:val="0"/>
              <w:shd w:val="clear" w:color="auto" w:fill="FFFFFF"/>
              <w:tabs>
                <w:tab w:val="left" w:pos="5670"/>
              </w:tabs>
              <w:spacing w:before="0" w:after="0"/>
              <w:rPr>
                <w:szCs w:val="24"/>
              </w:rPr>
            </w:pPr>
            <w:r w:rsidRPr="0059729F">
              <w:rPr>
                <w:szCs w:val="24"/>
              </w:rPr>
              <w:t>EVNFinance kiến nghị Ban soạn thảo quy định cụ thể hơn đối với nội dung: “Nợ cơ cấu tiềm ẩn trở thành nợ xấu là số dư nợ của khách hàng chưa chuyển sang nhóm nợ xấu do được cơ cấu lại thời hạn trả nợ, miễn, giảm lãi và giữ nguyên nhóm nợ của tổ chức tín dụng, chi nhánh ngân hàng nước ngoài” quy định tại điểm c khoản 2 Điều 1 của Dự thảo Thông tư.</w:t>
            </w:r>
          </w:p>
        </w:tc>
        <w:tc>
          <w:tcPr>
            <w:tcW w:w="4252" w:type="dxa"/>
            <w:vMerge/>
          </w:tcPr>
          <w:p w14:paraId="5F4C3311" w14:textId="77777777" w:rsidR="00755E60" w:rsidRPr="0002360B" w:rsidRDefault="00755E60" w:rsidP="00B268EC">
            <w:pPr>
              <w:widowControl w:val="0"/>
              <w:shd w:val="clear" w:color="auto" w:fill="FFFFFF"/>
              <w:tabs>
                <w:tab w:val="left" w:pos="5670"/>
              </w:tabs>
              <w:spacing w:before="0" w:after="0"/>
              <w:rPr>
                <w:szCs w:val="24"/>
              </w:rPr>
            </w:pPr>
          </w:p>
        </w:tc>
      </w:tr>
      <w:tr w:rsidR="0002360B" w:rsidRPr="0002360B" w14:paraId="1435B7AB" w14:textId="77777777" w:rsidTr="00776E98">
        <w:trPr>
          <w:cantSplit/>
        </w:trPr>
        <w:tc>
          <w:tcPr>
            <w:tcW w:w="3828" w:type="dxa"/>
          </w:tcPr>
          <w:p w14:paraId="5D7D7F02" w14:textId="77777777" w:rsidR="00755E60" w:rsidRPr="0002360B" w:rsidRDefault="00755E60" w:rsidP="00B268EC">
            <w:pPr>
              <w:widowControl w:val="0"/>
              <w:tabs>
                <w:tab w:val="left" w:pos="5670"/>
              </w:tabs>
              <w:spacing w:before="0" w:after="0"/>
              <w:ind w:right="33" w:hanging="1"/>
              <w:rPr>
                <w:b/>
                <w:szCs w:val="24"/>
                <w:lang w:val="pt-BR"/>
              </w:rPr>
            </w:pPr>
            <w:r w:rsidRPr="0002360B">
              <w:rPr>
                <w:b/>
                <w:szCs w:val="24"/>
                <w:lang w:val="pt-BR"/>
              </w:rPr>
              <w:t>Khoản 4 Điều 3 Thông tư 52 (chưa có nội dung sửa đổi tại DTTT)</w:t>
            </w:r>
          </w:p>
          <w:p w14:paraId="327E4FA3" w14:textId="77777777" w:rsidR="00755E60" w:rsidRPr="0002360B" w:rsidRDefault="00755E60" w:rsidP="00B268EC">
            <w:pPr>
              <w:widowControl w:val="0"/>
              <w:tabs>
                <w:tab w:val="left" w:pos="5670"/>
              </w:tabs>
              <w:spacing w:before="0" w:after="0"/>
              <w:ind w:right="33" w:hanging="1"/>
              <w:rPr>
                <w:b/>
                <w:szCs w:val="24"/>
                <w:lang w:val="pt-BR"/>
              </w:rPr>
            </w:pPr>
            <w:r w:rsidRPr="0002360B">
              <w:rPr>
                <w:szCs w:val="24"/>
                <w:lang w:val="pt-BR"/>
              </w:rPr>
              <w:t>“</w:t>
            </w:r>
            <w:r w:rsidRPr="0002360B">
              <w:rPr>
                <w:szCs w:val="24"/>
              </w:rPr>
              <w:t>4.</w:t>
            </w:r>
            <w:r w:rsidRPr="0002360B">
              <w:rPr>
                <w:i/>
                <w:iCs/>
                <w:szCs w:val="24"/>
              </w:rPr>
              <w:t> Nợ xấu đã bán cho VAMC chưa xử lý được</w:t>
            </w:r>
            <w:r w:rsidRPr="0002360B">
              <w:rPr>
                <w:szCs w:val="24"/>
              </w:rPr>
              <w:t> là các khoản nợ xấu đã bán cho Công ty quản lý tài sản của các tổ chức tín dụng Việt Nam (VAMC) thanh toán bằng trái phiếu đặc biệt và chưa được xử lý, thu hồi.”</w:t>
            </w:r>
          </w:p>
        </w:tc>
        <w:tc>
          <w:tcPr>
            <w:tcW w:w="1730" w:type="dxa"/>
            <w:vAlign w:val="center"/>
          </w:tcPr>
          <w:p w14:paraId="32C1E6E0" w14:textId="77777777" w:rsidR="00755E60" w:rsidRPr="0059729F" w:rsidRDefault="00755E60" w:rsidP="00B268EC">
            <w:pPr>
              <w:widowControl w:val="0"/>
              <w:tabs>
                <w:tab w:val="left" w:pos="5670"/>
              </w:tabs>
              <w:spacing w:before="0" w:after="0"/>
              <w:ind w:left="34" w:hanging="1"/>
              <w:jc w:val="left"/>
              <w:rPr>
                <w:szCs w:val="24"/>
              </w:rPr>
            </w:pPr>
            <w:r w:rsidRPr="0059729F">
              <w:rPr>
                <w:szCs w:val="24"/>
              </w:rPr>
              <w:t>CTTC Điện Lực</w:t>
            </w:r>
          </w:p>
        </w:tc>
        <w:tc>
          <w:tcPr>
            <w:tcW w:w="5358" w:type="dxa"/>
            <w:vAlign w:val="center"/>
          </w:tcPr>
          <w:p w14:paraId="53C2DDDD" w14:textId="77777777" w:rsidR="00755E60" w:rsidRPr="0059729F" w:rsidRDefault="00755E60" w:rsidP="00B268EC">
            <w:pPr>
              <w:widowControl w:val="0"/>
              <w:shd w:val="clear" w:color="auto" w:fill="FFFFFF"/>
              <w:tabs>
                <w:tab w:val="left" w:pos="5670"/>
              </w:tabs>
              <w:spacing w:before="0" w:after="0"/>
              <w:rPr>
                <w:szCs w:val="24"/>
              </w:rPr>
            </w:pPr>
            <w:r w:rsidRPr="0059729F">
              <w:rPr>
                <w:szCs w:val="24"/>
              </w:rPr>
              <w:t>EVNFinance kính đề nghị Ban soạn thảo quy định cụ thể hơn đối với nội dung “Nợ xấu đã bán cho VAMC chưa xử lý được là các khoản nợ xấu (dư nợ gốc) đã bán cho Công ty quản lý tài sản của các tổ chức tín dụng Việt Nam (VAMC) thanh toán bằng trái phiếu đặc biệt và chưa được xử lý, thu hồi” tại khoản 4 Điều 3 Thông tư 52/2018/TT-NHNN.</w:t>
            </w:r>
          </w:p>
        </w:tc>
        <w:tc>
          <w:tcPr>
            <w:tcW w:w="4252" w:type="dxa"/>
            <w:vAlign w:val="center"/>
          </w:tcPr>
          <w:p w14:paraId="75C653DA" w14:textId="77777777" w:rsidR="00755E60" w:rsidRPr="0059729F" w:rsidRDefault="00755E60" w:rsidP="00B268EC">
            <w:pPr>
              <w:widowControl w:val="0"/>
              <w:shd w:val="clear" w:color="auto" w:fill="FFFFFF"/>
              <w:tabs>
                <w:tab w:val="left" w:pos="5670"/>
              </w:tabs>
              <w:spacing w:before="0" w:after="0"/>
              <w:rPr>
                <w:b/>
                <w:bCs/>
                <w:szCs w:val="24"/>
              </w:rPr>
            </w:pPr>
            <w:r w:rsidRPr="0059729F">
              <w:rPr>
                <w:b/>
                <w:bCs/>
                <w:szCs w:val="24"/>
              </w:rPr>
              <w:t>Chưa tiếp thu</w:t>
            </w:r>
          </w:p>
          <w:p w14:paraId="548BD9F7" w14:textId="77777777" w:rsidR="00755E60" w:rsidRPr="0059729F" w:rsidRDefault="00755E60" w:rsidP="00B268EC">
            <w:pPr>
              <w:widowControl w:val="0"/>
              <w:shd w:val="clear" w:color="auto" w:fill="FFFFFF"/>
              <w:tabs>
                <w:tab w:val="left" w:pos="5670"/>
              </w:tabs>
              <w:spacing w:before="0" w:after="0"/>
              <w:rPr>
                <w:szCs w:val="24"/>
              </w:rPr>
            </w:pPr>
            <w:r w:rsidRPr="0059729F">
              <w:rPr>
                <w:szCs w:val="24"/>
              </w:rPr>
              <w:t>Nợ xấu đã bán cho VAMC chưa xử lý được là khoản nợ xấu được xác định theo quy định tại điểm c khoản 2 Điều 1 Thông tư số 03/2024/TT-NHNN ngày 16/5/2024 (sửa đổi, bổ sung khoản 7a Điều 3 Thông tư số 19/2013/TT-NHNN ngày 06/9/2013 quy định về việc mua, bán và xử lý nợ xấu của VAMC). Do đó, không cần thiết chỉnh sửa, bổ sung tại DTTT.</w:t>
            </w:r>
          </w:p>
        </w:tc>
      </w:tr>
      <w:tr w:rsidR="0002360B" w:rsidRPr="0002360B" w14:paraId="2513B7B2" w14:textId="77777777" w:rsidTr="00776E98">
        <w:trPr>
          <w:cantSplit/>
        </w:trPr>
        <w:tc>
          <w:tcPr>
            <w:tcW w:w="3828" w:type="dxa"/>
            <w:vMerge w:val="restart"/>
          </w:tcPr>
          <w:p w14:paraId="6BD3D3EA" w14:textId="77777777" w:rsidR="00755E60" w:rsidRPr="0002360B" w:rsidRDefault="00755E60" w:rsidP="00B268EC">
            <w:pPr>
              <w:widowControl w:val="0"/>
              <w:tabs>
                <w:tab w:val="left" w:pos="5670"/>
              </w:tabs>
              <w:spacing w:before="0" w:after="0"/>
              <w:ind w:right="33" w:hanging="1"/>
              <w:rPr>
                <w:b/>
                <w:szCs w:val="24"/>
                <w:lang w:val="pt-BR"/>
              </w:rPr>
            </w:pPr>
            <w:r w:rsidRPr="0002360B">
              <w:rPr>
                <w:b/>
                <w:szCs w:val="24"/>
                <w:lang w:val="pt-BR"/>
              </w:rPr>
              <w:t>Điểm d khoản 2 Điều 1 DTTT sửa đổi, bổ sung khoản 5 Điều 3 Thông tư 52</w:t>
            </w:r>
          </w:p>
          <w:p w14:paraId="3875AC13" w14:textId="77777777" w:rsidR="00755E60" w:rsidRPr="0002360B" w:rsidRDefault="00755E60" w:rsidP="00B268EC">
            <w:pPr>
              <w:widowControl w:val="0"/>
              <w:shd w:val="clear" w:color="auto" w:fill="FFFFFF"/>
              <w:tabs>
                <w:tab w:val="left" w:pos="5670"/>
              </w:tabs>
              <w:spacing w:before="0" w:after="0"/>
              <w:rPr>
                <w:szCs w:val="24"/>
                <w:lang w:val="nl-NL"/>
              </w:rPr>
            </w:pPr>
            <w:r w:rsidRPr="0002360B">
              <w:rPr>
                <w:szCs w:val="24"/>
                <w:lang w:val="nl-NL"/>
              </w:rPr>
              <w:t xml:space="preserve">“5. Tỷ lệ </w:t>
            </w:r>
            <w:r w:rsidRPr="0002360B">
              <w:rPr>
                <w:bCs/>
                <w:szCs w:val="24"/>
                <w:lang w:val="nl-NL"/>
              </w:rPr>
              <w:t xml:space="preserve">dư nợ cấp tín dụng đối với 100 khách hàng lớn nhất so với dư </w:t>
            </w:r>
            <w:r w:rsidRPr="0002360B">
              <w:rPr>
                <w:bCs/>
                <w:szCs w:val="24"/>
                <w:lang w:val="nl-NL"/>
              </w:rPr>
              <w:lastRenderedPageBreak/>
              <w:t>nợ cấp tín dụng đối với tổ chức kinh tế, cá nhân</w:t>
            </w:r>
            <w:r w:rsidRPr="0002360B">
              <w:rPr>
                <w:i/>
                <w:szCs w:val="24"/>
                <w:lang w:val="nl-NL"/>
              </w:rPr>
              <w:t xml:space="preserve"> </w:t>
            </w:r>
            <w:r w:rsidRPr="0002360B">
              <w:rPr>
                <w:szCs w:val="24"/>
                <w:lang w:val="nl-NL"/>
              </w:rPr>
              <w:t>được xác định bằng tổng dư nợ tín dụng đối với 100 khách hàng (không bao gồm tổ chức tín dụng, chi nhánh ngân hàng nước ngoài) có dư nợ tín dụng lớn nhất so với dư nợ cấp tín dụng đối với tổ chức kinh tế, cá nhân. Riêng đối với ngân hàng hợp tác xã, 100 khách hàng có dư nợ tín dụng lớn nhất bao gồm cả quỹ tín dụng nhân dân thành viên.</w:t>
            </w:r>
            <w:r w:rsidRPr="0002360B">
              <w:rPr>
                <w:i/>
                <w:szCs w:val="24"/>
                <w:lang w:val="nl-NL"/>
              </w:rPr>
              <w:t xml:space="preserve"> </w:t>
            </w:r>
            <w:r w:rsidRPr="0002360B">
              <w:rPr>
                <w:szCs w:val="24"/>
                <w:lang w:val="nl-NL"/>
              </w:rPr>
              <w:t xml:space="preserve">Trường hợp tổ chức tín dụng, chi nhánh ngân hàng nước ngoài có ít hơn 100 khách hàng (không bao gồm tổ chức tín dụng, chi nhánh ngân hàng nước ngoài), thì Tỷ lệ </w:t>
            </w:r>
            <w:r w:rsidRPr="0002360B">
              <w:rPr>
                <w:bCs/>
                <w:szCs w:val="24"/>
                <w:lang w:val="nl-NL"/>
              </w:rPr>
              <w:t>dư nợ cấp tín dụng đối với 100 khách hàng lớn nhất so với dư nợ cấp tín dụng đối với tổ chức kinh tế, cá nhân</w:t>
            </w:r>
            <w:r w:rsidRPr="0002360B">
              <w:rPr>
                <w:i/>
                <w:szCs w:val="24"/>
                <w:lang w:val="nl-NL"/>
              </w:rPr>
              <w:t xml:space="preserve"> </w:t>
            </w:r>
            <w:r w:rsidRPr="0002360B">
              <w:rPr>
                <w:szCs w:val="24"/>
                <w:lang w:val="nl-NL"/>
              </w:rPr>
              <w:t>có giá trị bằng 100%.”</w:t>
            </w:r>
          </w:p>
          <w:p w14:paraId="15571651"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48FFEADB" w14:textId="07B6A36F" w:rsidR="00755E60" w:rsidRPr="0002360B" w:rsidRDefault="00755E60" w:rsidP="00B268EC">
            <w:pPr>
              <w:widowControl w:val="0"/>
              <w:tabs>
                <w:tab w:val="left" w:pos="5670"/>
              </w:tabs>
              <w:spacing w:before="0" w:after="0"/>
              <w:ind w:left="34" w:right="-110" w:hanging="1"/>
              <w:jc w:val="left"/>
              <w:rPr>
                <w:szCs w:val="24"/>
                <w:lang w:val="pt-BR"/>
              </w:rPr>
            </w:pPr>
            <w:r w:rsidRPr="0002360B">
              <w:rPr>
                <w:szCs w:val="24"/>
                <w:lang w:val="pt-BR"/>
              </w:rPr>
              <w:lastRenderedPageBreak/>
              <w:t>NHTMCP Đầu tư và phát triển Việt Nam</w:t>
            </w:r>
            <w:r w:rsidR="00C35981">
              <w:rPr>
                <w:szCs w:val="24"/>
                <w:lang w:val="pt-BR"/>
              </w:rPr>
              <w:t>, Hiệp hội Ngân hàng Việt Nam</w:t>
            </w:r>
          </w:p>
        </w:tc>
        <w:tc>
          <w:tcPr>
            <w:tcW w:w="5358" w:type="dxa"/>
          </w:tcPr>
          <w:p w14:paraId="1CE1ADB3" w14:textId="381477B2" w:rsidR="00755E60" w:rsidRPr="0059729F" w:rsidRDefault="00322FEB" w:rsidP="00B268EC">
            <w:pPr>
              <w:pStyle w:val="ListParagraph"/>
              <w:widowControl w:val="0"/>
              <w:tabs>
                <w:tab w:val="left" w:pos="709"/>
                <w:tab w:val="left" w:pos="5670"/>
              </w:tabs>
              <w:ind w:left="0"/>
              <w:contextualSpacing w:val="0"/>
              <w:rPr>
                <w:sz w:val="24"/>
                <w:lang w:val="pt-BR"/>
              </w:rPr>
            </w:pPr>
            <w:r w:rsidRPr="00783EF9">
              <w:rPr>
                <w:iCs/>
                <w:szCs w:val="22"/>
              </w:rPr>
              <w:t xml:space="preserve">DTTT chưa giải thích rõ khái niệm </w:t>
            </w:r>
            <w:r w:rsidRPr="00783EF9">
              <w:rPr>
                <w:b/>
                <w:iCs/>
                <w:szCs w:val="22"/>
              </w:rPr>
              <w:t>tổng dư nợ tín dụng</w:t>
            </w:r>
            <w:r w:rsidRPr="00783EF9">
              <w:rPr>
                <w:iCs/>
                <w:szCs w:val="22"/>
              </w:rPr>
              <w:t xml:space="preserve"> của các khách hàng này dẫn đến việc tính toán số liệu có thể không thống nhất, do đó, BIDV đề nghị NHNN bổ sung hướng dẫn cụ thể cách thức xác định chỉ tiêu này (dư nợ cho vay thông thường, số dư bảo lãnh, số dư L/C, các cam kết cấp tín dụng…).</w:t>
            </w:r>
          </w:p>
        </w:tc>
        <w:tc>
          <w:tcPr>
            <w:tcW w:w="4252" w:type="dxa"/>
            <w:vMerge w:val="restart"/>
          </w:tcPr>
          <w:p w14:paraId="18D17336" w14:textId="77777777" w:rsidR="00755E60" w:rsidRPr="0002360B" w:rsidRDefault="00755E60" w:rsidP="00B268EC">
            <w:pPr>
              <w:widowControl w:val="0"/>
              <w:tabs>
                <w:tab w:val="left" w:pos="5670"/>
              </w:tabs>
              <w:spacing w:before="0" w:after="0"/>
              <w:rPr>
                <w:b/>
                <w:szCs w:val="24"/>
                <w:lang w:val="pt-BR"/>
              </w:rPr>
            </w:pPr>
            <w:r w:rsidRPr="0002360B">
              <w:rPr>
                <w:b/>
                <w:szCs w:val="24"/>
                <w:lang w:val="pt-BR"/>
              </w:rPr>
              <w:t>Chưa tiếp thu</w:t>
            </w:r>
          </w:p>
          <w:p w14:paraId="76508F67" w14:textId="08EFCB88" w:rsidR="00755E60" w:rsidRPr="0002360B" w:rsidRDefault="00755E60" w:rsidP="00B268EC">
            <w:pPr>
              <w:widowControl w:val="0"/>
              <w:tabs>
                <w:tab w:val="left" w:pos="5670"/>
              </w:tabs>
              <w:spacing w:before="0" w:after="0"/>
              <w:rPr>
                <w:szCs w:val="24"/>
                <w:lang w:val="pt-BR"/>
              </w:rPr>
            </w:pPr>
            <w:r w:rsidRPr="0002360B">
              <w:rPr>
                <w:szCs w:val="24"/>
                <w:lang w:val="pt-BR"/>
              </w:rPr>
              <w:t xml:space="preserve">- Quy định về dư nợ tín dụng đã được nêu tại Mục 5 Phần 2 Phụ lục 2 Thông tư 35/2015/TT-NHNN ngày 31/12/2015 quy định Chế độ báo cáo thống kê áp dụng </w:t>
            </w:r>
            <w:r w:rsidRPr="0002360B">
              <w:rPr>
                <w:szCs w:val="24"/>
                <w:lang w:val="pt-BR"/>
              </w:rPr>
              <w:lastRenderedPageBreak/>
              <w:t>đối với các tổ chức tín dụng, chi nhánh ngân hàng nước ngoài (đã được sửa đổi, bổ sung),</w:t>
            </w:r>
            <w:r w:rsidR="00B268EC" w:rsidRPr="00EF7650">
              <w:rPr>
                <w:szCs w:val="24"/>
                <w:lang w:val="pt-BR"/>
              </w:rPr>
              <w:t xml:space="preserve"> </w:t>
            </w:r>
            <w:r w:rsidRPr="00EF7650">
              <w:rPr>
                <w:szCs w:val="24"/>
                <w:lang w:val="pt-BR"/>
              </w:rPr>
              <w:t>các đơn v</w:t>
            </w:r>
            <w:r w:rsidRPr="0059729F">
              <w:rPr>
                <w:szCs w:val="24"/>
                <w:lang w:val="pt-BR"/>
              </w:rPr>
              <w:t>ị cần căn cứ quy định để thực hiện.</w:t>
            </w:r>
          </w:p>
          <w:p w14:paraId="0B9A4673" w14:textId="77777777" w:rsidR="00755E60" w:rsidRPr="0002360B" w:rsidRDefault="00755E60" w:rsidP="00B268EC">
            <w:pPr>
              <w:widowControl w:val="0"/>
              <w:shd w:val="clear" w:color="auto" w:fill="FFFFFF"/>
              <w:tabs>
                <w:tab w:val="left" w:pos="5670"/>
              </w:tabs>
              <w:spacing w:before="0" w:after="0"/>
              <w:rPr>
                <w:szCs w:val="24"/>
                <w:lang w:val="nl-NL"/>
              </w:rPr>
            </w:pPr>
            <w:r w:rsidRPr="0002360B">
              <w:rPr>
                <w:szCs w:val="24"/>
                <w:lang w:val="pt-BR"/>
              </w:rPr>
              <w:t>- DTTT chỉnh sửa tên chỉ tiêu để đảm bảo thống nhất với quy định tại Điều 8, Điều 14, Điều 15 của DTTT như sau: “</w:t>
            </w:r>
            <w:r w:rsidRPr="0002360B">
              <w:rPr>
                <w:szCs w:val="24"/>
                <w:lang w:val="nl-NL"/>
              </w:rPr>
              <w:t xml:space="preserve">5. </w:t>
            </w:r>
            <w:r w:rsidRPr="0002360B">
              <w:rPr>
                <w:i/>
                <w:szCs w:val="24"/>
                <w:lang w:val="nl-NL"/>
              </w:rPr>
              <w:t xml:space="preserve">Tỷ lệ </w:t>
            </w:r>
            <w:r w:rsidRPr="0002360B">
              <w:rPr>
                <w:bCs/>
                <w:i/>
                <w:szCs w:val="24"/>
                <w:lang w:val="nl-NL"/>
              </w:rPr>
              <w:t>dư nợ tín dụng đối với 100 khách hàng có dư nợ tín dụng lớn nhất so với dư nợ tín dụng đối với tổ chức kinh tế, cá nhân</w:t>
            </w:r>
            <w:r w:rsidRPr="0002360B">
              <w:rPr>
                <w:i/>
                <w:szCs w:val="24"/>
                <w:lang w:val="nl-NL"/>
              </w:rPr>
              <w:t xml:space="preserve"> </w:t>
            </w:r>
            <w:r w:rsidRPr="0002360B">
              <w:rPr>
                <w:szCs w:val="24"/>
                <w:lang w:val="nl-NL"/>
              </w:rPr>
              <w:t xml:space="preserve">được xác định bằng tổng dư nợ tín dụng đối với 100 khách hàng (không bao gồm tổ chức tín dụng, chi nhánh ngân hàng nước ngoài) có dư nợ tín dụng lớn nhất so với dư nợ tín dụng đối với tổ chức kinh tế, cá nhân (không bao gồm tổ chức tín dụng, chi nhánh ngân hàng nước ngoài). Trường hợp tổ chức tín dụng, chi nhánh ngân hàng nước ngoài có ít hơn 100 khách hàng (không bao gồm tổ chức tín dụng, chi nhánh ngân hàng nước ngoài), thì tỷ lệ </w:t>
            </w:r>
            <w:r w:rsidRPr="0002360B">
              <w:rPr>
                <w:bCs/>
                <w:szCs w:val="24"/>
                <w:lang w:val="nl-NL"/>
              </w:rPr>
              <w:t>dư nợ tín dụng đối với 100 khách hàng có dư nợ tín dụng lớn nhất so với dư nợ tín dụng đối với tổ chức kinh tế, cá nhân</w:t>
            </w:r>
            <w:r w:rsidRPr="0002360B">
              <w:rPr>
                <w:i/>
                <w:szCs w:val="24"/>
                <w:lang w:val="nl-NL"/>
              </w:rPr>
              <w:t xml:space="preserve"> </w:t>
            </w:r>
            <w:r w:rsidRPr="0002360B">
              <w:rPr>
                <w:szCs w:val="24"/>
                <w:lang w:val="nl-NL"/>
              </w:rPr>
              <w:t>có giá trị bằng 100%.”</w:t>
            </w:r>
          </w:p>
          <w:p w14:paraId="388D7023" w14:textId="77777777" w:rsidR="00755E60" w:rsidRPr="0002360B" w:rsidRDefault="00755E60" w:rsidP="00B268EC">
            <w:pPr>
              <w:widowControl w:val="0"/>
              <w:tabs>
                <w:tab w:val="left" w:pos="5670"/>
              </w:tabs>
              <w:spacing w:before="0" w:after="0"/>
              <w:rPr>
                <w:b/>
                <w:szCs w:val="24"/>
                <w:lang w:val="pt-BR"/>
              </w:rPr>
            </w:pPr>
          </w:p>
        </w:tc>
      </w:tr>
      <w:tr w:rsidR="0002360B" w:rsidRPr="0002360B" w14:paraId="29769994" w14:textId="77777777" w:rsidTr="00776E98">
        <w:trPr>
          <w:cantSplit/>
        </w:trPr>
        <w:tc>
          <w:tcPr>
            <w:tcW w:w="3828" w:type="dxa"/>
            <w:vMerge/>
          </w:tcPr>
          <w:p w14:paraId="007AFE5C"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097CC8F8" w14:textId="77777777" w:rsidR="00755E60" w:rsidRPr="0002360B" w:rsidRDefault="00755E60" w:rsidP="00B268EC">
            <w:pPr>
              <w:widowControl w:val="0"/>
              <w:tabs>
                <w:tab w:val="left" w:pos="5670"/>
              </w:tabs>
              <w:spacing w:before="0" w:after="0"/>
              <w:ind w:left="34" w:right="-110" w:hanging="1"/>
              <w:jc w:val="left"/>
              <w:rPr>
                <w:szCs w:val="24"/>
                <w:lang w:val="pt-BR"/>
              </w:rPr>
            </w:pPr>
            <w:r w:rsidRPr="0059729F">
              <w:rPr>
                <w:szCs w:val="24"/>
              </w:rPr>
              <w:t>NHTMCP Xăng dầu Petrolimex</w:t>
            </w:r>
          </w:p>
        </w:tc>
        <w:tc>
          <w:tcPr>
            <w:tcW w:w="5358" w:type="dxa"/>
            <w:vAlign w:val="center"/>
          </w:tcPr>
          <w:p w14:paraId="133698C1" w14:textId="41695943" w:rsidR="00B268EC" w:rsidRPr="0059729F" w:rsidRDefault="00322FEB" w:rsidP="00B268EC">
            <w:pPr>
              <w:pStyle w:val="ListParagraph"/>
              <w:widowControl w:val="0"/>
              <w:tabs>
                <w:tab w:val="left" w:pos="709"/>
                <w:tab w:val="left" w:pos="5670"/>
              </w:tabs>
              <w:ind w:left="0"/>
              <w:contextualSpacing w:val="0"/>
              <w:rPr>
                <w:sz w:val="24"/>
              </w:rPr>
            </w:pPr>
            <w:r w:rsidRPr="00783EF9">
              <w:rPr>
                <w:sz w:val="24"/>
              </w:rPr>
              <w:t>Điểm d, Khoản 2, Điều 1 tại Dự thảo đang quy định: “5. Tỷ lệ dư nợ cấp tín dụng đối với 100 khách hàng lớn nhất so với dư nợ cấp tín dụng đối với tổ chức kinh tế, cá nhân được xác định bằng tổng dư nợ tín dụng đối với 100 khách hàng</w:t>
            </w:r>
            <w:r w:rsidRPr="00322FEB">
              <w:rPr>
                <w:sz w:val="24"/>
              </w:rPr>
              <w:t xml:space="preserve"> </w:t>
            </w:r>
            <w:r w:rsidR="00755E60" w:rsidRPr="0059729F">
              <w:rPr>
                <w:sz w:val="24"/>
              </w:rPr>
              <w:t>(không bao gồm tổ chức tín dụng, chi nhánh ngân hàng nước ngoài) có dư nợ tín dụng lớn nhất so với dư nợ cấp tín dụng đối với tổ chức kinh tế, cá nhân. Riêng đối với ngân hàng hợp tác xã, 100 khách hàng có dư nợ tín dụng lớn nhất bao gồm cả quỹ tín dụng nhân dân thành viên. Trường hợp tổ chức tín dụng, chi nhánh ngân hàng nước ngoài có ít hơn 100 khách hàng (không bao gồm tổ chức tín dụng, chi nhánh ngân hàng nước ngoài), thì Tỷ lệ dư nợ cấp tín dụng đối với 100 khách hàng lớn nhất so với dư nợ cấp tín dụng đối với tổ chức kinh tế, cá nhân có giá trị bằng 100%.”</w:t>
            </w:r>
          </w:p>
          <w:p w14:paraId="308EEE1B" w14:textId="725FE7E3" w:rsidR="00755E60" w:rsidRPr="0059729F" w:rsidRDefault="00755E60" w:rsidP="0059729F">
            <w:pPr>
              <w:pStyle w:val="ListParagraph"/>
              <w:widowControl w:val="0"/>
              <w:tabs>
                <w:tab w:val="left" w:pos="709"/>
                <w:tab w:val="left" w:pos="5670"/>
              </w:tabs>
              <w:ind w:left="0"/>
              <w:contextualSpacing w:val="0"/>
              <w:rPr>
                <w:iCs/>
                <w:sz w:val="24"/>
              </w:rPr>
            </w:pPr>
            <w:r w:rsidRPr="0059729F">
              <w:rPr>
                <w:sz w:val="24"/>
              </w:rPr>
              <w:t>PGBank đề xuất Ngân hàng Nhà nước Việt Nam làm rõ khái niệm “dư nợ cấp tín dụng”, “dư nợ tín dụng” để thống nhất cách hiểu chỉ tiêu này.</w:t>
            </w:r>
          </w:p>
        </w:tc>
        <w:tc>
          <w:tcPr>
            <w:tcW w:w="4252" w:type="dxa"/>
            <w:vMerge/>
          </w:tcPr>
          <w:p w14:paraId="765156A9" w14:textId="77777777" w:rsidR="00755E60" w:rsidRPr="0002360B" w:rsidRDefault="00755E60" w:rsidP="00B268EC">
            <w:pPr>
              <w:widowControl w:val="0"/>
              <w:tabs>
                <w:tab w:val="left" w:pos="5670"/>
              </w:tabs>
              <w:spacing w:before="0" w:after="0"/>
              <w:rPr>
                <w:b/>
                <w:szCs w:val="24"/>
                <w:lang w:val="pt-BR"/>
              </w:rPr>
            </w:pPr>
          </w:p>
        </w:tc>
      </w:tr>
      <w:tr w:rsidR="0002360B" w:rsidRPr="0002360B" w14:paraId="43E93CBE" w14:textId="77777777" w:rsidTr="00776E98">
        <w:trPr>
          <w:cantSplit/>
        </w:trPr>
        <w:tc>
          <w:tcPr>
            <w:tcW w:w="3828" w:type="dxa"/>
            <w:vMerge/>
          </w:tcPr>
          <w:p w14:paraId="45EE8E85"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6BDE504B" w14:textId="77777777" w:rsidR="00755E60" w:rsidRPr="0059729F" w:rsidRDefault="00755E60" w:rsidP="00B268EC">
            <w:pPr>
              <w:widowControl w:val="0"/>
              <w:tabs>
                <w:tab w:val="left" w:pos="5670"/>
              </w:tabs>
              <w:spacing w:before="0" w:after="0"/>
              <w:ind w:left="34" w:right="-110" w:hanging="1"/>
              <w:jc w:val="left"/>
              <w:rPr>
                <w:szCs w:val="24"/>
              </w:rPr>
            </w:pPr>
            <w:r w:rsidRPr="0059729F">
              <w:rPr>
                <w:szCs w:val="24"/>
              </w:rPr>
              <w:t>CTTC Điện Lực</w:t>
            </w:r>
          </w:p>
        </w:tc>
        <w:tc>
          <w:tcPr>
            <w:tcW w:w="5358" w:type="dxa"/>
            <w:vAlign w:val="center"/>
          </w:tcPr>
          <w:p w14:paraId="4ABB2E21"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rPr>
              <w:t>EVNFinance kính đề nghị Ban Soạn thảo làm rõ hơn quy định đối với việc “xác định bằng tổng dư nợ tín dụng”. Theo đó, quy định tổng dư nợ cấp tín dụng bao gồm những hoạt động nào, có bao gồm hạn mức chưa giải ngân không, các khoản ủy thác được tính như thế nào? Hoặc nội dung này có được dẫn chiếu sang văn bản pháp luật khác đã quy định về khái niệm này, tạo hành lang thông suốt cho các Tổ chức tín dụng khi thực hiện tính toán, theo dõi và cung cấp cho Ngân hàng nhà nước.</w:t>
            </w:r>
          </w:p>
        </w:tc>
        <w:tc>
          <w:tcPr>
            <w:tcW w:w="4252" w:type="dxa"/>
            <w:vMerge/>
          </w:tcPr>
          <w:p w14:paraId="09E57C96" w14:textId="77777777" w:rsidR="00755E60" w:rsidRPr="0002360B" w:rsidRDefault="00755E60" w:rsidP="00B268EC">
            <w:pPr>
              <w:widowControl w:val="0"/>
              <w:tabs>
                <w:tab w:val="left" w:pos="5670"/>
              </w:tabs>
              <w:spacing w:before="0" w:after="0"/>
              <w:rPr>
                <w:b/>
                <w:szCs w:val="24"/>
                <w:lang w:val="pt-BR"/>
              </w:rPr>
            </w:pPr>
          </w:p>
        </w:tc>
      </w:tr>
      <w:tr w:rsidR="0002360B" w:rsidRPr="0002360B" w14:paraId="76FE56C8" w14:textId="77777777" w:rsidTr="00776E98">
        <w:trPr>
          <w:cantSplit/>
          <w:trHeight w:val="8864"/>
        </w:trPr>
        <w:tc>
          <w:tcPr>
            <w:tcW w:w="3828" w:type="dxa"/>
            <w:vMerge/>
          </w:tcPr>
          <w:p w14:paraId="65CC0BFB"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5FF4768C" w14:textId="77777777" w:rsidR="00755E60" w:rsidRPr="0002360B" w:rsidRDefault="00755E60" w:rsidP="00B268EC">
            <w:pPr>
              <w:widowControl w:val="0"/>
              <w:tabs>
                <w:tab w:val="left" w:pos="5670"/>
              </w:tabs>
              <w:spacing w:before="0" w:after="0"/>
              <w:ind w:left="34" w:right="34" w:hanging="1"/>
              <w:jc w:val="left"/>
              <w:rPr>
                <w:szCs w:val="24"/>
                <w:lang w:val="pt-BR"/>
              </w:rPr>
            </w:pPr>
            <w:r w:rsidRPr="0059729F">
              <w:rPr>
                <w:szCs w:val="24"/>
              </w:rPr>
              <w:t>NHTMCP Sài Gòn - Hà Nội</w:t>
            </w:r>
          </w:p>
          <w:p w14:paraId="4074B4F2" w14:textId="77777777" w:rsidR="00755E60" w:rsidRPr="0002360B" w:rsidRDefault="00755E60" w:rsidP="00B268EC">
            <w:pPr>
              <w:widowControl w:val="0"/>
              <w:tabs>
                <w:tab w:val="left" w:pos="5670"/>
              </w:tabs>
              <w:spacing w:before="0" w:after="0"/>
              <w:ind w:left="34" w:right="-110" w:hanging="1"/>
              <w:jc w:val="left"/>
              <w:rPr>
                <w:szCs w:val="24"/>
                <w:lang w:val="pt-BR"/>
              </w:rPr>
            </w:pPr>
          </w:p>
        </w:tc>
        <w:tc>
          <w:tcPr>
            <w:tcW w:w="5358" w:type="dxa"/>
            <w:vAlign w:val="center"/>
          </w:tcPr>
          <w:p w14:paraId="584E8AD1" w14:textId="77777777" w:rsidR="00755E60" w:rsidRPr="00783EF9" w:rsidRDefault="00755E60" w:rsidP="00B268EC">
            <w:pPr>
              <w:pStyle w:val="ListParagraph"/>
              <w:widowControl w:val="0"/>
              <w:tabs>
                <w:tab w:val="left" w:pos="709"/>
                <w:tab w:val="left" w:pos="5670"/>
              </w:tabs>
              <w:ind w:left="0"/>
              <w:contextualSpacing w:val="0"/>
              <w:rPr>
                <w:spacing w:val="-2"/>
                <w:szCs w:val="22"/>
              </w:rPr>
            </w:pPr>
            <w:r w:rsidRPr="00783EF9">
              <w:rPr>
                <w:spacing w:val="-2"/>
                <w:szCs w:val="22"/>
              </w:rPr>
              <w:t>Về việc xác định “dư nợ cấp tín dụng”</w:t>
            </w:r>
          </w:p>
          <w:p w14:paraId="58306B23" w14:textId="77777777" w:rsidR="00755E60" w:rsidRPr="00783EF9" w:rsidRDefault="00755E60" w:rsidP="00B268EC">
            <w:pPr>
              <w:pStyle w:val="ListParagraph"/>
              <w:widowControl w:val="0"/>
              <w:tabs>
                <w:tab w:val="left" w:pos="709"/>
                <w:tab w:val="left" w:pos="5670"/>
              </w:tabs>
              <w:ind w:left="0"/>
              <w:contextualSpacing w:val="0"/>
              <w:rPr>
                <w:spacing w:val="-2"/>
                <w:szCs w:val="22"/>
              </w:rPr>
            </w:pPr>
            <w:r w:rsidRPr="00783EF9">
              <w:rPr>
                <w:spacing w:val="-2"/>
                <w:szCs w:val="22"/>
              </w:rPr>
              <w:t>- Chúng tôi nhận thấy liên quan đến việc xác định “dư nợ cấp tín dụng” hiện đang có các quy định như sau:</w:t>
            </w:r>
          </w:p>
          <w:p w14:paraId="548AF72E" w14:textId="77777777" w:rsidR="00B268EC" w:rsidRPr="00783EF9" w:rsidRDefault="00755E60" w:rsidP="00B268EC">
            <w:pPr>
              <w:pStyle w:val="ListParagraph"/>
              <w:widowControl w:val="0"/>
              <w:tabs>
                <w:tab w:val="left" w:pos="709"/>
                <w:tab w:val="left" w:pos="5670"/>
              </w:tabs>
              <w:ind w:left="0"/>
              <w:contextualSpacing w:val="0"/>
              <w:rPr>
                <w:spacing w:val="-2"/>
                <w:szCs w:val="22"/>
              </w:rPr>
            </w:pPr>
            <w:r w:rsidRPr="00783EF9">
              <w:rPr>
                <w:spacing w:val="-2"/>
                <w:szCs w:val="22"/>
              </w:rPr>
              <w:t>+ Khoản 5 Phần 2 Phụ lục 2 Thông tư 11/2018/TT-NHNN quy định: “5. Dư nợ tín dụng là toàn bộ số dư tại một thời điểm cụ thể của các khoản cấp tín dụng của TCTD cho tổ chức, cá nhân dưới hình thức sau: a) Cho vay; b) Chiết khấu, tái chiết khấu các công cụ chuyển nhượng và các giấy tờ có giá khác; c) Cho thuê tài chính; d) Bao thanh toán; đ) Các khoản trả thay cá nhân, tổ chức trong trường hợp cá nhân, tổ chức được bảo lãnh không thực hiện được nghĩa vụ của mình khi đến hạn thanh toán; e) Phát hành thẻ tín dụng; f) Mua, đầu tư trái phiếu doanh nghiệp (không bao gồm trái phiếu VAMC); g) Các nghiệp vụ cấp tín dụng khác được NHNN chấp thuận”.</w:t>
            </w:r>
          </w:p>
          <w:p w14:paraId="723974E7" w14:textId="644FD43E" w:rsidR="00B268EC" w:rsidRPr="00783EF9" w:rsidRDefault="00755E60" w:rsidP="0059729F">
            <w:pPr>
              <w:pStyle w:val="ListParagraph"/>
              <w:widowControl w:val="0"/>
              <w:tabs>
                <w:tab w:val="left" w:pos="709"/>
                <w:tab w:val="left" w:pos="5670"/>
              </w:tabs>
              <w:ind w:left="0"/>
              <w:contextualSpacing w:val="0"/>
              <w:rPr>
                <w:spacing w:val="-2"/>
                <w:szCs w:val="22"/>
              </w:rPr>
            </w:pPr>
            <w:r w:rsidRPr="00783EF9">
              <w:rPr>
                <w:spacing w:val="-2"/>
                <w:szCs w:val="22"/>
              </w:rPr>
              <w:t>+ Điểm 4 Phần 2 Phụ lục 2 Thông tư 35/2015/TT-NHNN có quy định: “4. Cấp tín dụng là việc thỏa thuận để cá nhân, tổ chức sử dụng một khoản tiền hoặc cam kết cho phép sử dụng một khoản tiền theo nguyên tắc có hoàn trả bằng các nghiệp vụ cho vay, chiết khấu, tái chiết khấu và các công cụ chuyển nhượng và các giấy tờ có giá khác, cho thuê tài chính, bao thanh toán, bảo lãnh ngân hàng và các nghiệp vụ cấp tín dụng khác”.</w:t>
            </w:r>
          </w:p>
          <w:p w14:paraId="2146AFEA" w14:textId="658E3433" w:rsidR="00755E60" w:rsidRPr="0059729F" w:rsidRDefault="00755E60" w:rsidP="0059729F">
            <w:pPr>
              <w:pStyle w:val="ListParagraph"/>
              <w:widowControl w:val="0"/>
              <w:tabs>
                <w:tab w:val="left" w:pos="709"/>
                <w:tab w:val="left" w:pos="5670"/>
              </w:tabs>
              <w:ind w:left="0"/>
              <w:contextualSpacing w:val="0"/>
              <w:rPr>
                <w:iCs/>
                <w:spacing w:val="-2"/>
                <w:sz w:val="24"/>
              </w:rPr>
            </w:pPr>
            <w:r w:rsidRPr="00783EF9">
              <w:rPr>
                <w:spacing w:val="-2"/>
                <w:szCs w:val="22"/>
              </w:rPr>
              <w:t>+ Công văn 6586/NHNN-DBTK có quy định: Cấp tín dụng quy định tại Điểm 4 Phần 2 Phụ lục 2 Thông tư 35 bao gồm khoản cấp tín dụng bằng nghiệp vụ thư tín dụng; Quy định về nghiệp vụ thư tín dụng thực hiện theo Thông tư số 21/2024/TT-NHNN ngày 28/4/2024.</w:t>
            </w:r>
            <w:r w:rsidRPr="00783EF9">
              <w:rPr>
                <w:spacing w:val="-2"/>
                <w:szCs w:val="22"/>
              </w:rPr>
              <w:br/>
            </w:r>
            <w:r w:rsidRPr="00783EF9">
              <w:rPr>
                <w:spacing w:val="-2"/>
                <w:szCs w:val="22"/>
                <w:u w:val="single"/>
              </w:rPr>
              <w:t xml:space="preserve">- Đề xuất: </w:t>
            </w:r>
            <w:r w:rsidRPr="00783EF9">
              <w:rPr>
                <w:spacing w:val="-2"/>
                <w:szCs w:val="22"/>
              </w:rPr>
              <w:t>Cơ quan soạn thảo xem xét làm rõ “dư nợ cấp tín dụng” tại STT 2.3 Điều 14 Dự thảo sẽ được xác định cụ thể như thế nào. Trong đó xem xét làm rõ các nghiệp vụ cấp tín dụng bao gồm các nghiệp vụ</w:t>
            </w:r>
            <w:r w:rsidRPr="0059729F">
              <w:rPr>
                <w:spacing w:val="-2"/>
                <w:sz w:val="24"/>
              </w:rPr>
              <w:t xml:space="preserve"> </w:t>
            </w:r>
            <w:r w:rsidRPr="00783EF9">
              <w:rPr>
                <w:spacing w:val="-2"/>
                <w:szCs w:val="22"/>
              </w:rPr>
              <w:t>nào và có bao gồm nghiệp vụ thư tín dụng hay không (?).</w:t>
            </w:r>
          </w:p>
        </w:tc>
        <w:tc>
          <w:tcPr>
            <w:tcW w:w="4252" w:type="dxa"/>
            <w:vMerge/>
          </w:tcPr>
          <w:p w14:paraId="2FD7705C" w14:textId="77777777" w:rsidR="00755E60" w:rsidRPr="0002360B" w:rsidRDefault="00755E60" w:rsidP="00B268EC">
            <w:pPr>
              <w:widowControl w:val="0"/>
              <w:tabs>
                <w:tab w:val="left" w:pos="5670"/>
              </w:tabs>
              <w:spacing w:before="0" w:after="0"/>
              <w:rPr>
                <w:b/>
                <w:szCs w:val="24"/>
                <w:lang w:val="pt-BR"/>
              </w:rPr>
            </w:pPr>
          </w:p>
        </w:tc>
      </w:tr>
      <w:tr w:rsidR="0002360B" w:rsidRPr="0002360B" w14:paraId="27004661" w14:textId="77777777" w:rsidTr="00776E98">
        <w:trPr>
          <w:cantSplit/>
        </w:trPr>
        <w:tc>
          <w:tcPr>
            <w:tcW w:w="3828" w:type="dxa"/>
            <w:vMerge/>
          </w:tcPr>
          <w:p w14:paraId="16541CF0"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33E6D46B" w14:textId="77777777" w:rsidR="00755E60" w:rsidRPr="0002360B" w:rsidRDefault="00755E60" w:rsidP="00B268EC">
            <w:pPr>
              <w:widowControl w:val="0"/>
              <w:tabs>
                <w:tab w:val="left" w:pos="5670"/>
              </w:tabs>
              <w:spacing w:before="0" w:after="0"/>
              <w:ind w:left="34" w:right="176" w:hanging="1"/>
              <w:jc w:val="left"/>
              <w:rPr>
                <w:szCs w:val="24"/>
                <w:lang w:val="pt-BR"/>
              </w:rPr>
            </w:pPr>
            <w:r w:rsidRPr="0059729F">
              <w:rPr>
                <w:szCs w:val="24"/>
              </w:rPr>
              <w:t>NHTMCP Kỹ Thương</w:t>
            </w:r>
          </w:p>
        </w:tc>
        <w:tc>
          <w:tcPr>
            <w:tcW w:w="5358" w:type="dxa"/>
            <w:vAlign w:val="center"/>
          </w:tcPr>
          <w:p w14:paraId="396FCD4F" w14:textId="77777777" w:rsidR="00755E60" w:rsidRPr="00783EF9" w:rsidRDefault="00755E60" w:rsidP="00B268EC">
            <w:pPr>
              <w:pStyle w:val="ListParagraph"/>
              <w:widowControl w:val="0"/>
              <w:tabs>
                <w:tab w:val="left" w:pos="709"/>
                <w:tab w:val="left" w:pos="5670"/>
              </w:tabs>
              <w:ind w:left="0"/>
              <w:contextualSpacing w:val="0"/>
              <w:rPr>
                <w:spacing w:val="-2"/>
                <w:szCs w:val="22"/>
              </w:rPr>
            </w:pPr>
            <w:r w:rsidRPr="00783EF9">
              <w:rPr>
                <w:spacing w:val="-2"/>
                <w:szCs w:val="22"/>
              </w:rPr>
              <w:t>TCB ủng hộ mở rộng việc xác định đối tượng khách hàng có dư nợ tín dụng lớn nhằm quản lý rủi ro tập trung tín dụng. Tuy nhiên, TCB thấy rằng việc lấy tiêu chí “100 khách hàng lớn nhất so với dư nợ cấp tín dụng đối với tổ chức kinh tế, cá nhân” là chưa phù hợp với nguyên tắc quản lý rủi ro tập trung vì những lý do sau:</w:t>
            </w:r>
          </w:p>
          <w:p w14:paraId="112431A2" w14:textId="77777777" w:rsidR="00B268EC" w:rsidRPr="00783EF9" w:rsidRDefault="00755E60" w:rsidP="00B268EC">
            <w:pPr>
              <w:pStyle w:val="ListParagraph"/>
              <w:widowControl w:val="0"/>
              <w:tabs>
                <w:tab w:val="left" w:pos="709"/>
                <w:tab w:val="left" w:pos="5670"/>
              </w:tabs>
              <w:ind w:left="0"/>
              <w:contextualSpacing w:val="0"/>
              <w:rPr>
                <w:spacing w:val="-2"/>
                <w:szCs w:val="22"/>
              </w:rPr>
            </w:pPr>
            <w:r w:rsidRPr="00783EF9">
              <w:rPr>
                <w:spacing w:val="-2"/>
                <w:szCs w:val="22"/>
              </w:rPr>
              <w:t>- Thứ nhất, tiêu chí này không phản ánh được tương quan giữa số dư nợ cấp tín dụng của khách hàng so với năng lực tài chính của tổ chức tín dụng (TCTD).</w:t>
            </w:r>
          </w:p>
          <w:p w14:paraId="3490D6D7" w14:textId="1B757507" w:rsidR="00755E60" w:rsidRPr="00783EF9" w:rsidRDefault="00755E60" w:rsidP="00B268EC">
            <w:pPr>
              <w:pStyle w:val="ListParagraph"/>
              <w:widowControl w:val="0"/>
              <w:tabs>
                <w:tab w:val="left" w:pos="709"/>
                <w:tab w:val="left" w:pos="5670"/>
              </w:tabs>
              <w:ind w:left="0"/>
              <w:contextualSpacing w:val="0"/>
              <w:rPr>
                <w:spacing w:val="-2"/>
                <w:szCs w:val="22"/>
              </w:rPr>
            </w:pPr>
            <w:r w:rsidRPr="00783EF9">
              <w:rPr>
                <w:spacing w:val="-2"/>
                <w:szCs w:val="22"/>
              </w:rPr>
              <w:t>- Thứ hai, tiêu chí này không phù hợp với nguyên tắc quản lý rủi ro tập trung tại Luật các TCTD (Điều 136 Luật TCTD), Thông tư 22/2019/TT-NHNN quy định về các giới hạn, tỷ lệ bảo đảm an toàn trong hoạt động của ngân hàng, chi nhánh ngân hàng nước ngoài (đã được sửa đổi, bổ sung), do tại các quy định nêu trên thì việc quản lý rủi ro tập trung đều được xác định trên cơ sở Dư nợ của khách hàng so với Vốn tự có.</w:t>
            </w:r>
          </w:p>
          <w:p w14:paraId="0545B133" w14:textId="77777777" w:rsidR="00755E60" w:rsidRPr="00783EF9" w:rsidRDefault="00755E60" w:rsidP="00B268EC">
            <w:pPr>
              <w:pStyle w:val="ListParagraph"/>
              <w:widowControl w:val="0"/>
              <w:tabs>
                <w:tab w:val="left" w:pos="709"/>
                <w:tab w:val="left" w:pos="5670"/>
              </w:tabs>
              <w:ind w:left="0"/>
              <w:contextualSpacing w:val="0"/>
              <w:rPr>
                <w:spacing w:val="-2"/>
                <w:szCs w:val="22"/>
              </w:rPr>
            </w:pPr>
            <w:r w:rsidRPr="00783EF9">
              <w:rPr>
                <w:spacing w:val="-2"/>
                <w:szCs w:val="22"/>
              </w:rPr>
              <w:t>- Thứ ba, theo quy định tại Thông tư 13/2018/TT-NHNN quy định về hệ thống kiểm soát nội bộ của ngân hàng thương mại, chi nhánh ngân hàng nước ngoài và Dự thảo Thông tư sửa đổi, bổ sung Thông tư 13 thì rủi ro tập trung là rủi ro do có hoạt động kinh doanh tập trung vào một khách hàng (bao gồm người có liên quan), đối tác, sản phẩm, giao dịch, ngành, lĩnh vực kinh tế, loại tiền tệ ở mức độ có tác động đáng kể đến thu nhập, trạng thái rủi ro theo quy định nội bộ. Theo đó, rủi ro tập trung được đánh giá trên tác động đến thu nhập, trạng thái rủi ro mà đây là những yếu tố ảnh hưởng trực tiếp đến vốn tự có của ngân hàng.</w:t>
            </w:r>
          </w:p>
          <w:p w14:paraId="5DAB9A36" w14:textId="77777777" w:rsidR="00755E60" w:rsidRPr="0059729F" w:rsidRDefault="00755E60" w:rsidP="00B268EC">
            <w:pPr>
              <w:pStyle w:val="ListParagraph"/>
              <w:widowControl w:val="0"/>
              <w:tabs>
                <w:tab w:val="left" w:pos="709"/>
                <w:tab w:val="left" w:pos="5670"/>
              </w:tabs>
              <w:ind w:left="0"/>
              <w:contextualSpacing w:val="0"/>
              <w:rPr>
                <w:iCs/>
                <w:spacing w:val="-4"/>
                <w:sz w:val="24"/>
              </w:rPr>
            </w:pPr>
            <w:r w:rsidRPr="00783EF9">
              <w:rPr>
                <w:spacing w:val="-4"/>
                <w:szCs w:val="22"/>
              </w:rPr>
              <w:t>Từ các lý do nêu trên, để đảm bảo thống nhất về nguyên tắc quản lý rủi ro tập trung quy định tại Luật các TCTD và các hướng dẫn của Ngân hàng Nhà nước, TCB đề nghị Ngân hàng Nhà nước xem xét giữ nguyên</w:t>
            </w:r>
            <w:r w:rsidRPr="0059729F">
              <w:rPr>
                <w:spacing w:val="-4"/>
                <w:sz w:val="24"/>
              </w:rPr>
              <w:t xml:space="preserve"> </w:t>
            </w:r>
            <w:r w:rsidRPr="00783EF9">
              <w:rPr>
                <w:spacing w:val="-4"/>
                <w:szCs w:val="22"/>
              </w:rPr>
              <w:t>cách xác định khách hàng lớn như tại Thông tư 52 (căn cứ trên tỷ trọng dư nợ so với Vốn tự có) và NHNN căn cứ vào kết quả đánh giá tác động để xác định 1 tỷ lệ phù hợp.</w:t>
            </w:r>
          </w:p>
        </w:tc>
        <w:tc>
          <w:tcPr>
            <w:tcW w:w="4252" w:type="dxa"/>
            <w:vMerge w:val="restart"/>
          </w:tcPr>
          <w:p w14:paraId="1B47FBA9" w14:textId="77777777" w:rsidR="00755E60" w:rsidRPr="0002360B" w:rsidRDefault="00755E60" w:rsidP="00B268EC">
            <w:pPr>
              <w:widowControl w:val="0"/>
              <w:tabs>
                <w:tab w:val="left" w:pos="5670"/>
              </w:tabs>
              <w:spacing w:before="0" w:after="0"/>
              <w:rPr>
                <w:b/>
                <w:bCs/>
                <w:szCs w:val="24"/>
              </w:rPr>
            </w:pPr>
            <w:r w:rsidRPr="0059729F">
              <w:rPr>
                <w:b/>
                <w:bCs/>
                <w:szCs w:val="24"/>
              </w:rPr>
              <w:t>Chưa tiếp thu</w:t>
            </w:r>
          </w:p>
          <w:p w14:paraId="338E4768" w14:textId="77777777" w:rsidR="00755E60" w:rsidRPr="0002360B" w:rsidRDefault="00755E60" w:rsidP="00B268EC">
            <w:pPr>
              <w:widowControl w:val="0"/>
              <w:tabs>
                <w:tab w:val="left" w:pos="5670"/>
              </w:tabs>
              <w:spacing w:before="0" w:after="0"/>
              <w:rPr>
                <w:b/>
                <w:szCs w:val="24"/>
                <w:lang w:val="pt-BR"/>
              </w:rPr>
            </w:pPr>
            <w:r w:rsidRPr="0059729F">
              <w:rPr>
                <w:szCs w:val="24"/>
              </w:rPr>
              <w:t>Tỷ lệ “Tổng dư nợ tín dụng đối với 100 khách hàng có dư nợ tín dụng lớn nhất so với dư nợ tín dụng đối với tổ chức kinh tế, cá nhân” là một trong các chỉ tiêu đánh giá Chất lượng tài sản của TCTD, chi nhánh ngân hàng nước ngoài. Chỉ tiêu được sử dụng để chấm điểm xếp hạng được lựa chọn trên cơ sở yêu cầu, định hướng quản lý nhà nước và phù hợp với diễn biến thị trường trong từng thời kỳ.</w:t>
            </w:r>
          </w:p>
          <w:p w14:paraId="74561F6B" w14:textId="77777777" w:rsidR="00755E60" w:rsidRPr="0002360B" w:rsidRDefault="00755E60" w:rsidP="00B268EC">
            <w:pPr>
              <w:widowControl w:val="0"/>
              <w:tabs>
                <w:tab w:val="left" w:pos="5670"/>
              </w:tabs>
              <w:spacing w:before="0" w:after="0"/>
              <w:rPr>
                <w:b/>
                <w:szCs w:val="24"/>
                <w:lang w:val="pt-BR"/>
              </w:rPr>
            </w:pPr>
            <w:r w:rsidRPr="0059729F">
              <w:rPr>
                <w:szCs w:val="24"/>
              </w:rPr>
              <w:t xml:space="preserve">Trong điều kiện thị trường hiện tại, chỉ tiêu </w:t>
            </w:r>
            <w:r w:rsidRPr="0059729F">
              <w:rPr>
                <w:i/>
                <w:szCs w:val="24"/>
              </w:rPr>
              <w:t>“Tỷ lệ dư nợ tín dụng đối với 100 khách hàng có dư nợ tín dụng lớn nhất so với dư nợ tín dụng đối với tổ chức kinh tế, cá nhân”</w:t>
            </w:r>
            <w:r w:rsidRPr="0059729F">
              <w:rPr>
                <w:szCs w:val="24"/>
              </w:rPr>
              <w:t xml:space="preserve"> phản ánh mức độ rủi ro tập trung tín dụng tốt hơn chỉ tiêu </w:t>
            </w:r>
            <w:r w:rsidRPr="0059729F">
              <w:rPr>
                <w:i/>
                <w:szCs w:val="24"/>
              </w:rPr>
              <w:t>“Tỷ lệ dư nợ cấp tín dụng của các khách hàng có dư nợ cấp tín dụng lớn so với dư nợ cấp tín dụng đối với tổ chức kinh tế, cá nhân”</w:t>
            </w:r>
            <w:r w:rsidRPr="0059729F">
              <w:rPr>
                <w:szCs w:val="24"/>
              </w:rPr>
              <w:t>.</w:t>
            </w:r>
          </w:p>
        </w:tc>
      </w:tr>
      <w:tr w:rsidR="0002360B" w:rsidRPr="0002360B" w14:paraId="6AE843E5" w14:textId="77777777" w:rsidTr="00776E98">
        <w:trPr>
          <w:cantSplit/>
        </w:trPr>
        <w:tc>
          <w:tcPr>
            <w:tcW w:w="3828" w:type="dxa"/>
            <w:vMerge/>
          </w:tcPr>
          <w:p w14:paraId="5098D07A"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1182BEFA" w14:textId="77777777" w:rsidR="00755E60" w:rsidRPr="0002360B" w:rsidRDefault="00755E60" w:rsidP="00B268EC">
            <w:pPr>
              <w:widowControl w:val="0"/>
              <w:tabs>
                <w:tab w:val="left" w:pos="5670"/>
              </w:tabs>
              <w:spacing w:before="0" w:after="0"/>
              <w:ind w:left="34" w:right="34" w:hanging="1"/>
              <w:jc w:val="left"/>
              <w:rPr>
                <w:szCs w:val="24"/>
                <w:lang w:val="pt-BR"/>
              </w:rPr>
            </w:pPr>
            <w:r w:rsidRPr="0059729F">
              <w:rPr>
                <w:szCs w:val="24"/>
              </w:rPr>
              <w:t>NHTMCP Đông Nam Á</w:t>
            </w:r>
          </w:p>
        </w:tc>
        <w:tc>
          <w:tcPr>
            <w:tcW w:w="5358" w:type="dxa"/>
            <w:vAlign w:val="center"/>
          </w:tcPr>
          <w:p w14:paraId="5FE52A73" w14:textId="77777777" w:rsidR="00755E60" w:rsidRPr="0059729F" w:rsidRDefault="00755E60" w:rsidP="00B268EC">
            <w:pPr>
              <w:pStyle w:val="ListParagraph"/>
              <w:widowControl w:val="0"/>
              <w:tabs>
                <w:tab w:val="left" w:pos="709"/>
                <w:tab w:val="left" w:pos="5670"/>
              </w:tabs>
              <w:ind w:left="0"/>
              <w:contextualSpacing w:val="0"/>
              <w:rPr>
                <w:sz w:val="23"/>
                <w:szCs w:val="23"/>
              </w:rPr>
            </w:pPr>
            <w:r w:rsidRPr="0059729F">
              <w:rPr>
                <w:sz w:val="23"/>
                <w:szCs w:val="23"/>
              </w:rPr>
              <w:t xml:space="preserve">Đề xuất Đơn vị soạn thảo không điều chỉnh nội dung này và giữ nguyên như quy định tại Thông tư 52: </w:t>
            </w:r>
          </w:p>
          <w:p w14:paraId="759A6F5E" w14:textId="77777777" w:rsidR="00755E60" w:rsidRPr="0059729F" w:rsidRDefault="00755E60" w:rsidP="00B268EC">
            <w:pPr>
              <w:pStyle w:val="ListParagraph"/>
              <w:widowControl w:val="0"/>
              <w:tabs>
                <w:tab w:val="left" w:pos="709"/>
                <w:tab w:val="left" w:pos="5670"/>
              </w:tabs>
              <w:ind w:left="0"/>
              <w:contextualSpacing w:val="0"/>
              <w:rPr>
                <w:sz w:val="23"/>
                <w:szCs w:val="23"/>
              </w:rPr>
            </w:pPr>
            <w:r w:rsidRPr="0059729F">
              <w:rPr>
                <w:sz w:val="23"/>
                <w:szCs w:val="23"/>
              </w:rPr>
              <w:t>Bởi điều khoản này để đánh giá mức độ tập trung tín dụng của các tổ chức tín dụng tuy nhiên dự thảo sửa đổi chưa phân hóa phù hợp với khả năng quản trị và vốn của các TCTD:</w:t>
            </w:r>
          </w:p>
          <w:p w14:paraId="40AF5113" w14:textId="77777777" w:rsidR="00B268EC" w:rsidRPr="0059729F" w:rsidRDefault="00755E60" w:rsidP="00B268EC">
            <w:pPr>
              <w:pStyle w:val="ListParagraph"/>
              <w:widowControl w:val="0"/>
              <w:tabs>
                <w:tab w:val="left" w:pos="709"/>
                <w:tab w:val="left" w:pos="5670"/>
              </w:tabs>
              <w:ind w:left="0"/>
              <w:contextualSpacing w:val="0"/>
              <w:rPr>
                <w:sz w:val="23"/>
                <w:szCs w:val="23"/>
              </w:rPr>
            </w:pPr>
            <w:r w:rsidRPr="0059729F">
              <w:rPr>
                <w:sz w:val="23"/>
                <w:szCs w:val="23"/>
              </w:rPr>
              <w:t>• Quy định trước đây khuyến khích các TCTD muốn tăng trưởng tín dụng thì sẽ phải cải thiện về quy mô vốn. Từ việc yêu cầu tăng quy mô vốn cũng điều chỉnh cả năng lực quản trị điều hành của các TCTD là phù hợp với định hướng phát triển ngành Ngân hàng.</w:t>
            </w:r>
          </w:p>
          <w:p w14:paraId="20C61D59" w14:textId="0417419F" w:rsidR="00B268EC" w:rsidRPr="0059729F" w:rsidRDefault="00755E60" w:rsidP="00B268EC">
            <w:pPr>
              <w:pStyle w:val="ListParagraph"/>
              <w:widowControl w:val="0"/>
              <w:tabs>
                <w:tab w:val="left" w:pos="709"/>
                <w:tab w:val="left" w:pos="5670"/>
              </w:tabs>
              <w:ind w:left="0"/>
              <w:contextualSpacing w:val="0"/>
              <w:rPr>
                <w:sz w:val="23"/>
                <w:szCs w:val="23"/>
              </w:rPr>
            </w:pPr>
            <w:r w:rsidRPr="0059729F">
              <w:rPr>
                <w:sz w:val="23"/>
                <w:szCs w:val="23"/>
              </w:rPr>
              <w:t>• Với quy định mới việc chọn 100 khách hàng không gắn với vốn tự có của từng ngân hàng nên không đánh giá đến năng lực quản trị của từng tổ chức tín dụng. Bên cạnh đó hệ thống tổ chức tín dụng tại Việt Nam cũng phân hóa rõ rệt đối với các ngân hàng tập trung tín dụng cá nhân và các ngân hàng tập trung tín dụng doanh nghiệp. Với quy định này các ngân hàng cho vay tiêu dùng sẽ được đánh giá tốt hơn so với ngân hàng tài trợ cho các ngành kinh tế mặc dù có cùng quy mô.</w:t>
            </w:r>
          </w:p>
          <w:p w14:paraId="6B6091D5" w14:textId="0B3D2D75" w:rsidR="00755E60" w:rsidRPr="0059729F" w:rsidRDefault="00755E60" w:rsidP="0059729F">
            <w:pPr>
              <w:pStyle w:val="ListParagraph"/>
              <w:widowControl w:val="0"/>
              <w:tabs>
                <w:tab w:val="left" w:pos="709"/>
                <w:tab w:val="left" w:pos="5670"/>
              </w:tabs>
              <w:ind w:left="0"/>
              <w:contextualSpacing w:val="0"/>
              <w:rPr>
                <w:iCs/>
                <w:sz w:val="23"/>
                <w:szCs w:val="23"/>
              </w:rPr>
            </w:pPr>
            <w:r w:rsidRPr="0059729F">
              <w:rPr>
                <w:sz w:val="23"/>
                <w:szCs w:val="23"/>
              </w:rPr>
              <w:t>• Với quy định này các tổ chức tín dụng cũng phải xây dựng lại trọng tâm tín dụng của mình, giảm cho vay đối với các doanh nghiệp có nhu cầu vốn lớn như các Tổng công ty, Tập đoàn lớn, các doanh nghiệp có hoạt động kinh doanh đa ngành trong khi nhu cầu vốn của các doanh nghiệp này tăng trưởng hàng năm và có thể ảnh hưởng đến vai trò cung cấp vốn cho nền kinh tế trong dài hạn.</w:t>
            </w:r>
          </w:p>
        </w:tc>
        <w:tc>
          <w:tcPr>
            <w:tcW w:w="4252" w:type="dxa"/>
            <w:vMerge/>
            <w:vAlign w:val="center"/>
          </w:tcPr>
          <w:p w14:paraId="72C7828D" w14:textId="77777777" w:rsidR="00755E60" w:rsidRPr="0002360B" w:rsidRDefault="00755E60" w:rsidP="00B268EC">
            <w:pPr>
              <w:widowControl w:val="0"/>
              <w:tabs>
                <w:tab w:val="left" w:pos="5670"/>
              </w:tabs>
              <w:spacing w:before="0" w:after="0"/>
              <w:rPr>
                <w:b/>
                <w:szCs w:val="24"/>
                <w:lang w:val="pt-BR"/>
              </w:rPr>
            </w:pPr>
          </w:p>
        </w:tc>
      </w:tr>
      <w:tr w:rsidR="0002360B" w:rsidRPr="0002360B" w14:paraId="757825C0" w14:textId="77777777" w:rsidTr="00776E98">
        <w:trPr>
          <w:cantSplit/>
        </w:trPr>
        <w:tc>
          <w:tcPr>
            <w:tcW w:w="3828" w:type="dxa"/>
            <w:vMerge/>
          </w:tcPr>
          <w:p w14:paraId="6B819EF3"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66BBCCBB" w14:textId="77777777" w:rsidR="00755E60" w:rsidRPr="0002360B" w:rsidRDefault="00755E60" w:rsidP="00B268EC">
            <w:pPr>
              <w:widowControl w:val="0"/>
              <w:tabs>
                <w:tab w:val="left" w:pos="5670"/>
              </w:tabs>
              <w:spacing w:before="0" w:after="0"/>
              <w:ind w:left="34" w:right="34" w:hanging="1"/>
              <w:jc w:val="left"/>
              <w:rPr>
                <w:szCs w:val="24"/>
              </w:rPr>
            </w:pPr>
            <w:r w:rsidRPr="0059729F">
              <w:rPr>
                <w:szCs w:val="24"/>
              </w:rPr>
              <w:t>SUMITOMO  HN (SMBC HN)</w:t>
            </w:r>
          </w:p>
        </w:tc>
        <w:tc>
          <w:tcPr>
            <w:tcW w:w="5358" w:type="dxa"/>
            <w:vAlign w:val="center"/>
          </w:tcPr>
          <w:p w14:paraId="4DAA16E5" w14:textId="77777777" w:rsidR="00755E60" w:rsidRPr="0059729F" w:rsidRDefault="00755E60" w:rsidP="00B268EC">
            <w:pPr>
              <w:pStyle w:val="ListParagraph"/>
              <w:widowControl w:val="0"/>
              <w:tabs>
                <w:tab w:val="left" w:pos="709"/>
                <w:tab w:val="left" w:pos="5670"/>
              </w:tabs>
              <w:ind w:left="0"/>
              <w:contextualSpacing w:val="0"/>
              <w:rPr>
                <w:sz w:val="23"/>
                <w:szCs w:val="23"/>
              </w:rPr>
            </w:pPr>
            <w:r w:rsidRPr="0059729F">
              <w:rPr>
                <w:sz w:val="23"/>
                <w:szCs w:val="23"/>
              </w:rPr>
              <w:t>Đối với chi nhánh ngân hàng nước ngoài như SMBC, quy mô số lượng khách hàng bao gồm cả khách hàng cấp tín dụng là rất nhỏ so với các ngân hàng thương mại, do chính sách của chi nhánh ngân hàng nước ngoài tập trung phục vụ khối khách hàng doanh nghiệp lớn và định chế tài chính, không có mảng khách hàng cá nhân.</w:t>
            </w:r>
          </w:p>
        </w:tc>
        <w:tc>
          <w:tcPr>
            <w:tcW w:w="4252" w:type="dxa"/>
            <w:vMerge/>
            <w:vAlign w:val="center"/>
          </w:tcPr>
          <w:p w14:paraId="113D3DCA" w14:textId="77777777" w:rsidR="00755E60" w:rsidRPr="0002360B" w:rsidRDefault="00755E60" w:rsidP="00B268EC">
            <w:pPr>
              <w:widowControl w:val="0"/>
              <w:tabs>
                <w:tab w:val="left" w:pos="5670"/>
              </w:tabs>
              <w:spacing w:before="0" w:after="0"/>
              <w:rPr>
                <w:b/>
                <w:szCs w:val="24"/>
                <w:lang w:val="pt-BR"/>
              </w:rPr>
            </w:pPr>
          </w:p>
        </w:tc>
      </w:tr>
      <w:tr w:rsidR="0002360B" w:rsidRPr="0002360B" w14:paraId="71571537" w14:textId="77777777" w:rsidTr="00776E98">
        <w:trPr>
          <w:cantSplit/>
        </w:trPr>
        <w:tc>
          <w:tcPr>
            <w:tcW w:w="3828" w:type="dxa"/>
            <w:vMerge/>
          </w:tcPr>
          <w:p w14:paraId="1D4D3FDF"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37981113" w14:textId="77777777" w:rsidR="00755E60" w:rsidRPr="0002360B" w:rsidRDefault="00755E60" w:rsidP="00B268EC">
            <w:pPr>
              <w:widowControl w:val="0"/>
              <w:tabs>
                <w:tab w:val="left" w:pos="5670"/>
              </w:tabs>
              <w:spacing w:before="0" w:after="0"/>
              <w:ind w:left="34" w:right="-110" w:hanging="1"/>
              <w:jc w:val="left"/>
              <w:rPr>
                <w:szCs w:val="24"/>
                <w:lang w:val="pt-BR"/>
              </w:rPr>
            </w:pPr>
          </w:p>
        </w:tc>
        <w:tc>
          <w:tcPr>
            <w:tcW w:w="5358" w:type="dxa"/>
            <w:vAlign w:val="center"/>
          </w:tcPr>
          <w:p w14:paraId="5FD3CF2E" w14:textId="77777777" w:rsidR="00755E60" w:rsidRPr="0059729F" w:rsidRDefault="00755E60" w:rsidP="00B268EC">
            <w:pPr>
              <w:pStyle w:val="ListParagraph"/>
              <w:widowControl w:val="0"/>
              <w:tabs>
                <w:tab w:val="left" w:pos="709"/>
                <w:tab w:val="left" w:pos="5670"/>
              </w:tabs>
              <w:ind w:left="0"/>
              <w:contextualSpacing w:val="0"/>
              <w:rPr>
                <w:iCs/>
                <w:sz w:val="23"/>
                <w:szCs w:val="23"/>
              </w:rPr>
            </w:pPr>
            <w:r w:rsidRPr="0059729F">
              <w:rPr>
                <w:sz w:val="23"/>
                <w:szCs w:val="23"/>
              </w:rPr>
              <w:t>Do vậy, việc sử dụng tiêu chí mới là 100 khách hàng lớn nhất sẽ không phản ánh được mức độ tập trung rủi ro của chính chi nhánh ngân hàng, vì mức 100 khách hàng có thể là toàn bộ quy mô khách hàng được cấp tín dụng của chi nhánh ngân hàng nước ngoài. Con số này có thể phù hợp hơn với các ngân hàng thương mại với quy mô tổng số khách hàng lên tới hàng chục nghìn.</w:t>
            </w:r>
            <w:r w:rsidRPr="0059729F">
              <w:rPr>
                <w:sz w:val="23"/>
                <w:szCs w:val="23"/>
              </w:rPr>
              <w:br/>
              <w:t>Kính đề nghị NHNN xem xét tiếp tục áp dụng tỷ lệ khách hàng có dự nợ tín dụng từ 5% vốn tự có của chi nhánh ngân hàng nước ngoài để áp dụng cho Nhóm các chi nhánh ngân hàng nước ngoài.</w:t>
            </w:r>
          </w:p>
        </w:tc>
        <w:tc>
          <w:tcPr>
            <w:tcW w:w="4252" w:type="dxa"/>
            <w:vMerge/>
          </w:tcPr>
          <w:p w14:paraId="5BC00A46" w14:textId="77777777" w:rsidR="00755E60" w:rsidRPr="0002360B" w:rsidRDefault="00755E60" w:rsidP="00B268EC">
            <w:pPr>
              <w:widowControl w:val="0"/>
              <w:tabs>
                <w:tab w:val="left" w:pos="5670"/>
              </w:tabs>
              <w:spacing w:before="0" w:after="0"/>
              <w:rPr>
                <w:b/>
                <w:szCs w:val="24"/>
                <w:lang w:val="pt-BR"/>
              </w:rPr>
            </w:pPr>
          </w:p>
        </w:tc>
      </w:tr>
      <w:tr w:rsidR="0002360B" w:rsidRPr="0002360B" w14:paraId="760EDFFE" w14:textId="77777777" w:rsidTr="00776E98">
        <w:trPr>
          <w:cantSplit/>
          <w:trHeight w:val="6508"/>
        </w:trPr>
        <w:tc>
          <w:tcPr>
            <w:tcW w:w="3828" w:type="dxa"/>
            <w:vMerge/>
          </w:tcPr>
          <w:p w14:paraId="34D5CD80"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09397E58" w14:textId="77777777" w:rsidR="00755E60" w:rsidRPr="0002360B" w:rsidRDefault="00755E60" w:rsidP="00B268EC">
            <w:pPr>
              <w:widowControl w:val="0"/>
              <w:tabs>
                <w:tab w:val="left" w:pos="5670"/>
              </w:tabs>
              <w:spacing w:before="0" w:after="0"/>
              <w:ind w:left="34" w:right="-110" w:hanging="1"/>
              <w:jc w:val="left"/>
              <w:rPr>
                <w:szCs w:val="24"/>
                <w:lang w:val="pt-BR"/>
              </w:rPr>
            </w:pPr>
            <w:r w:rsidRPr="0059729F">
              <w:rPr>
                <w:szCs w:val="24"/>
              </w:rPr>
              <w:t>NH Hợp tác xã</w:t>
            </w:r>
          </w:p>
        </w:tc>
        <w:tc>
          <w:tcPr>
            <w:tcW w:w="5358" w:type="dxa"/>
            <w:vAlign w:val="center"/>
          </w:tcPr>
          <w:p w14:paraId="7DB0BD72" w14:textId="77777777" w:rsidR="00755E60" w:rsidRPr="0059729F" w:rsidRDefault="00755E60" w:rsidP="00B268EC">
            <w:pPr>
              <w:pStyle w:val="ListParagraph"/>
              <w:widowControl w:val="0"/>
              <w:tabs>
                <w:tab w:val="left" w:pos="709"/>
                <w:tab w:val="left" w:pos="5670"/>
              </w:tabs>
              <w:ind w:left="0"/>
              <w:contextualSpacing w:val="0"/>
              <w:rPr>
                <w:sz w:val="23"/>
                <w:szCs w:val="23"/>
              </w:rPr>
            </w:pPr>
            <w:r w:rsidRPr="0059729F">
              <w:rPr>
                <w:sz w:val="23"/>
                <w:szCs w:val="23"/>
              </w:rPr>
              <w:t>Sửa đổi, bổ sung điểm d) khoản 2 Điều 1, như sau:</w:t>
            </w:r>
          </w:p>
          <w:p w14:paraId="0060C98F" w14:textId="77777777" w:rsidR="00755E60" w:rsidRPr="0059729F" w:rsidRDefault="00755E60" w:rsidP="00B268EC">
            <w:pPr>
              <w:pStyle w:val="ListParagraph"/>
              <w:widowControl w:val="0"/>
              <w:tabs>
                <w:tab w:val="left" w:pos="709"/>
                <w:tab w:val="left" w:pos="5670"/>
              </w:tabs>
              <w:ind w:left="0"/>
              <w:contextualSpacing w:val="0"/>
              <w:rPr>
                <w:sz w:val="23"/>
                <w:szCs w:val="23"/>
              </w:rPr>
            </w:pPr>
            <w:r w:rsidRPr="0059729F">
              <w:rPr>
                <w:sz w:val="23"/>
                <w:szCs w:val="23"/>
              </w:rPr>
              <w:t>“d) Sửa đổi, bổ sung khoản 5 Điều 3 như sau:</w:t>
            </w:r>
            <w:r w:rsidRPr="0059729F">
              <w:rPr>
                <w:sz w:val="23"/>
                <w:szCs w:val="23"/>
              </w:rPr>
              <w:br/>
              <w:t>5….. Riêng đối với ngân hàng hợp tác xã, 100 khách hàng có dư nợ tín dụng lớn nhất bao gồm cả quỹ tín dụng nhân dân thành viên., tổng dư nợ cấp tín dụng bao gồm cả dư nợ cho vay quỹ tín dụng nhân dân thành viên. Trường hợp tổ chức tín dụng, chi nhánh ngân hàng nước ngoài có ít hơn 100 khách hàng (không bao gồm tổ chức tín dụng, chi nhánh ngân hàng nước ngoài), thì Tỷ lệ dư nợ cấp tín dụng đối với 100 khách hàng lớn nhất so với dư nợ cấp tín dụng đối với tổ chức kinh tế, cá nhân có giá trị bằng 100%.”</w:t>
            </w:r>
          </w:p>
          <w:p w14:paraId="1C213244" w14:textId="77777777" w:rsidR="00755E60" w:rsidRPr="0059729F" w:rsidRDefault="00755E60" w:rsidP="00B268EC">
            <w:pPr>
              <w:pStyle w:val="ListParagraph"/>
              <w:widowControl w:val="0"/>
              <w:tabs>
                <w:tab w:val="left" w:pos="709"/>
                <w:tab w:val="left" w:pos="5670"/>
              </w:tabs>
              <w:ind w:left="0"/>
              <w:contextualSpacing w:val="0"/>
              <w:rPr>
                <w:iCs/>
                <w:sz w:val="23"/>
                <w:szCs w:val="23"/>
              </w:rPr>
            </w:pPr>
            <w:r w:rsidRPr="0059729F">
              <w:rPr>
                <w:sz w:val="23"/>
                <w:szCs w:val="23"/>
              </w:rPr>
              <w:t>Lý do: NHHTX đề nghị bổ sung dư nợ cấp tín dụng đối với tổ chức kinh tế, cá nhân bao gồm cả dư nợ cấp tín dụng cho QTDND thành viên để phù hợp với quy định 100 khách hàng lớn nhất của NHHTX bao gồm cả QTDND thành viên. Nếu không được tính cả dư nợ đối với QTDND thành viên trong dư nợ đối với tổ chức kinh tế, cá nhân sẽ không phản ánh đúng thực chất tỷ lệ này tại NHHTX và ảnh hưởng đến việc tính điểm chỉ tiêu này trong kết quả xếp loại.</w:t>
            </w:r>
          </w:p>
        </w:tc>
        <w:tc>
          <w:tcPr>
            <w:tcW w:w="4252" w:type="dxa"/>
            <w:vAlign w:val="center"/>
          </w:tcPr>
          <w:p w14:paraId="409220D6" w14:textId="77777777" w:rsidR="00755E60" w:rsidRPr="0059729F" w:rsidRDefault="00755E60" w:rsidP="00B268EC">
            <w:pPr>
              <w:widowControl w:val="0"/>
              <w:tabs>
                <w:tab w:val="left" w:pos="5670"/>
              </w:tabs>
              <w:spacing w:before="0" w:after="0"/>
              <w:rPr>
                <w:b/>
                <w:bCs/>
                <w:szCs w:val="24"/>
              </w:rPr>
            </w:pPr>
            <w:r w:rsidRPr="0059729F">
              <w:rPr>
                <w:b/>
                <w:bCs/>
                <w:szCs w:val="24"/>
              </w:rPr>
              <w:t>Tiếp thu một phần</w:t>
            </w:r>
          </w:p>
          <w:p w14:paraId="41029A91" w14:textId="77777777" w:rsidR="00E870EA" w:rsidRPr="0059729F" w:rsidRDefault="00755E60" w:rsidP="00B268EC">
            <w:pPr>
              <w:widowControl w:val="0"/>
              <w:tabs>
                <w:tab w:val="left" w:pos="5670"/>
              </w:tabs>
              <w:spacing w:before="0" w:after="0"/>
              <w:rPr>
                <w:szCs w:val="24"/>
              </w:rPr>
            </w:pPr>
            <w:r w:rsidRPr="0059729F">
              <w:rPr>
                <w:szCs w:val="24"/>
              </w:rPr>
              <w:t>Sau khi rà soát, để đảm bảo tính thống nhất, nội dung chỉ tiêu áp dụng đối với NHHTX được chỉnh sửa tương tự như các TCTD, chi nhánh ngân hàng nước ngoài, cụ thể:</w:t>
            </w:r>
          </w:p>
          <w:p w14:paraId="1BF08AF0" w14:textId="450599ED" w:rsidR="00755E60" w:rsidRPr="0002360B" w:rsidRDefault="00755E60" w:rsidP="00B268EC">
            <w:pPr>
              <w:widowControl w:val="0"/>
              <w:tabs>
                <w:tab w:val="left" w:pos="5670"/>
              </w:tabs>
              <w:spacing w:before="0" w:after="0"/>
              <w:rPr>
                <w:b/>
                <w:szCs w:val="24"/>
                <w:lang w:val="pt-BR"/>
              </w:rPr>
            </w:pPr>
            <w:r w:rsidRPr="0059729F">
              <w:rPr>
                <w:i/>
                <w:szCs w:val="24"/>
              </w:rPr>
              <w:t>“5. Tỷ lệ dư nợ tín dụng đối với 100 khách hàng lớn nhất so với dư nợ tín dụng đối với tổ chức kinh tế, cá nhân được xác định bằng tổng dư nợ tín dụng đối với 100 khách hàng (không bao gồm tổ chức tín dụng, chi nhánh ngân hàng nước ngoài) có dư nợ tín dụng lớn nhất so với dư nợ tín dụng đối với tổ chức kinh tế, cá nhân (không bao gồm tổ chức tín dụng, chi nhánh ngân hàng nước ngoài). Trường hợp tổ chức tín dụng, chi nhánh ngân hàng nước ngoài có ít hơn 100 khách hàng (không bao gồm tổ chức tín dụng, chi nhánh ngân hàng nước ngoài), thì Tỷ lệ dư nợ tín dụng đối với 100 khách hàng lớn nhất so với dư nợ tín dụng đối với tổ chức kinh tế, cá nhân có giá trị bằng 100%.”</w:t>
            </w:r>
          </w:p>
        </w:tc>
      </w:tr>
      <w:tr w:rsidR="0002360B" w:rsidRPr="0002360B" w14:paraId="61AA4E25" w14:textId="77777777" w:rsidTr="00776E98">
        <w:trPr>
          <w:cantSplit/>
          <w:trHeight w:val="2297"/>
        </w:trPr>
        <w:tc>
          <w:tcPr>
            <w:tcW w:w="3828" w:type="dxa"/>
            <w:vMerge w:val="restart"/>
          </w:tcPr>
          <w:p w14:paraId="33B40611" w14:textId="77777777" w:rsidR="00755E60" w:rsidRPr="0002360B" w:rsidRDefault="00755E60" w:rsidP="00B268EC">
            <w:pPr>
              <w:widowControl w:val="0"/>
              <w:tabs>
                <w:tab w:val="left" w:pos="5670"/>
              </w:tabs>
              <w:spacing w:before="0" w:after="0"/>
              <w:ind w:right="33" w:hanging="1"/>
              <w:rPr>
                <w:b/>
                <w:szCs w:val="24"/>
                <w:lang w:val="pt-BR"/>
              </w:rPr>
            </w:pPr>
            <w:r w:rsidRPr="0059729F">
              <w:rPr>
                <w:b/>
                <w:szCs w:val="24"/>
                <w:lang w:val="pt-BR"/>
              </w:rPr>
              <w:lastRenderedPageBreak/>
              <w:t>Khoản 11 Điều 3 Thông tư 52 (chưa có nội dung sửa đổi tại DTTT)</w:t>
            </w:r>
          </w:p>
          <w:p w14:paraId="1C597825" w14:textId="77777777" w:rsidR="00755E60" w:rsidRPr="0002360B" w:rsidRDefault="00755E60" w:rsidP="00B268EC">
            <w:pPr>
              <w:widowControl w:val="0"/>
              <w:tabs>
                <w:tab w:val="left" w:pos="5670"/>
              </w:tabs>
              <w:spacing w:before="0" w:after="0"/>
              <w:ind w:right="33" w:hanging="1"/>
              <w:rPr>
                <w:szCs w:val="24"/>
              </w:rPr>
            </w:pPr>
            <w:r w:rsidRPr="0059729F">
              <w:rPr>
                <w:szCs w:val="24"/>
                <w:lang w:val="pt-BR"/>
              </w:rPr>
              <w:t>“</w:t>
            </w:r>
            <w:r w:rsidRPr="0059729F">
              <w:rPr>
                <w:szCs w:val="24"/>
              </w:rPr>
              <w:t>11. </w:t>
            </w:r>
            <w:r w:rsidRPr="0059729F">
              <w:rPr>
                <w:i/>
                <w:iCs/>
                <w:szCs w:val="24"/>
              </w:rPr>
              <w:t>Số ngày lãi phải thu</w:t>
            </w:r>
            <w:r w:rsidRPr="0059729F">
              <w:rPr>
                <w:szCs w:val="24"/>
              </w:rPr>
              <w:t xml:space="preserve"> là chỉ tiêu đánh giá hiệu quả hoạt động của tổ chức tín dụng, chi nhánh ngân hàng nước ngoài. Chỉ tiêu này phản ánh số ngày cần thiết để thu các khoản lãi phải thu đã ghi nhận vào thu nhập của tổ chức tín dụng, chi nhánh ngân </w:t>
            </w:r>
            <w:r w:rsidRPr="0059729F">
              <w:rPr>
                <w:szCs w:val="24"/>
              </w:rPr>
              <w:lastRenderedPageBreak/>
              <w:t>hàng nước ngoài. Chỉ tiêu này được xác định như sau:…</w:t>
            </w:r>
          </w:p>
          <w:p w14:paraId="2F62DF3C" w14:textId="77777777" w:rsidR="00755E60" w:rsidRPr="0002360B" w:rsidRDefault="00755E60" w:rsidP="00B268EC">
            <w:pPr>
              <w:widowControl w:val="0"/>
              <w:tabs>
                <w:tab w:val="left" w:pos="5670"/>
              </w:tabs>
              <w:spacing w:before="0" w:after="0"/>
              <w:ind w:right="33" w:hanging="1"/>
              <w:rPr>
                <w:szCs w:val="24"/>
              </w:rPr>
            </w:pPr>
            <w:r w:rsidRPr="0059729F">
              <w:rPr>
                <w:szCs w:val="24"/>
              </w:rPr>
              <w:t>Trong đó:</w:t>
            </w:r>
          </w:p>
          <w:p w14:paraId="7F1AD8AF" w14:textId="77777777" w:rsidR="00755E60" w:rsidRPr="0002360B" w:rsidRDefault="00755E60" w:rsidP="00B268EC">
            <w:pPr>
              <w:widowControl w:val="0"/>
              <w:tabs>
                <w:tab w:val="left" w:pos="5670"/>
              </w:tabs>
              <w:spacing w:before="0" w:after="0"/>
              <w:ind w:right="33" w:hanging="1"/>
              <w:rPr>
                <w:szCs w:val="24"/>
              </w:rPr>
            </w:pPr>
            <w:r w:rsidRPr="0059729F">
              <w:rPr>
                <w:szCs w:val="24"/>
              </w:rPr>
              <w:t>- Lãi và phí phải thu là khoản mục Lãi và phí phải thu phản ánh trên Báo cáo tình hình tài chính theo quy định của pháp luật về chế độ báo cáo tài chính đối với các tổ chức tín dụng, chi nhánh ngân hàng nước ngoài.</w:t>
            </w:r>
          </w:p>
          <w:p w14:paraId="43F7B440" w14:textId="77777777" w:rsidR="00755E60" w:rsidRPr="0002360B" w:rsidRDefault="00755E60" w:rsidP="00B268EC">
            <w:pPr>
              <w:widowControl w:val="0"/>
              <w:tabs>
                <w:tab w:val="left" w:pos="5670"/>
              </w:tabs>
              <w:spacing w:before="0" w:after="0"/>
              <w:ind w:right="33" w:hanging="1"/>
              <w:rPr>
                <w:szCs w:val="24"/>
              </w:rPr>
            </w:pPr>
            <w:r w:rsidRPr="0059729F">
              <w:rPr>
                <w:szCs w:val="24"/>
              </w:rPr>
              <w:t>- Thu nhập từ lãi và các khoản tương tự là Thu nhập từ lãi và các khoản tương tự phản ánh trên Báo cáo kết quả hoạt động theo quy định của pháp luật về chế độ báo cáo tài chính đối với các tổ chức tín dụng, chi nhánh ngân hàng nước ngoài.</w:t>
            </w:r>
          </w:p>
          <w:p w14:paraId="10CACCB3" w14:textId="77777777" w:rsidR="00755E60" w:rsidRPr="0002360B" w:rsidRDefault="00755E60" w:rsidP="00B268EC">
            <w:pPr>
              <w:widowControl w:val="0"/>
              <w:tabs>
                <w:tab w:val="left" w:pos="5670"/>
              </w:tabs>
              <w:spacing w:before="0" w:after="0"/>
              <w:ind w:right="33" w:hanging="1"/>
              <w:rPr>
                <w:b/>
                <w:szCs w:val="24"/>
                <w:lang w:val="pt-BR"/>
              </w:rPr>
            </w:pPr>
            <w:r w:rsidRPr="0059729F">
              <w:rPr>
                <w:szCs w:val="24"/>
              </w:rPr>
              <w:t xml:space="preserve">- n nhận các giá trị lần lượt như sau: n = 4 nếu ước tính số ngày lãi phải thu của năm xếp hạng dựa trên số liệu của Quý, n = 2 nếu ước tính số ngày lãi phải thu của năm xếp hạng dựa trên số liệu 6 tháng, n = 4/3 nếu ước tính số ngày lãi phải thu của năm xếp hạng dựa trên số liệu 9 tháng, n = 1 nếu xác định số ngày lãi phải thu của năm xếp hạng dựa trên </w:t>
            </w:r>
            <w:r w:rsidRPr="0059729F">
              <w:rPr>
                <w:szCs w:val="24"/>
              </w:rPr>
              <w:lastRenderedPageBreak/>
              <w:t>số liệu năm.”</w:t>
            </w:r>
          </w:p>
        </w:tc>
        <w:tc>
          <w:tcPr>
            <w:tcW w:w="1730" w:type="dxa"/>
            <w:vAlign w:val="center"/>
          </w:tcPr>
          <w:p w14:paraId="4F1BB383" w14:textId="77777777" w:rsidR="00755E60" w:rsidRPr="0002360B" w:rsidRDefault="00755E60" w:rsidP="00B268EC">
            <w:pPr>
              <w:widowControl w:val="0"/>
              <w:tabs>
                <w:tab w:val="left" w:pos="5670"/>
              </w:tabs>
              <w:spacing w:before="0" w:after="0"/>
              <w:ind w:left="34" w:right="-110" w:hanging="1"/>
              <w:jc w:val="left"/>
              <w:rPr>
                <w:szCs w:val="24"/>
              </w:rPr>
            </w:pPr>
            <w:r w:rsidRPr="0059729F">
              <w:rPr>
                <w:szCs w:val="24"/>
              </w:rPr>
              <w:lastRenderedPageBreak/>
              <w:t>NHTMCP Hàng Hải</w:t>
            </w:r>
          </w:p>
        </w:tc>
        <w:tc>
          <w:tcPr>
            <w:tcW w:w="5358" w:type="dxa"/>
            <w:vAlign w:val="center"/>
          </w:tcPr>
          <w:p w14:paraId="74C2832D"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rPr>
              <w:t>Đề nghị Đơn vị soạn thảo cân nhắc xem xét bổ sung nội dung sửa đổi liên quan đến cách tính chỉ tiêu “Số ngày lãi phải thu” tại Khoản 11 Điều 3 Thông tư số 52/2018/TT-NHNN: phần tử số “Lãi và phí phải thu” giảm trừ số dư tài khoản “396 - Lãi phải thu từ các công cụ tài chính phái sinh” và tài khoản “397 - Phí phải thu” để tương quan với phần mẫu số “Thu nhập từ lãi và các thu nhập tương tự” không bao gồm thu nhập từ các công cụ tài chính phái sinh và thu nhập từ phí.</w:t>
            </w:r>
          </w:p>
        </w:tc>
        <w:tc>
          <w:tcPr>
            <w:tcW w:w="4252" w:type="dxa"/>
            <w:vMerge w:val="restart"/>
            <w:vAlign w:val="center"/>
          </w:tcPr>
          <w:p w14:paraId="652F4656" w14:textId="77777777" w:rsidR="00755E60" w:rsidRPr="0002360B" w:rsidRDefault="00755E60" w:rsidP="00B268EC">
            <w:pPr>
              <w:widowControl w:val="0"/>
              <w:tabs>
                <w:tab w:val="left" w:pos="5670"/>
              </w:tabs>
              <w:spacing w:before="0" w:after="0"/>
              <w:rPr>
                <w:szCs w:val="24"/>
              </w:rPr>
            </w:pPr>
            <w:r w:rsidRPr="0059729F">
              <w:rPr>
                <w:szCs w:val="24"/>
              </w:rPr>
              <w:t>Việc sử dụng khoản mục “Lãi và phí phải thu” và “Thu nhập từ lãi và các khoản tương tự” trên BCTC đã được kiểm toán nhằm sử dụng nguồn thông tin, dữ liệu tin cậy hơn (số liệu đã được kiểm toán), thống nhất với thông tin, dữ liệu sử dụng để xây dựng ngưỡng tính điểm, đồng thời tạo thuận lợi, thống nhất cho các đơn vị trong quá trình thực hiện xếp hạng.</w:t>
            </w:r>
          </w:p>
        </w:tc>
      </w:tr>
      <w:tr w:rsidR="0002360B" w:rsidRPr="0002360B" w14:paraId="7D8AAE03" w14:textId="77777777" w:rsidTr="00776E98">
        <w:trPr>
          <w:cantSplit/>
          <w:trHeight w:val="7083"/>
        </w:trPr>
        <w:tc>
          <w:tcPr>
            <w:tcW w:w="3828" w:type="dxa"/>
            <w:vMerge/>
          </w:tcPr>
          <w:p w14:paraId="5D84D9C6" w14:textId="77777777" w:rsidR="00755E60" w:rsidRPr="0059729F" w:rsidRDefault="00755E60" w:rsidP="00B268EC">
            <w:pPr>
              <w:widowControl w:val="0"/>
              <w:tabs>
                <w:tab w:val="left" w:pos="5670"/>
              </w:tabs>
              <w:spacing w:before="0" w:after="0"/>
              <w:ind w:right="33" w:hanging="1"/>
              <w:rPr>
                <w:b/>
                <w:szCs w:val="24"/>
                <w:lang w:val="pt-BR"/>
              </w:rPr>
            </w:pPr>
          </w:p>
        </w:tc>
        <w:tc>
          <w:tcPr>
            <w:tcW w:w="1730" w:type="dxa"/>
            <w:vAlign w:val="center"/>
          </w:tcPr>
          <w:p w14:paraId="4CA37631" w14:textId="77777777" w:rsidR="00755E60" w:rsidRPr="0002360B" w:rsidRDefault="00755E60" w:rsidP="00B268EC">
            <w:pPr>
              <w:widowControl w:val="0"/>
              <w:tabs>
                <w:tab w:val="left" w:pos="5670"/>
              </w:tabs>
              <w:spacing w:before="0" w:after="0"/>
              <w:ind w:left="34" w:right="-110" w:hanging="1"/>
              <w:jc w:val="left"/>
              <w:rPr>
                <w:szCs w:val="24"/>
              </w:rPr>
            </w:pPr>
            <w:r w:rsidRPr="0059729F">
              <w:rPr>
                <w:szCs w:val="24"/>
              </w:rPr>
              <w:t>NHTMCP Kỹ Thương</w:t>
            </w:r>
          </w:p>
        </w:tc>
        <w:tc>
          <w:tcPr>
            <w:tcW w:w="5358" w:type="dxa"/>
            <w:vAlign w:val="center"/>
          </w:tcPr>
          <w:p w14:paraId="35FA19E8"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rPr>
              <w:t>Khoản 11 Điều 3 Thông tư 52 quy định cách tính Số ngày lãi phải thu. Trong đó:</w:t>
            </w:r>
          </w:p>
          <w:p w14:paraId="56C0A688"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rPr>
              <w:t>- Lãi và phí phải thu là khoản mục Lãi và phí phải thu phản ánh trên Bảng cân đối kế toán theo quy định của pháp luật về chế độ báo cáo tài chính đối với các tổ chức tín dụng, chi nhánh ngân hàng nước ngoài. Theo đó, căn cứ quy định tại Quyết định 479, Quyết định 16 thì Lãi và phí phải thu bao gồm số dư tài khoản 391 (Lãi phải thu từ tiền gửi), 392 (Lãi phải thu từ đầu tư chứng khoán), 394 (Lãi phải thu từ hoạt động tín dụng) và 396 (Lãi phải thu từ các công cụ tài chính phái sinh).</w:t>
            </w:r>
          </w:p>
          <w:p w14:paraId="37C193A9"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rPr>
              <w:t>- Thu nhập từ lãi và các khoản tương tự là thu nhập từ lãi và các khoản tương tự phản ánh trên Báo cáo kết quả kinh doanh theo quy định của pháp luật về chế độ báo cáo tài chính đối với các tổ chức tín dụng, chi nhánh ngân hàng nước ngoài. Theo đó, căn cứ quy định tại Quyết định 479, Quyết định 16 thì Thu nhập lãi và các khoản tương tự bao gồm số dư các tài khoản 701 (Thu lãi tiền gửi); 702 (Thu lãi cho vay); 703 (Thu lãi đầu tư chứng khoán); 705 (Thu lãi cho thuê tài chính) và 709 (Thu lãi khác).</w:t>
            </w:r>
          </w:p>
          <w:p w14:paraId="184A9596"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rPr>
              <w:t xml:space="preserve">Như vậy, phần Lãi phải thu từ công cụ tài chính phái sinh chỉ được ghi nhận ở tử số mà không được ghi nhận tại mẫu số. Do đó, Techcombank đề xuất sửa công thức tính chỉ tiêu Số ngày lãi phải thu như sau: Tử số = Lãi và phí phải thu – </w:t>
            </w:r>
            <w:r w:rsidRPr="0059729F">
              <w:rPr>
                <w:i/>
                <w:iCs/>
                <w:sz w:val="24"/>
              </w:rPr>
              <w:t>Số dư tài khoản 396</w:t>
            </w:r>
          </w:p>
        </w:tc>
        <w:tc>
          <w:tcPr>
            <w:tcW w:w="4252" w:type="dxa"/>
            <w:vMerge/>
            <w:vAlign w:val="center"/>
          </w:tcPr>
          <w:p w14:paraId="00595125" w14:textId="77777777" w:rsidR="00755E60" w:rsidRPr="0059729F" w:rsidRDefault="00755E60" w:rsidP="00B268EC">
            <w:pPr>
              <w:widowControl w:val="0"/>
              <w:tabs>
                <w:tab w:val="left" w:pos="5670"/>
              </w:tabs>
              <w:spacing w:before="0" w:after="0"/>
              <w:rPr>
                <w:szCs w:val="24"/>
              </w:rPr>
            </w:pPr>
          </w:p>
        </w:tc>
      </w:tr>
      <w:tr w:rsidR="0002360B" w:rsidRPr="0002360B" w14:paraId="7D04AD79" w14:textId="77777777" w:rsidTr="00776E98">
        <w:trPr>
          <w:cantSplit/>
          <w:trHeight w:val="7083"/>
        </w:trPr>
        <w:tc>
          <w:tcPr>
            <w:tcW w:w="3828" w:type="dxa"/>
            <w:vMerge/>
          </w:tcPr>
          <w:p w14:paraId="4C42A46C" w14:textId="77777777" w:rsidR="00755E60" w:rsidRPr="0059729F" w:rsidRDefault="00755E60" w:rsidP="00B268EC">
            <w:pPr>
              <w:widowControl w:val="0"/>
              <w:tabs>
                <w:tab w:val="left" w:pos="5670"/>
              </w:tabs>
              <w:spacing w:before="0" w:after="0"/>
              <w:ind w:right="33" w:hanging="1"/>
              <w:rPr>
                <w:b/>
                <w:szCs w:val="24"/>
                <w:lang w:val="pt-BR"/>
              </w:rPr>
            </w:pPr>
          </w:p>
        </w:tc>
        <w:tc>
          <w:tcPr>
            <w:tcW w:w="1730" w:type="dxa"/>
            <w:vAlign w:val="center"/>
          </w:tcPr>
          <w:p w14:paraId="33AAAAB6" w14:textId="77777777" w:rsidR="00755E60" w:rsidRPr="0002360B" w:rsidRDefault="00755E60" w:rsidP="00B268EC">
            <w:pPr>
              <w:widowControl w:val="0"/>
              <w:tabs>
                <w:tab w:val="left" w:pos="5670"/>
              </w:tabs>
              <w:spacing w:before="0" w:after="0"/>
              <w:ind w:left="34" w:right="-110" w:hanging="1"/>
              <w:jc w:val="left"/>
              <w:rPr>
                <w:szCs w:val="24"/>
              </w:rPr>
            </w:pPr>
            <w:r w:rsidRPr="0059729F">
              <w:rPr>
                <w:szCs w:val="24"/>
              </w:rPr>
              <w:t>SUMITOMO  HN (SMBC HN)</w:t>
            </w:r>
          </w:p>
        </w:tc>
        <w:tc>
          <w:tcPr>
            <w:tcW w:w="5358" w:type="dxa"/>
            <w:vAlign w:val="center"/>
          </w:tcPr>
          <w:p w14:paraId="3563DC0A"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rPr>
              <w:t>Mẫu số B02/TCTD (Bảng cân đối kế toán), Mẫu số B03/TCTD (Báo cáo kết quả hoạt động kinh doanh), Thông tư 49/2014/TT-NHNN</w:t>
            </w:r>
          </w:p>
          <w:p w14:paraId="52FD2FE4"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rPr>
              <w:t>Mục XII. 2: “Các khoản lãi, phí phải thu”:</w:t>
            </w:r>
          </w:p>
          <w:p w14:paraId="562329E0"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rPr>
              <w:t xml:space="preserve">Khoản mục I.1: “Thu nhập lãi và các khoản thu nhập tương tự”: </w:t>
            </w:r>
          </w:p>
          <w:p w14:paraId="1E0A4D5F" w14:textId="77777777" w:rsidR="00755E60" w:rsidRPr="0059729F" w:rsidRDefault="00755E60" w:rsidP="0059729F">
            <w:pPr>
              <w:pStyle w:val="ListParagraph"/>
              <w:widowControl w:val="0"/>
              <w:ind w:left="0"/>
              <w:contextualSpacing w:val="0"/>
              <w:rPr>
                <w:sz w:val="24"/>
              </w:rPr>
            </w:pPr>
            <w:r w:rsidRPr="0059729F">
              <w:rPr>
                <w:sz w:val="24"/>
              </w:rPr>
              <w:t>Khoản mục III:  “Lãi/lỗ thuần từ hoạt động kinh doanh ngoại hối”: Chênh lệch thu chi giữa số dư tài khoản: 72, 82, 742, 748, 749, 79.</w:t>
            </w:r>
          </w:p>
          <w:p w14:paraId="0C46E492"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rPr>
              <w:t>Công thức xác định chỉ tiêu “Số ngày lãi phải thu” hiện tồn tại một số điểm chưa nhất quán, rõ ràng như sau:</w:t>
            </w:r>
          </w:p>
          <w:p w14:paraId="16BB6B37"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rPr>
              <w:t>• Trong khi tử số (Lãi và phí phải thu) theo qui định của pháp luật về chế độ báo cáo tài chính đối với các tổ chức tín dụng, chi nhánh ngân hàng nước ngoài bao gồm dư nợ tài khoản 396 - Lãi phải thu từ các công cụ tài chính phái sinh (phái sinh tiền tệ &amp; phái sinh khác) thì mẫu số (Thu nhập từ lãi và các khoản tương tự) lại không bao gồm thu nhập từ công cụ phái sinh tiền tệ (thuộc chỉ tiêu “Lãi/lỗ thuần từ hoạt động kinh doanh ngoại hối”) và thu nhập từ công cụ tài chính phái sinh khác (thuộc chỉ tiêu “Thu nhập từ hoạt động khác”).</w:t>
            </w:r>
          </w:p>
          <w:p w14:paraId="2F0CDCF8" w14:textId="77777777" w:rsidR="00755E60" w:rsidRPr="0059729F" w:rsidRDefault="00755E60" w:rsidP="00F063F5">
            <w:pPr>
              <w:pStyle w:val="ListParagraph"/>
              <w:widowControl w:val="0"/>
              <w:tabs>
                <w:tab w:val="left" w:pos="5670"/>
              </w:tabs>
              <w:ind w:left="0"/>
              <w:contextualSpacing w:val="0"/>
              <w:rPr>
                <w:sz w:val="24"/>
              </w:rPr>
            </w:pPr>
            <w:r w:rsidRPr="0059729F">
              <w:rPr>
                <w:sz w:val="24"/>
              </w:rPr>
              <w:t>• Nếu chỉ đơn thuần tính toán dựa theo công thức qui định tại thông tư và số liệu từ các khoản mục phản ánh trên báo cáo tài chính, chỉ tiêu “số ngày lãi phải thu” sẽ phản ánh không chính xác do sự không nhất quán giữa cấu phần tử số và mẫu số (đặc biệt đối với các tổ chức tín dụng, chi nhánh ngân hàng nước ngoài có phát sinh khối lượng giao dịch phái sinh lớn).</w:t>
            </w:r>
          </w:p>
        </w:tc>
        <w:tc>
          <w:tcPr>
            <w:tcW w:w="4252" w:type="dxa"/>
            <w:vMerge/>
            <w:vAlign w:val="center"/>
          </w:tcPr>
          <w:p w14:paraId="1B85F495" w14:textId="77777777" w:rsidR="00755E60" w:rsidRPr="0059729F" w:rsidRDefault="00755E60" w:rsidP="00B268EC">
            <w:pPr>
              <w:widowControl w:val="0"/>
              <w:tabs>
                <w:tab w:val="left" w:pos="5670"/>
              </w:tabs>
              <w:spacing w:before="0" w:after="0"/>
              <w:rPr>
                <w:szCs w:val="24"/>
              </w:rPr>
            </w:pPr>
          </w:p>
        </w:tc>
      </w:tr>
      <w:tr w:rsidR="0002360B" w:rsidRPr="0002360B" w14:paraId="3A626419" w14:textId="77777777" w:rsidTr="00776E98">
        <w:trPr>
          <w:cantSplit/>
          <w:trHeight w:val="5516"/>
        </w:trPr>
        <w:tc>
          <w:tcPr>
            <w:tcW w:w="3828" w:type="dxa"/>
            <w:vMerge/>
          </w:tcPr>
          <w:p w14:paraId="378007C0" w14:textId="77777777" w:rsidR="00755E60" w:rsidRPr="0059729F" w:rsidRDefault="00755E60" w:rsidP="00B268EC">
            <w:pPr>
              <w:widowControl w:val="0"/>
              <w:tabs>
                <w:tab w:val="left" w:pos="5670"/>
              </w:tabs>
              <w:spacing w:before="0" w:after="0"/>
              <w:ind w:right="33" w:hanging="1"/>
              <w:rPr>
                <w:b/>
                <w:szCs w:val="24"/>
                <w:lang w:val="pt-BR"/>
              </w:rPr>
            </w:pPr>
          </w:p>
        </w:tc>
        <w:tc>
          <w:tcPr>
            <w:tcW w:w="1730" w:type="dxa"/>
            <w:vAlign w:val="center"/>
          </w:tcPr>
          <w:p w14:paraId="45B60FEA" w14:textId="77777777" w:rsidR="00755E60" w:rsidRPr="0002360B" w:rsidRDefault="00755E60" w:rsidP="00B268EC">
            <w:pPr>
              <w:widowControl w:val="0"/>
              <w:tabs>
                <w:tab w:val="left" w:pos="5670"/>
              </w:tabs>
              <w:spacing w:before="0" w:after="0"/>
              <w:ind w:left="34" w:right="-110" w:hanging="1"/>
              <w:jc w:val="left"/>
              <w:rPr>
                <w:szCs w:val="24"/>
              </w:rPr>
            </w:pPr>
          </w:p>
        </w:tc>
        <w:tc>
          <w:tcPr>
            <w:tcW w:w="5358" w:type="dxa"/>
            <w:vAlign w:val="center"/>
          </w:tcPr>
          <w:p w14:paraId="748D6290" w14:textId="77777777" w:rsidR="00755E60" w:rsidRPr="0059729F" w:rsidRDefault="00755E60" w:rsidP="00B268EC">
            <w:pPr>
              <w:pStyle w:val="ListParagraph"/>
              <w:widowControl w:val="0"/>
              <w:tabs>
                <w:tab w:val="left" w:pos="5670"/>
              </w:tabs>
              <w:ind w:left="0"/>
              <w:contextualSpacing w:val="0"/>
              <w:rPr>
                <w:spacing w:val="-2"/>
                <w:sz w:val="24"/>
              </w:rPr>
            </w:pPr>
            <w:r w:rsidRPr="0059729F">
              <w:rPr>
                <w:spacing w:val="-2"/>
                <w:sz w:val="24"/>
              </w:rPr>
              <w:t>• Nếu tổ chức tín dụng, chi nhánh ngân hàng nước ngoài tự loại trừ khoản mục “Lãi phải thu từ các công cụ tài chính phái sinh” ra khỏi tử số khi thực hiện tính toán thì chưa đảm bảo tính tuân thủ dựa trên các qui định hiện hành.</w:t>
            </w:r>
          </w:p>
          <w:p w14:paraId="6F0B375B" w14:textId="77777777" w:rsidR="00755E60" w:rsidRPr="0059729F" w:rsidRDefault="00755E60" w:rsidP="00B268EC">
            <w:pPr>
              <w:pStyle w:val="ListParagraph"/>
              <w:widowControl w:val="0"/>
              <w:tabs>
                <w:tab w:val="left" w:pos="5670"/>
              </w:tabs>
              <w:ind w:left="0"/>
              <w:contextualSpacing w:val="0"/>
              <w:rPr>
                <w:spacing w:val="-2"/>
                <w:sz w:val="24"/>
              </w:rPr>
            </w:pPr>
            <w:r w:rsidRPr="0059729F">
              <w:rPr>
                <w:spacing w:val="-2"/>
                <w:sz w:val="24"/>
              </w:rPr>
              <w:t>NHNN xem xét sửa đổi hướng dẫn (Điều 3, Giải thích từ ngữ, mục 11 - Số ngày lãi phải thu) theo hướng cụ thể đảm bảo tính nhất quán và phản ánh đúng bản chất của chỉ tiêu đánh giá hiệu quả hoạt động của tổ chức tín dụng, chi nhánh ngân hàng nước ngoài như sau:</w:t>
            </w:r>
          </w:p>
          <w:p w14:paraId="1C578071" w14:textId="77777777" w:rsidR="00755E60" w:rsidRPr="0059729F" w:rsidRDefault="00755E60" w:rsidP="00B268EC">
            <w:pPr>
              <w:pStyle w:val="ListParagraph"/>
              <w:widowControl w:val="0"/>
              <w:tabs>
                <w:tab w:val="left" w:pos="5670"/>
              </w:tabs>
              <w:ind w:left="0"/>
              <w:contextualSpacing w:val="0"/>
              <w:rPr>
                <w:spacing w:val="-2"/>
                <w:sz w:val="24"/>
              </w:rPr>
            </w:pPr>
            <w:r w:rsidRPr="0059729F">
              <w:rPr>
                <w:spacing w:val="-2"/>
                <w:sz w:val="24"/>
              </w:rPr>
              <w:t>“Lãi và phí phải thu là khoản mục Lãi và phí phải thu (không bao gồm lãi phải thu từ các công cụ tài chính phái sinh) phản ánh trên Báo cáo tình hình tài chính theo quy định của pháp luật về chế độ báo cáo tài chính đối với các TCTD, chi nhánh ngân hàng nước ngoài”.</w:t>
            </w:r>
          </w:p>
          <w:p w14:paraId="63E7358E" w14:textId="77777777" w:rsidR="00755E60" w:rsidRPr="0059729F" w:rsidRDefault="00755E60" w:rsidP="00B268EC">
            <w:pPr>
              <w:pStyle w:val="ListParagraph"/>
              <w:widowControl w:val="0"/>
              <w:tabs>
                <w:tab w:val="left" w:pos="5670"/>
              </w:tabs>
              <w:ind w:left="0"/>
              <w:contextualSpacing w:val="0"/>
              <w:rPr>
                <w:spacing w:val="-2"/>
                <w:sz w:val="24"/>
              </w:rPr>
            </w:pPr>
            <w:r w:rsidRPr="0059729F">
              <w:rPr>
                <w:spacing w:val="-2"/>
                <w:sz w:val="24"/>
              </w:rPr>
              <w:t>Hoặc: “Lãi và phí phải thu là khoản mục Lãi và phí phải thu tương ứng ghi nhận vào Thu nhập từ lãi và các khoản tương tự, phản ánh trên Báo cáo tình hình tài chính, Báo cáo kết quả hoạt động theo quy định của pháp luật về chế độ báo cáo tài chính đối với các tổ chức tín dụng, chi nhánh ngân hàng nước ngoài”.</w:t>
            </w:r>
          </w:p>
        </w:tc>
        <w:tc>
          <w:tcPr>
            <w:tcW w:w="4252" w:type="dxa"/>
            <w:vMerge w:val="restart"/>
            <w:vAlign w:val="center"/>
          </w:tcPr>
          <w:p w14:paraId="37FE85DE" w14:textId="77777777" w:rsidR="00755E60" w:rsidRPr="0059729F" w:rsidRDefault="00755E60" w:rsidP="00B268EC">
            <w:pPr>
              <w:widowControl w:val="0"/>
              <w:tabs>
                <w:tab w:val="left" w:pos="5670"/>
              </w:tabs>
              <w:spacing w:before="0" w:after="0"/>
              <w:rPr>
                <w:szCs w:val="24"/>
              </w:rPr>
            </w:pPr>
          </w:p>
        </w:tc>
      </w:tr>
      <w:tr w:rsidR="0002360B" w:rsidRPr="0002360B" w14:paraId="29E487B6" w14:textId="77777777" w:rsidTr="00776E98">
        <w:trPr>
          <w:cantSplit/>
          <w:trHeight w:val="2297"/>
        </w:trPr>
        <w:tc>
          <w:tcPr>
            <w:tcW w:w="3828" w:type="dxa"/>
            <w:vMerge/>
          </w:tcPr>
          <w:p w14:paraId="6BA6F3BD" w14:textId="77777777" w:rsidR="00755E60" w:rsidRPr="0059729F" w:rsidRDefault="00755E60" w:rsidP="00B268EC">
            <w:pPr>
              <w:widowControl w:val="0"/>
              <w:tabs>
                <w:tab w:val="left" w:pos="5670"/>
              </w:tabs>
              <w:spacing w:before="0" w:after="0"/>
              <w:ind w:right="33" w:hanging="1"/>
              <w:rPr>
                <w:b/>
                <w:szCs w:val="24"/>
                <w:lang w:val="pt-BR"/>
              </w:rPr>
            </w:pPr>
          </w:p>
        </w:tc>
        <w:tc>
          <w:tcPr>
            <w:tcW w:w="1730" w:type="dxa"/>
            <w:vAlign w:val="center"/>
          </w:tcPr>
          <w:p w14:paraId="7EE17FA2" w14:textId="77777777" w:rsidR="00755E60" w:rsidRPr="0002360B" w:rsidRDefault="00755E60" w:rsidP="00B268EC">
            <w:pPr>
              <w:widowControl w:val="0"/>
              <w:tabs>
                <w:tab w:val="left" w:pos="5670"/>
              </w:tabs>
              <w:spacing w:before="0" w:after="0"/>
              <w:ind w:left="34" w:right="-110" w:hanging="1"/>
              <w:jc w:val="left"/>
              <w:rPr>
                <w:szCs w:val="24"/>
              </w:rPr>
            </w:pPr>
            <w:r w:rsidRPr="0059729F">
              <w:rPr>
                <w:szCs w:val="24"/>
              </w:rPr>
              <w:t>JP MORGAN HCM</w:t>
            </w:r>
          </w:p>
        </w:tc>
        <w:tc>
          <w:tcPr>
            <w:tcW w:w="5358" w:type="dxa"/>
            <w:vAlign w:val="center"/>
          </w:tcPr>
          <w:p w14:paraId="2BEA724C" w14:textId="02EEEA53" w:rsidR="00755E60" w:rsidRPr="0059729F" w:rsidRDefault="00755E60">
            <w:pPr>
              <w:pStyle w:val="ListParagraph"/>
              <w:widowControl w:val="0"/>
              <w:tabs>
                <w:tab w:val="left" w:pos="5670"/>
              </w:tabs>
              <w:ind w:left="0"/>
              <w:contextualSpacing w:val="0"/>
              <w:rPr>
                <w:sz w:val="24"/>
              </w:rPr>
            </w:pPr>
            <w:r w:rsidRPr="0059729F">
              <w:rPr>
                <w:sz w:val="24"/>
              </w:rPr>
              <w:t>Chỉ tiêu này có tử số là “lãi và phí phải thu” trong khi mẫu số là “thu nhập từ lãi và tương tự” tạo ra sự không cân xứng trong thành phần của tử số và mẫu số, dẫn đến số điểm tính toán theo công thức không thể hiện mục đích chỉ tiêu là tính “số ngày lãi phải thu”.</w:t>
            </w:r>
            <w:r w:rsidRPr="0059729F">
              <w:rPr>
                <w:sz w:val="24"/>
              </w:rPr>
              <w:br/>
              <w:t>Đề xuất của chi nhánh: Tử số của chỉ tiêu chỉ bao gồm “lãi và các khoản tương tự phải thu</w:t>
            </w:r>
            <w:r w:rsidR="00F063F5" w:rsidRPr="0002360B">
              <w:rPr>
                <w:sz w:val="24"/>
              </w:rPr>
              <w:t>”</w:t>
            </w:r>
            <w:r w:rsidRPr="0059729F">
              <w:rPr>
                <w:sz w:val="24"/>
              </w:rPr>
              <w:t>, không bao gồm “phí phải thu” để kết quả phản ánh đúng bản chất của chỉ tiêu là tính toán số ngày lãi phải thu”.</w:t>
            </w:r>
          </w:p>
        </w:tc>
        <w:tc>
          <w:tcPr>
            <w:tcW w:w="4252" w:type="dxa"/>
            <w:vMerge/>
            <w:vAlign w:val="center"/>
          </w:tcPr>
          <w:p w14:paraId="5C2F9E9B" w14:textId="77777777" w:rsidR="00755E60" w:rsidRPr="0059729F" w:rsidRDefault="00755E60" w:rsidP="00B268EC">
            <w:pPr>
              <w:widowControl w:val="0"/>
              <w:tabs>
                <w:tab w:val="left" w:pos="5670"/>
              </w:tabs>
              <w:spacing w:before="0" w:after="0"/>
              <w:rPr>
                <w:szCs w:val="24"/>
              </w:rPr>
            </w:pPr>
          </w:p>
        </w:tc>
      </w:tr>
      <w:tr w:rsidR="0002360B" w:rsidRPr="0002360B" w14:paraId="58B01FBB" w14:textId="77777777" w:rsidTr="00776E98">
        <w:trPr>
          <w:cantSplit/>
          <w:trHeight w:val="3856"/>
        </w:trPr>
        <w:tc>
          <w:tcPr>
            <w:tcW w:w="3828" w:type="dxa"/>
          </w:tcPr>
          <w:p w14:paraId="3F371E12" w14:textId="77777777" w:rsidR="00755E60" w:rsidRPr="0002360B" w:rsidRDefault="00755E60" w:rsidP="00B268EC">
            <w:pPr>
              <w:widowControl w:val="0"/>
              <w:tabs>
                <w:tab w:val="left" w:pos="5670"/>
              </w:tabs>
              <w:spacing w:before="0" w:after="0"/>
              <w:ind w:right="33" w:hanging="1"/>
              <w:rPr>
                <w:b/>
                <w:szCs w:val="24"/>
                <w:lang w:val="pt-BR"/>
              </w:rPr>
            </w:pPr>
            <w:r w:rsidRPr="0059729F">
              <w:rPr>
                <w:b/>
                <w:szCs w:val="24"/>
                <w:lang w:val="pt-BR"/>
              </w:rPr>
              <w:lastRenderedPageBreak/>
              <w:t>Khoản 12 Điều 3 Thông tư 52 (chưa có nội dung sửa đổi tại DTTT)</w:t>
            </w:r>
          </w:p>
          <w:p w14:paraId="408960EC" w14:textId="77777777" w:rsidR="00755E60" w:rsidRPr="0002360B" w:rsidRDefault="00755E60" w:rsidP="00B268EC">
            <w:pPr>
              <w:widowControl w:val="0"/>
              <w:tabs>
                <w:tab w:val="left" w:pos="5670"/>
              </w:tabs>
              <w:spacing w:before="0" w:after="0"/>
              <w:ind w:right="33" w:hanging="1"/>
              <w:rPr>
                <w:b/>
                <w:szCs w:val="24"/>
                <w:lang w:val="pt-BR"/>
              </w:rPr>
            </w:pPr>
            <w:r w:rsidRPr="0059729F">
              <w:rPr>
                <w:szCs w:val="24"/>
                <w:lang w:val="pt-BR"/>
              </w:rPr>
              <w:t>“</w:t>
            </w:r>
            <w:r w:rsidRPr="0059729F">
              <w:rPr>
                <w:szCs w:val="24"/>
              </w:rPr>
              <w:t>12. </w:t>
            </w:r>
            <w:r w:rsidRPr="0059729F">
              <w:rPr>
                <w:i/>
                <w:iCs/>
                <w:szCs w:val="24"/>
              </w:rPr>
              <w:t>Tài sản có tính thanh khoản cao bình quân</w:t>
            </w:r>
            <w:r w:rsidRPr="0059729F">
              <w:rPr>
                <w:szCs w:val="24"/>
              </w:rPr>
              <w:t> là tài sản có tính thanh khoản cao được xác định theo quy định của pháp luật về tỷ lệ đảm bảo an toàn trong hoạt động của tổ chức tín dụng, chi nhánh ngân hàng nước ngoài (tỷ lệ khả năng chi trả), được tính bình quân các ngày làm việc cuối cùng của các quý trong năm.”</w:t>
            </w:r>
          </w:p>
        </w:tc>
        <w:tc>
          <w:tcPr>
            <w:tcW w:w="1730" w:type="dxa"/>
            <w:vAlign w:val="center"/>
          </w:tcPr>
          <w:p w14:paraId="7158030A" w14:textId="77777777" w:rsidR="00755E60" w:rsidRPr="0059729F" w:rsidRDefault="00755E60" w:rsidP="00B268EC">
            <w:pPr>
              <w:widowControl w:val="0"/>
              <w:tabs>
                <w:tab w:val="left" w:pos="5670"/>
              </w:tabs>
              <w:spacing w:before="0" w:after="0"/>
              <w:ind w:left="34" w:right="34" w:hanging="1"/>
              <w:jc w:val="left"/>
              <w:rPr>
                <w:szCs w:val="24"/>
              </w:rPr>
            </w:pPr>
            <w:r w:rsidRPr="0059729F">
              <w:rPr>
                <w:szCs w:val="24"/>
              </w:rPr>
              <w:t>NHTMCP Hàng Hải</w:t>
            </w:r>
          </w:p>
        </w:tc>
        <w:tc>
          <w:tcPr>
            <w:tcW w:w="5358" w:type="dxa"/>
            <w:vAlign w:val="center"/>
          </w:tcPr>
          <w:p w14:paraId="58799782"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Tại Điểm a Khoản 1 Điều 12 Thông tư số 52/2018/TT-NHNN, đề nghị Cơ quan soạn thảo cân nhắc xem xét sửa đổi “Tỷ lệ tài sản có tính thanh khoản cao bình quân so với tổng tài sản bình quân” thành “Tỷ lệ tài sản có tính thanh khoản cao bình quân so với tổng nợ phải trả bình quân” phù hợp với tỷ lệ dự trữ thanh khoản theo Thông tư số 22/2019/TTNHNN về Các tỷ lệ an toàn hoạt động.</w:t>
            </w:r>
          </w:p>
          <w:p w14:paraId="4BB64040"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Quy định như trên sẽ đồng nhất tỷ lệ đánh giá trạng thái rủi ro thanh khoản với quy định chuyên ngành về quản lý rủi ro thanh khoản của Ngân hàng Nhà nước. Mối tương quan giữa Tài sản thanh khoản với Nợ phải trả sẽ có ý nghĩa hơn là so với Tổng tài sản vì Tổng tài sản = Nợ phải trả + Vốn chủ sở hữu. Trong khi Vốn chủ sở hữu là Nguồn vốn ổn định, bền vững nên việc gia tăng Tổng tài sản trên cơ sở chỉ gia tăng Vốn chủ sở hữu để đầu tư cho Hoạt động kinh doanh sẽ vô tình làm giảm tỷ lệ tài sản thanh khoản cao/Tổng tài sản và gián tiếp phản ánh trạng thái rủi ro thanh khoản của ngân hàng giảm đi là chưa hợp lý.</w:t>
            </w:r>
          </w:p>
        </w:tc>
        <w:tc>
          <w:tcPr>
            <w:tcW w:w="4252" w:type="dxa"/>
            <w:vAlign w:val="center"/>
          </w:tcPr>
          <w:p w14:paraId="29CBB1EA" w14:textId="77777777" w:rsidR="00755E60" w:rsidRPr="0059729F" w:rsidRDefault="00755E60" w:rsidP="00B268EC">
            <w:pPr>
              <w:widowControl w:val="0"/>
              <w:tabs>
                <w:tab w:val="left" w:pos="5670"/>
              </w:tabs>
              <w:spacing w:before="0" w:after="0"/>
              <w:rPr>
                <w:b/>
                <w:bCs/>
                <w:szCs w:val="24"/>
              </w:rPr>
            </w:pPr>
            <w:r w:rsidRPr="0059729F">
              <w:rPr>
                <w:b/>
                <w:bCs/>
                <w:szCs w:val="24"/>
              </w:rPr>
              <w:t>Chưa tiếp thu</w:t>
            </w:r>
          </w:p>
          <w:p w14:paraId="06752F9C" w14:textId="77777777" w:rsidR="00755E60" w:rsidRPr="0059729F" w:rsidRDefault="00755E60" w:rsidP="00B268EC">
            <w:pPr>
              <w:widowControl w:val="0"/>
              <w:tabs>
                <w:tab w:val="left" w:pos="5670"/>
              </w:tabs>
              <w:spacing w:before="0" w:after="0"/>
              <w:rPr>
                <w:szCs w:val="24"/>
              </w:rPr>
            </w:pPr>
            <w:r w:rsidRPr="0059729F">
              <w:rPr>
                <w:szCs w:val="24"/>
              </w:rPr>
              <w:t>Theo quy định tại Thông tư 13/2018/TT-NHNN ngày 18/5/2019 quy định về hệ thống kiểm soát nội bộ của NHTM, CNNHNNg (đã được sửa đổi, bổ sung): việc quản lý rủi ro thanh khoản nhằm đảm bảo duy trì đủ tài sản có tính thanh khoản cao để đáp ứng nhu cầu thanh khoản trong trong điều kiện ngân hàng thương mại, chi nhánh ngân hàng nước ngoài hoạt động bình thường và có diễn biến bất lợi về thanh khoản. Việc sử dụng mẫu số là “tổng tài sản bình quân” có tính bao quát hơn so với “tổng nợ phải trả bình quân".</w:t>
            </w:r>
          </w:p>
        </w:tc>
      </w:tr>
      <w:tr w:rsidR="0002360B" w:rsidRPr="0002360B" w14:paraId="60FEBC10" w14:textId="77777777" w:rsidTr="00776E98">
        <w:trPr>
          <w:cantSplit/>
          <w:trHeight w:val="4128"/>
        </w:trPr>
        <w:tc>
          <w:tcPr>
            <w:tcW w:w="3828" w:type="dxa"/>
          </w:tcPr>
          <w:p w14:paraId="77BE1B47" w14:textId="77777777" w:rsidR="00755E60" w:rsidRPr="0002360B" w:rsidRDefault="00755E60" w:rsidP="00B268EC">
            <w:pPr>
              <w:widowControl w:val="0"/>
              <w:tabs>
                <w:tab w:val="left" w:pos="5670"/>
              </w:tabs>
              <w:spacing w:before="0" w:after="0"/>
              <w:ind w:right="33" w:hanging="1"/>
              <w:rPr>
                <w:b/>
                <w:szCs w:val="24"/>
                <w:lang w:val="pt-BR"/>
              </w:rPr>
            </w:pPr>
            <w:r w:rsidRPr="0059729F">
              <w:rPr>
                <w:b/>
                <w:szCs w:val="24"/>
                <w:lang w:val="pt-BR"/>
              </w:rPr>
              <w:lastRenderedPageBreak/>
              <w:t>Khoản 13 Điều 3 Thông tư 52 (chưa có nội dung sửa đổi tại DTTT)</w:t>
            </w:r>
          </w:p>
          <w:p w14:paraId="53296489" w14:textId="77777777" w:rsidR="00755E60" w:rsidRPr="0002360B" w:rsidRDefault="00755E60" w:rsidP="00B268EC">
            <w:pPr>
              <w:widowControl w:val="0"/>
              <w:tabs>
                <w:tab w:val="left" w:pos="5670"/>
              </w:tabs>
              <w:spacing w:before="0" w:after="0"/>
              <w:ind w:right="33" w:hanging="1"/>
              <w:rPr>
                <w:b/>
                <w:szCs w:val="24"/>
                <w:lang w:val="pt-BR"/>
              </w:rPr>
            </w:pPr>
            <w:r w:rsidRPr="0059729F">
              <w:rPr>
                <w:szCs w:val="24"/>
                <w:lang w:val="pt-BR"/>
              </w:rPr>
              <w:t>“</w:t>
            </w:r>
            <w:r w:rsidRPr="0059729F">
              <w:rPr>
                <w:szCs w:val="24"/>
              </w:rPr>
              <w:t>13. </w:t>
            </w:r>
            <w:r w:rsidRPr="0059729F">
              <w:rPr>
                <w:i/>
                <w:iCs/>
                <w:szCs w:val="24"/>
              </w:rPr>
              <w:t>Khách hàng có số dư tiền gửi lớn </w:t>
            </w:r>
            <w:r w:rsidRPr="0059729F">
              <w:rPr>
                <w:szCs w:val="24"/>
              </w:rPr>
              <w:t>là 10 khách hàng (không bao gồm tổ chức tín dụng, chi nhánh ngân hàng nước ngoài) có số dư tiền gửi lớn nhất tại tổ chức tín dụng, chi nhánh ngân hàng nước ngoài.”</w:t>
            </w:r>
          </w:p>
        </w:tc>
        <w:tc>
          <w:tcPr>
            <w:tcW w:w="1730" w:type="dxa"/>
            <w:vAlign w:val="center"/>
          </w:tcPr>
          <w:p w14:paraId="7602AB6A" w14:textId="77777777" w:rsidR="00755E60" w:rsidRPr="0002360B" w:rsidRDefault="00755E60" w:rsidP="00B268EC">
            <w:pPr>
              <w:widowControl w:val="0"/>
              <w:tabs>
                <w:tab w:val="left" w:pos="5670"/>
              </w:tabs>
              <w:spacing w:before="0" w:after="0"/>
              <w:ind w:left="34" w:right="-110" w:hanging="1"/>
              <w:jc w:val="left"/>
              <w:rPr>
                <w:szCs w:val="24"/>
              </w:rPr>
            </w:pPr>
            <w:r w:rsidRPr="0059729F">
              <w:rPr>
                <w:szCs w:val="24"/>
              </w:rPr>
              <w:t>NHTMCP Công Thương</w:t>
            </w:r>
          </w:p>
          <w:p w14:paraId="5F7704EE" w14:textId="77777777" w:rsidR="00755E60" w:rsidRPr="0002360B" w:rsidRDefault="00755E60" w:rsidP="00B268EC">
            <w:pPr>
              <w:widowControl w:val="0"/>
              <w:tabs>
                <w:tab w:val="left" w:pos="5670"/>
              </w:tabs>
              <w:spacing w:before="0" w:after="0"/>
              <w:ind w:left="34" w:right="-110" w:hanging="1"/>
              <w:jc w:val="left"/>
              <w:rPr>
                <w:szCs w:val="24"/>
              </w:rPr>
            </w:pPr>
          </w:p>
        </w:tc>
        <w:tc>
          <w:tcPr>
            <w:tcW w:w="5358" w:type="dxa"/>
            <w:vAlign w:val="center"/>
          </w:tcPr>
          <w:p w14:paraId="74050F60"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Hiện nay, với nội dung hiện tại của khoản 13 Điều 03 tại Thông tư 52, khách hàng có số dư tiền gửi lớn có thể hiểu bao gồm cả phần tiền gửi của Kho bạc Nhà nước, điều này không đồng nhất với số liệu báo cáo hàng tháng (biểu 126-TTGS: Báo cáo số dư tiền gửi của các khách hàng lớn nhất).</w:t>
            </w:r>
          </w:p>
          <w:p w14:paraId="012BCBD1" w14:textId="77777777" w:rsidR="00755E60" w:rsidRPr="0059729F" w:rsidRDefault="00755E60" w:rsidP="00F063F5">
            <w:pPr>
              <w:pStyle w:val="ListParagraph"/>
              <w:widowControl w:val="0"/>
              <w:tabs>
                <w:tab w:val="left" w:pos="5670"/>
              </w:tabs>
              <w:ind w:left="0"/>
              <w:contextualSpacing w:val="0"/>
              <w:rPr>
                <w:sz w:val="24"/>
              </w:rPr>
            </w:pPr>
            <w:r w:rsidRPr="0059729F">
              <w:rPr>
                <w:sz w:val="24"/>
              </w:rPr>
              <w:t>Do đó, VietinBank đề xuất NHNN chỉnh sửa và làm rõ khái niệm “khách hàng có số dư tiền gửi lớn” tại khoản 13 Điều 3 Thông tư 52 để phù hợp, đồng bộ với báo cáo số dư tiền gửi của các khách hàng lớn nhất (Biểu 126-TTGS) quy định tại Thông tư 11/2018/TT-NHNN như sau: “Khách hàng có số dư tiền gửi lớn là 10 khách hàng (không bao gồm tổ chức tín dụng, chi nhánh ngân hàng nước ngoài, không bao gồm tiền gửi của Kho bạc Nhà nước) có số dư tiền gửi lớn nhất tại tổ chức tín dụng, chi nhánh ngân hàng nước ngoài”.</w:t>
            </w:r>
          </w:p>
        </w:tc>
        <w:tc>
          <w:tcPr>
            <w:tcW w:w="4252" w:type="dxa"/>
            <w:vAlign w:val="center"/>
          </w:tcPr>
          <w:p w14:paraId="0836C0CF" w14:textId="77777777" w:rsidR="00755E60" w:rsidRPr="0002360B" w:rsidRDefault="00755E60" w:rsidP="00B268EC">
            <w:pPr>
              <w:widowControl w:val="0"/>
              <w:tabs>
                <w:tab w:val="left" w:pos="5670"/>
              </w:tabs>
              <w:spacing w:before="0" w:after="0"/>
              <w:rPr>
                <w:b/>
                <w:bCs/>
                <w:szCs w:val="24"/>
              </w:rPr>
            </w:pPr>
            <w:r w:rsidRPr="0059729F">
              <w:rPr>
                <w:b/>
                <w:bCs/>
                <w:szCs w:val="24"/>
              </w:rPr>
              <w:t xml:space="preserve">Tiếp thu và chỉnh sửa tại DTTT thành: </w:t>
            </w:r>
          </w:p>
          <w:p w14:paraId="378F7B4D" w14:textId="77777777" w:rsidR="00755E60" w:rsidRPr="0002360B" w:rsidRDefault="00755E60" w:rsidP="00B268EC">
            <w:pPr>
              <w:widowControl w:val="0"/>
              <w:tabs>
                <w:tab w:val="left" w:pos="5670"/>
              </w:tabs>
              <w:spacing w:before="0" w:after="0"/>
              <w:rPr>
                <w:szCs w:val="24"/>
              </w:rPr>
            </w:pPr>
            <w:r w:rsidRPr="0059729F">
              <w:rPr>
                <w:i/>
                <w:szCs w:val="24"/>
              </w:rPr>
              <w:t xml:space="preserve">“13. Khách hàng có số dư tiền gửi lớn là 10 khách hàng (không bao gồm tổ chức tín dụng, chi nhánh ngân hàng nước ngoài, </w:t>
            </w:r>
            <w:r w:rsidRPr="0059729F">
              <w:rPr>
                <w:i/>
                <w:szCs w:val="24"/>
                <w:u w:val="single"/>
              </w:rPr>
              <w:t>Kho bạc Nhà nước</w:t>
            </w:r>
            <w:r w:rsidRPr="0059729F">
              <w:rPr>
                <w:i/>
                <w:szCs w:val="24"/>
              </w:rPr>
              <w:t>) có số dư tiền gửi lớn nhất tại tổ chức tín dụng, chi nhánh ngân hàng nước ngoài”</w:t>
            </w:r>
            <w:r w:rsidRPr="0059729F">
              <w:rPr>
                <w:szCs w:val="24"/>
              </w:rPr>
              <w:t>.</w:t>
            </w:r>
          </w:p>
          <w:p w14:paraId="1679FD7F" w14:textId="77777777" w:rsidR="00755E60" w:rsidRPr="0002360B" w:rsidRDefault="00755E60" w:rsidP="00B268EC">
            <w:pPr>
              <w:widowControl w:val="0"/>
              <w:tabs>
                <w:tab w:val="left" w:pos="5670"/>
              </w:tabs>
              <w:spacing w:before="0" w:after="0"/>
              <w:rPr>
                <w:szCs w:val="24"/>
              </w:rPr>
            </w:pPr>
          </w:p>
        </w:tc>
      </w:tr>
      <w:tr w:rsidR="0002360B" w:rsidRPr="0002360B" w14:paraId="5D4E3BA0" w14:textId="77777777" w:rsidTr="00776E98">
        <w:trPr>
          <w:cantSplit/>
          <w:trHeight w:val="2297"/>
        </w:trPr>
        <w:tc>
          <w:tcPr>
            <w:tcW w:w="3828" w:type="dxa"/>
          </w:tcPr>
          <w:p w14:paraId="2781A43B" w14:textId="77777777" w:rsidR="00755E60" w:rsidRPr="0002360B" w:rsidRDefault="00755E60" w:rsidP="00B268EC">
            <w:pPr>
              <w:widowControl w:val="0"/>
              <w:tabs>
                <w:tab w:val="left" w:pos="5670"/>
              </w:tabs>
              <w:spacing w:before="0" w:after="0"/>
              <w:ind w:right="33" w:hanging="1"/>
              <w:rPr>
                <w:b/>
                <w:szCs w:val="24"/>
                <w:lang w:val="pt-BR"/>
              </w:rPr>
            </w:pPr>
            <w:r w:rsidRPr="0059729F">
              <w:rPr>
                <w:b/>
                <w:szCs w:val="24"/>
                <w:lang w:val="pt-BR"/>
              </w:rPr>
              <w:lastRenderedPageBreak/>
              <w:t>Khoản 14 Điều 3 Thông tư 52 (chưa có nội dung sửa đổi tại DTTT)</w:t>
            </w:r>
          </w:p>
          <w:p w14:paraId="33862CEC" w14:textId="77777777" w:rsidR="00755E60" w:rsidRPr="0002360B" w:rsidRDefault="00755E60" w:rsidP="00B268EC">
            <w:pPr>
              <w:widowControl w:val="0"/>
              <w:tabs>
                <w:tab w:val="left" w:pos="5670"/>
              </w:tabs>
              <w:spacing w:before="0" w:after="0"/>
              <w:ind w:right="33" w:hanging="1"/>
              <w:rPr>
                <w:szCs w:val="24"/>
              </w:rPr>
            </w:pPr>
            <w:r w:rsidRPr="0059729F">
              <w:rPr>
                <w:szCs w:val="24"/>
                <w:lang w:val="pt-BR"/>
              </w:rPr>
              <w:t>“</w:t>
            </w:r>
            <w:r w:rsidRPr="0059729F">
              <w:rPr>
                <w:szCs w:val="24"/>
              </w:rPr>
              <w:t>14. </w:t>
            </w:r>
            <w:r w:rsidRPr="0059729F">
              <w:rPr>
                <w:i/>
                <w:iCs/>
                <w:szCs w:val="24"/>
              </w:rPr>
              <w:t>Tỷ lệ tổng trạng thái ngoại tệ so với vốn tự có riêng lẻ bình quân</w:t>
            </w:r>
            <w:r w:rsidRPr="0059729F">
              <w:rPr>
                <w:szCs w:val="24"/>
              </w:rPr>
              <w:t> được xác định như sau:…</w:t>
            </w:r>
          </w:p>
          <w:p w14:paraId="3D762A22" w14:textId="77777777" w:rsidR="00755E60" w:rsidRPr="0002360B" w:rsidRDefault="00755E60" w:rsidP="00B268EC">
            <w:pPr>
              <w:widowControl w:val="0"/>
              <w:tabs>
                <w:tab w:val="left" w:pos="5670"/>
              </w:tabs>
              <w:spacing w:before="0" w:after="0"/>
              <w:ind w:right="33" w:hanging="1"/>
              <w:rPr>
                <w:szCs w:val="24"/>
              </w:rPr>
            </w:pPr>
            <w:r w:rsidRPr="0059729F">
              <w:rPr>
                <w:szCs w:val="24"/>
              </w:rPr>
              <w:t>Trong đó:</w:t>
            </w:r>
          </w:p>
          <w:p w14:paraId="793B305E" w14:textId="77777777" w:rsidR="00755E60" w:rsidRPr="0002360B" w:rsidRDefault="00755E60" w:rsidP="00B268EC">
            <w:pPr>
              <w:widowControl w:val="0"/>
              <w:tabs>
                <w:tab w:val="left" w:pos="5670"/>
              </w:tabs>
              <w:spacing w:before="0" w:after="0"/>
              <w:ind w:right="33" w:hanging="1"/>
              <w:rPr>
                <w:szCs w:val="24"/>
              </w:rPr>
            </w:pPr>
            <w:r w:rsidRPr="0059729F">
              <w:rPr>
                <w:szCs w:val="24"/>
              </w:rPr>
              <w:t>…- Tổng trạng thái ngoại tệ dương tháng k và tổng trạng thái ngoại tệ âm tháng k được xác định theo quy định pháp luật về trạng thái ngoại tệ của các tổ chức tín dụng, chi nhánh ngân hàng nước ngoài tại ngày làm việc cuối cùng của tháng k.</w:t>
            </w:r>
          </w:p>
          <w:p w14:paraId="6EBB7411" w14:textId="77777777" w:rsidR="00755E60" w:rsidRPr="0002360B" w:rsidRDefault="00755E60" w:rsidP="00B268EC">
            <w:pPr>
              <w:widowControl w:val="0"/>
              <w:tabs>
                <w:tab w:val="left" w:pos="5670"/>
              </w:tabs>
              <w:spacing w:before="0" w:after="0"/>
              <w:ind w:right="33" w:hanging="1"/>
              <w:rPr>
                <w:b/>
                <w:szCs w:val="24"/>
                <w:lang w:val="pt-BR"/>
              </w:rPr>
            </w:pPr>
            <w:r w:rsidRPr="0059729F">
              <w:rPr>
                <w:szCs w:val="24"/>
              </w:rPr>
              <w:t>- Vốn tự có riêng lẻ được xác định theo quy định của pháp luật về tỷ lệ đảm bảo an toàn trong hoạt động của tổ chức tín dụng, chi nhánh ngân hàng nước ngoài (tỷ lệ an toàn vốn riêng lẻ).”</w:t>
            </w:r>
          </w:p>
        </w:tc>
        <w:tc>
          <w:tcPr>
            <w:tcW w:w="1730" w:type="dxa"/>
            <w:vAlign w:val="center"/>
          </w:tcPr>
          <w:p w14:paraId="28609C00" w14:textId="564A54B2" w:rsidR="00755E60" w:rsidRPr="0002360B" w:rsidRDefault="00755E60" w:rsidP="00B268EC">
            <w:pPr>
              <w:widowControl w:val="0"/>
              <w:tabs>
                <w:tab w:val="left" w:pos="5670"/>
              </w:tabs>
              <w:spacing w:before="0" w:after="0"/>
              <w:ind w:left="34" w:right="-110" w:hanging="1"/>
              <w:jc w:val="left"/>
              <w:rPr>
                <w:szCs w:val="24"/>
              </w:rPr>
            </w:pPr>
            <w:r w:rsidRPr="0059729F">
              <w:rPr>
                <w:szCs w:val="24"/>
              </w:rPr>
              <w:t>NHTMCP Đầu Tư và PTVN</w:t>
            </w:r>
            <w:r w:rsidR="00ED5AAA">
              <w:rPr>
                <w:szCs w:val="24"/>
              </w:rPr>
              <w:t>, Hiệp hội ngân hàng Việt Nam</w:t>
            </w:r>
          </w:p>
        </w:tc>
        <w:tc>
          <w:tcPr>
            <w:tcW w:w="5358" w:type="dxa"/>
            <w:vAlign w:val="center"/>
          </w:tcPr>
          <w:p w14:paraId="1D4D6E2A" w14:textId="77777777" w:rsidR="00755E60" w:rsidRPr="0059729F" w:rsidRDefault="00755E60" w:rsidP="00470884">
            <w:pPr>
              <w:pStyle w:val="ListParagraph"/>
              <w:widowControl w:val="0"/>
              <w:tabs>
                <w:tab w:val="left" w:pos="5670"/>
              </w:tabs>
              <w:ind w:left="34" w:firstLine="22"/>
              <w:contextualSpacing w:val="0"/>
              <w:rPr>
                <w:sz w:val="24"/>
              </w:rPr>
            </w:pPr>
            <w:r w:rsidRPr="0059729F">
              <w:rPr>
                <w:sz w:val="24"/>
              </w:rPr>
              <w:t>Chỉ tiêu Tỷ lệ tổng trạng thái ngoại tệ so với vốn tự có riêng lẻ bình quân: Đề nghị bổ sung hướng dẫn rõ tỷ giá quy đổi để xác định Tổng trạng thái ngoại tệ do hiện nay, tỷ giá, giá vàng để quy đổi trạng thái sang VND không thống nhất giữa các văn bản quy định của NHNN (Thông tư số 07/2012/TT-NHNN ngày 20/03/2012 quy định về trạng thái ngoại tệ của các TCTD, chi nhánh ngân hàng nước ngoài; Dự thảo Thông tư quy định tỷ lệ an toàn vốn đối với NHTM, chi nhánh ngân hàng nước ngoài theo Công văn số 283/ATHT3 ngày 11/04/2025…).</w:t>
            </w:r>
          </w:p>
        </w:tc>
        <w:tc>
          <w:tcPr>
            <w:tcW w:w="4252" w:type="dxa"/>
            <w:vAlign w:val="center"/>
          </w:tcPr>
          <w:p w14:paraId="3E8803A5" w14:textId="77777777" w:rsidR="00755E60" w:rsidRPr="0002360B" w:rsidRDefault="00755E60" w:rsidP="00B268EC">
            <w:pPr>
              <w:widowControl w:val="0"/>
              <w:tabs>
                <w:tab w:val="left" w:pos="5670"/>
              </w:tabs>
              <w:spacing w:before="0" w:after="0"/>
              <w:rPr>
                <w:b/>
                <w:bCs/>
                <w:szCs w:val="24"/>
              </w:rPr>
            </w:pPr>
            <w:r w:rsidRPr="0059729F">
              <w:rPr>
                <w:b/>
                <w:bCs/>
                <w:szCs w:val="24"/>
              </w:rPr>
              <w:t>Bổ sung làm rõ thông tin:</w:t>
            </w:r>
          </w:p>
          <w:p w14:paraId="0300A83D" w14:textId="77777777" w:rsidR="00755E60" w:rsidRPr="0002360B" w:rsidRDefault="00755E60" w:rsidP="00B268EC">
            <w:pPr>
              <w:widowControl w:val="0"/>
              <w:tabs>
                <w:tab w:val="left" w:pos="5670"/>
              </w:tabs>
              <w:spacing w:before="0" w:after="0"/>
              <w:rPr>
                <w:szCs w:val="24"/>
              </w:rPr>
            </w:pPr>
            <w:r w:rsidRPr="0059729F">
              <w:rPr>
                <w:szCs w:val="24"/>
              </w:rPr>
              <w:t>- Tỷ lệ tổng trạng thái ngoại tệ so với vốn tự có riêng lẻ bình quân là tỷ lệ được tính trên cơ sở số liệu tỷ lệ Trạng thái ngoại tệ so với vốn tự có.</w:t>
            </w:r>
          </w:p>
          <w:p w14:paraId="4B42D0BA" w14:textId="77777777" w:rsidR="00755E60" w:rsidRPr="0002360B" w:rsidRDefault="00755E60" w:rsidP="00B268EC">
            <w:pPr>
              <w:widowControl w:val="0"/>
              <w:tabs>
                <w:tab w:val="left" w:pos="5670"/>
              </w:tabs>
              <w:spacing w:before="0" w:after="0"/>
              <w:rPr>
                <w:szCs w:val="24"/>
              </w:rPr>
            </w:pPr>
            <w:r w:rsidRPr="0059729F">
              <w:rPr>
                <w:szCs w:val="24"/>
              </w:rPr>
              <w:t>- Trạng thái ngoại tệ so với vốn tự có là một trong các tỷ lệ bảo đảm an toàn quy định tại Điều 138 Luật Các TCTD năm 2024 (đã được sửa đổi, bổ sung), hiện tại tỷ lệ này được thực hiện theo quy định tại Thông tư số 07/2012/TT-NHNN ngày 20/3/2012 (đã được sửa đổi, bổ sung).</w:t>
            </w:r>
          </w:p>
        </w:tc>
      </w:tr>
      <w:tr w:rsidR="0002360B" w:rsidRPr="0002360B" w14:paraId="1A3AE7EC" w14:textId="77777777" w:rsidTr="00776E98">
        <w:trPr>
          <w:cantSplit/>
          <w:trHeight w:val="1629"/>
        </w:trPr>
        <w:tc>
          <w:tcPr>
            <w:tcW w:w="3828" w:type="dxa"/>
            <w:vMerge w:val="restart"/>
          </w:tcPr>
          <w:p w14:paraId="1D52419E" w14:textId="77777777" w:rsidR="00755E60" w:rsidRPr="0002360B" w:rsidRDefault="00755E60" w:rsidP="00B268EC">
            <w:pPr>
              <w:widowControl w:val="0"/>
              <w:tabs>
                <w:tab w:val="left" w:pos="5670"/>
              </w:tabs>
              <w:spacing w:before="0" w:after="0"/>
              <w:ind w:right="33" w:hanging="1"/>
              <w:rPr>
                <w:b/>
                <w:szCs w:val="24"/>
                <w:lang w:val="pt-BR"/>
              </w:rPr>
            </w:pPr>
            <w:r w:rsidRPr="0059729F">
              <w:rPr>
                <w:b/>
                <w:szCs w:val="24"/>
                <w:lang w:val="pt-BR"/>
              </w:rPr>
              <w:lastRenderedPageBreak/>
              <w:t>Khoản 15 Điều 3 Thông tư 52 (chưa có nội dung sửa đổi tại DTTT)</w:t>
            </w:r>
          </w:p>
          <w:p w14:paraId="77AC11BA" w14:textId="77777777" w:rsidR="00755E60" w:rsidRPr="0002360B" w:rsidRDefault="00755E60" w:rsidP="00B268EC">
            <w:pPr>
              <w:widowControl w:val="0"/>
              <w:tabs>
                <w:tab w:val="left" w:pos="5670"/>
              </w:tabs>
              <w:spacing w:before="0" w:after="0"/>
              <w:ind w:right="33" w:hanging="1"/>
              <w:rPr>
                <w:szCs w:val="24"/>
              </w:rPr>
            </w:pPr>
            <w:r w:rsidRPr="0059729F">
              <w:rPr>
                <w:szCs w:val="24"/>
                <w:lang w:val="pt-BR"/>
              </w:rPr>
              <w:t>“</w:t>
            </w:r>
            <w:r w:rsidRPr="0059729F">
              <w:rPr>
                <w:szCs w:val="24"/>
              </w:rPr>
              <w:t>15.</w:t>
            </w:r>
            <w:r w:rsidRPr="0059729F">
              <w:rPr>
                <w:i/>
                <w:iCs/>
                <w:szCs w:val="24"/>
              </w:rPr>
              <w:t> Tỷ lệ chênh lệch giữa tài sản nhạy cảm lãi suất và nợ phải trả nhạy cảm lãi suất so với Vốn chủ sở hữu</w:t>
            </w:r>
            <w:r w:rsidRPr="0059729F">
              <w:rPr>
                <w:szCs w:val="24"/>
              </w:rPr>
              <w:t> được xác định như sau:…</w:t>
            </w:r>
          </w:p>
          <w:p w14:paraId="1F3109C7" w14:textId="77777777" w:rsidR="00755E60" w:rsidRPr="0002360B" w:rsidRDefault="00755E60" w:rsidP="00B268EC">
            <w:pPr>
              <w:widowControl w:val="0"/>
              <w:tabs>
                <w:tab w:val="left" w:pos="5670"/>
              </w:tabs>
              <w:spacing w:before="0" w:after="0"/>
              <w:ind w:right="33" w:hanging="1"/>
              <w:rPr>
                <w:szCs w:val="24"/>
              </w:rPr>
            </w:pPr>
            <w:r w:rsidRPr="0059729F">
              <w:rPr>
                <w:szCs w:val="24"/>
              </w:rPr>
              <w:t>Trong đó:</w:t>
            </w:r>
          </w:p>
          <w:p w14:paraId="3750DEDA" w14:textId="77777777" w:rsidR="00755E60" w:rsidRPr="0002360B" w:rsidRDefault="00755E60" w:rsidP="00B268EC">
            <w:pPr>
              <w:widowControl w:val="0"/>
              <w:tabs>
                <w:tab w:val="left" w:pos="5670"/>
              </w:tabs>
              <w:spacing w:before="0" w:after="0"/>
              <w:ind w:right="33" w:hanging="1"/>
              <w:rPr>
                <w:szCs w:val="24"/>
              </w:rPr>
            </w:pPr>
            <w:r w:rsidRPr="0059729F">
              <w:rPr>
                <w:szCs w:val="24"/>
              </w:rPr>
              <w:t>- Tài sản nhạy cảm lãi suất là Tổng tài sản nội bảng nhạy cảm với lãi suất (không bao gồm tài sản không chịu lãi) phản ánh trên Thuyết minh Báo cáo tài chính theo quy định của pháp luật về chế độ báo cáo tài chính đối với các tổ chức tín dụng, chi nhánh ngân hàng nước ngoài.</w:t>
            </w:r>
          </w:p>
          <w:p w14:paraId="34821694" w14:textId="77777777" w:rsidR="00755E60" w:rsidRPr="0002360B" w:rsidRDefault="00755E60" w:rsidP="00B268EC">
            <w:pPr>
              <w:widowControl w:val="0"/>
              <w:tabs>
                <w:tab w:val="left" w:pos="5670"/>
              </w:tabs>
              <w:spacing w:before="0" w:after="0"/>
              <w:ind w:right="33" w:hanging="1"/>
              <w:rPr>
                <w:szCs w:val="24"/>
              </w:rPr>
            </w:pPr>
            <w:r w:rsidRPr="0059729F">
              <w:rPr>
                <w:szCs w:val="24"/>
              </w:rPr>
              <w:lastRenderedPageBreak/>
              <w:t>- Nợ phải trả nhạy cảm lãi suất là Tổng nợ phải trả nội bảng cân đối kế toán nhạy cảm với lãi suất (không bao gồm nợ phải trả không chịu lãi) phản ánh trên Thuyết minh Báo cáo tài chính theo quy định của pháp luật về chế độ báo cáo tài chính đối với các tổ chức tín dụng, chi nhánh ngân hàng nước ngoài.</w:t>
            </w:r>
          </w:p>
          <w:p w14:paraId="7DA90D3E" w14:textId="77777777" w:rsidR="00755E60" w:rsidRPr="0002360B" w:rsidRDefault="00755E60" w:rsidP="00B268EC">
            <w:pPr>
              <w:widowControl w:val="0"/>
              <w:tabs>
                <w:tab w:val="left" w:pos="5670"/>
              </w:tabs>
              <w:spacing w:before="0" w:after="0"/>
              <w:ind w:right="33" w:hanging="1"/>
              <w:rPr>
                <w:b/>
                <w:szCs w:val="24"/>
                <w:lang w:val="pt-BR"/>
              </w:rPr>
            </w:pPr>
            <w:r w:rsidRPr="0059729F">
              <w:rPr>
                <w:szCs w:val="24"/>
              </w:rPr>
              <w:t>- Vốn chủ sở hữu khoản mục vốn chủ sở hữu phản ánh trên Báo cáo tình hình tài chính theo quy định của pháp luật về chế độ báo cáo tài chính đối với tổ chức tín dụng, chi nhánh ngân hàng nước ngoài.”</w:t>
            </w:r>
          </w:p>
        </w:tc>
        <w:tc>
          <w:tcPr>
            <w:tcW w:w="1730" w:type="dxa"/>
            <w:vAlign w:val="center"/>
          </w:tcPr>
          <w:p w14:paraId="596E0FCA" w14:textId="77777777" w:rsidR="00755E60" w:rsidRPr="0002360B" w:rsidRDefault="00755E60" w:rsidP="00B268EC">
            <w:pPr>
              <w:widowControl w:val="0"/>
              <w:tabs>
                <w:tab w:val="left" w:pos="5670"/>
              </w:tabs>
              <w:spacing w:before="0" w:after="0"/>
              <w:ind w:left="34" w:right="-110" w:hanging="1"/>
              <w:jc w:val="left"/>
              <w:rPr>
                <w:szCs w:val="24"/>
              </w:rPr>
            </w:pPr>
            <w:r w:rsidRPr="0059729F">
              <w:rPr>
                <w:szCs w:val="24"/>
              </w:rPr>
              <w:lastRenderedPageBreak/>
              <w:t>NHTMCP Đầu Tư và PTVN</w:t>
            </w:r>
          </w:p>
        </w:tc>
        <w:tc>
          <w:tcPr>
            <w:tcW w:w="5358" w:type="dxa"/>
            <w:vAlign w:val="center"/>
          </w:tcPr>
          <w:p w14:paraId="6E60936B"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Đề nghị NHNN xem xét chỉnh sửa chỉ tiêu đánh giá đối với rủi ro lãi suất (RRLS) theo hướng xem xét phù hợp với các chỉ tiêu đang được quy định tại Thông tư số 13/2018/TT-NHNN ngày 18/05/2018 quy định về hệ thống kiểm soát nội bộ của NHTM, chi nhánh ngân hàng nước ngoài. Chỉ tiêu hiện tại không phản ánh được mức độ RRLS của ngân hàng do: (i) Tỷ lệ được tính trên cơ sở thuyết minh RRLS, không có sự tách biệt giữa RRLS sổ kinh doanh (thuộc rủi ro thị trường) và RRLS sổ ngân hàng, trong khi hai rủi ro này có tính chất tác động khác nhau; (ii) Không xét đến kỳ hạn định giá lại lãi suất, yếu tố làm thay đổi lãi suất của khoản mục; (iii) Không xét đến loại tiền, trong khi RRLS cần phải được quản lý theo loại tiền do biến động lãi suất của từng loại tiền không giống nhau.</w:t>
            </w:r>
          </w:p>
        </w:tc>
        <w:tc>
          <w:tcPr>
            <w:tcW w:w="4252" w:type="dxa"/>
            <w:vAlign w:val="center"/>
          </w:tcPr>
          <w:p w14:paraId="0A046450" w14:textId="77777777" w:rsidR="00755E60" w:rsidRPr="0059729F" w:rsidRDefault="00755E60" w:rsidP="00B268EC">
            <w:pPr>
              <w:widowControl w:val="0"/>
              <w:tabs>
                <w:tab w:val="left" w:pos="5670"/>
              </w:tabs>
              <w:spacing w:before="0" w:after="0"/>
              <w:rPr>
                <w:b/>
                <w:bCs/>
                <w:szCs w:val="24"/>
              </w:rPr>
            </w:pPr>
            <w:r w:rsidRPr="0059729F">
              <w:rPr>
                <w:b/>
                <w:bCs/>
                <w:szCs w:val="24"/>
              </w:rPr>
              <w:t>Chưa tiếp thu</w:t>
            </w:r>
          </w:p>
          <w:p w14:paraId="65890F07" w14:textId="77777777" w:rsidR="00F063F5" w:rsidRPr="0059729F" w:rsidRDefault="00755E60" w:rsidP="00B268EC">
            <w:pPr>
              <w:widowControl w:val="0"/>
              <w:tabs>
                <w:tab w:val="left" w:pos="5670"/>
              </w:tabs>
              <w:spacing w:before="0" w:after="0"/>
              <w:rPr>
                <w:szCs w:val="24"/>
              </w:rPr>
            </w:pPr>
            <w:r w:rsidRPr="0059729F">
              <w:rPr>
                <w:szCs w:val="24"/>
              </w:rPr>
              <w:t>- Việc sử dụng chỉ tiêu Tỷ lệ chênh lệch tài sản nhạy cảm lãi suất và nợ phải trả nhạy cảm lãi suất so với vốn chủ sỡ hữu đảm bảo có nguồn thông tin, dữ liệu để đánh giá, tính toán chỉ tiêu định lượng khi xây dựng ngưỡng chấm điểm (trên cơ sở dữ liệu lịch sử) và thực hiện chấm điểm chỉ tiêu này.</w:t>
            </w:r>
          </w:p>
          <w:p w14:paraId="561261B3" w14:textId="22A021BC" w:rsidR="00755E60" w:rsidRPr="0002360B" w:rsidRDefault="00755E60" w:rsidP="00B268EC">
            <w:pPr>
              <w:widowControl w:val="0"/>
              <w:tabs>
                <w:tab w:val="left" w:pos="5670"/>
              </w:tabs>
              <w:spacing w:before="0" w:after="0"/>
              <w:rPr>
                <w:szCs w:val="24"/>
              </w:rPr>
            </w:pPr>
            <w:r w:rsidRPr="0059729F">
              <w:rPr>
                <w:szCs w:val="24"/>
              </w:rPr>
              <w:t>- NHNN sẽ rà soát, chỉnh sửa, bổ sung chỉ tiêu định lượng chấm điểm xếp hạng trên cơ sở định hướng quản lý nhà nước và có đủ thông tin, số liệu, dữ liệu lịch sử của các TCTD, chi nhánh ngân hàng nước ngoài.</w:t>
            </w:r>
          </w:p>
        </w:tc>
      </w:tr>
      <w:tr w:rsidR="0002360B" w:rsidRPr="0002360B" w14:paraId="4D3E936F" w14:textId="77777777" w:rsidTr="00F063F5">
        <w:trPr>
          <w:cantSplit/>
          <w:trHeight w:val="808"/>
        </w:trPr>
        <w:tc>
          <w:tcPr>
            <w:tcW w:w="3828" w:type="dxa"/>
            <w:vMerge/>
          </w:tcPr>
          <w:p w14:paraId="60DFFEAE"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0C3A5106" w14:textId="77777777" w:rsidR="00755E60" w:rsidRPr="0002360B" w:rsidRDefault="00755E60" w:rsidP="00B268EC">
            <w:pPr>
              <w:widowControl w:val="0"/>
              <w:tabs>
                <w:tab w:val="left" w:pos="5670"/>
              </w:tabs>
              <w:spacing w:before="0" w:after="0"/>
              <w:ind w:left="34" w:right="-110" w:hanging="1"/>
              <w:jc w:val="left"/>
              <w:rPr>
                <w:szCs w:val="24"/>
              </w:rPr>
            </w:pPr>
            <w:r w:rsidRPr="0059729F">
              <w:rPr>
                <w:szCs w:val="24"/>
              </w:rPr>
              <w:t>NHTMCP Hàng Hải</w:t>
            </w:r>
          </w:p>
        </w:tc>
        <w:tc>
          <w:tcPr>
            <w:tcW w:w="5358" w:type="dxa"/>
            <w:vAlign w:val="center"/>
          </w:tcPr>
          <w:p w14:paraId="344317AA" w14:textId="77777777" w:rsidR="00755E60" w:rsidRPr="00783EF9" w:rsidRDefault="00755E60" w:rsidP="00B268EC">
            <w:pPr>
              <w:pStyle w:val="ListParagraph"/>
              <w:widowControl w:val="0"/>
              <w:tabs>
                <w:tab w:val="left" w:pos="5670"/>
              </w:tabs>
              <w:ind w:left="0"/>
              <w:contextualSpacing w:val="0"/>
              <w:rPr>
                <w:szCs w:val="22"/>
              </w:rPr>
            </w:pPr>
            <w:r w:rsidRPr="00783EF9">
              <w:rPr>
                <w:szCs w:val="22"/>
              </w:rPr>
              <w:t xml:space="preserve">Đề nghị Cơ quan soạn thảo cân nhắc xem xét lại việc sử dụng chỉ tiêu “Tỷ lệ chênh lệch giữa tài sản nhạy cảm lãi suất và nợ phải trả nhạy cảm lãi suất so với Vốn chủ sở hữu” khi đánh giá rủi ro lãi suất sổ ngân hàng vì điều này không phù hợp trong chiến lược phát triển cơ cấu cân đối kế toán bền vững và hiệu quả… Cơ quan soạn thảo có thể cân nhắc thay thế bằng các chỉ số như: </w:t>
            </w:r>
          </w:p>
          <w:p w14:paraId="0CEFAF59" w14:textId="77777777" w:rsidR="00755E60" w:rsidRPr="00783EF9" w:rsidRDefault="00755E60" w:rsidP="00B268EC">
            <w:pPr>
              <w:pStyle w:val="ListParagraph"/>
              <w:widowControl w:val="0"/>
              <w:tabs>
                <w:tab w:val="left" w:pos="5670"/>
              </w:tabs>
              <w:ind w:left="0"/>
              <w:contextualSpacing w:val="0"/>
              <w:rPr>
                <w:szCs w:val="22"/>
              </w:rPr>
            </w:pPr>
            <w:r w:rsidRPr="00783EF9">
              <w:rPr>
                <w:szCs w:val="22"/>
              </w:rPr>
              <w:t xml:space="preserve">- Tử số là giá trị chênh lệch (tài sản  nhạy cảm – nợ phải trả nhạy cảm) lũy kế 01 năm (thường thể hiện tác động rủi ro đến Thu nhập lãi thuần trong phạm vi một năm tới do thay đổi lãi suất); </w:t>
            </w:r>
          </w:p>
          <w:p w14:paraId="6226B3F5" w14:textId="77777777" w:rsidR="00755E60" w:rsidRPr="00783EF9" w:rsidRDefault="00755E60" w:rsidP="00B268EC">
            <w:pPr>
              <w:pStyle w:val="ListParagraph"/>
              <w:widowControl w:val="0"/>
              <w:tabs>
                <w:tab w:val="left" w:pos="5670"/>
              </w:tabs>
              <w:ind w:left="0"/>
              <w:contextualSpacing w:val="0"/>
              <w:rPr>
                <w:szCs w:val="22"/>
              </w:rPr>
            </w:pPr>
            <w:r w:rsidRPr="00783EF9">
              <w:rPr>
                <w:szCs w:val="22"/>
              </w:rPr>
              <w:t>hoặc - Tử số là giá trị chênh lệch lớn nhất khoảng kỳ hạn; hoặc - Tử số là ước tính rủi ro thay đổi thu nhập thuần dựa trên công thức: kết hợp giữa Chênh lệch tái định giá các bucket với bình quân trọng số với các kịch bản về thay đổi lãi suất 1% hoặc 2%.</w:t>
            </w:r>
          </w:p>
          <w:p w14:paraId="01D2BAEA" w14:textId="77777777" w:rsidR="00755E60" w:rsidRPr="00783EF9" w:rsidRDefault="00755E60" w:rsidP="00B268EC">
            <w:pPr>
              <w:pStyle w:val="ListParagraph"/>
              <w:widowControl w:val="0"/>
              <w:tabs>
                <w:tab w:val="left" w:pos="5670"/>
              </w:tabs>
              <w:ind w:left="0"/>
              <w:contextualSpacing w:val="0"/>
              <w:rPr>
                <w:spacing w:val="-2"/>
                <w:szCs w:val="22"/>
              </w:rPr>
            </w:pPr>
            <w:r w:rsidRPr="00783EF9">
              <w:rPr>
                <w:spacing w:val="-4"/>
                <w:szCs w:val="22"/>
              </w:rPr>
              <w:t>- Ngoài ra, Cơ quan soạn thảo cân nhắc xem xét lại mối tương quan giữa tử số và mẫu số ở cấu phần Cho vay quá hạn. Đề xuất loại cấu phần Cho vay Quá hạn tại cột Quá hạn tại Bảng báo cáo Thuyết minh rủi ro lãi suất trên Báo cáo tài chính ra khỏi Tử số khi xác định Tài sản nhạy cảm lãi suất vì: Khoản cho vay quá hạn vẫn được coi là Tài sản có nhạy cảm với lãi suất và vẫn tính vào Tử số, trong khi theo ghi nhận của Chuẩn mực kế toán thì khi Cho vay quá hạn theo phân loại nợ từ nhóm 2 trở lên thì toàn bộ khoản lãi dồn tích và lãi trong tương lai đều không ghi nhận vào Lợi nhuận và không tính vào Vốn chủ sở hữu (Mẫu Số). Quy định này thể hiện sự thận trọng trong ghi nhận và đánh giá hiệu quả kinh doanh khi có rủi ro tín dụng (có nguy cơ không thể thu hồi gốc/lãi). Theo đó, cũng hàm ý loại bỏ sự ảnh hưởng về nhạy cảm với ghi nhận lãi (bao gồm cả nhạy cảm với sự thay đổi lãi suất) của Danh mục Cho vay đã bị quá hạn. Mặt khác, Vốn chủ sở hữu (Mẫu số) đã giảm trừ toàn bộ việc ghi nhận lãi từ Danh mục quá hạn cũng như không ghi nhận các phát sinh lãi trong tương lai cho đến khi Khoản cho vay trở về trong hạn t</w:t>
            </w:r>
            <w:r w:rsidRPr="00783EF9">
              <w:rPr>
                <w:spacing w:val="-2"/>
                <w:szCs w:val="22"/>
              </w:rPr>
              <w:t>heo tiêu chuẩn chuyên ngành về quản lý rủi ro tín dụng.</w:t>
            </w:r>
          </w:p>
        </w:tc>
        <w:tc>
          <w:tcPr>
            <w:tcW w:w="4252" w:type="dxa"/>
            <w:vAlign w:val="center"/>
          </w:tcPr>
          <w:p w14:paraId="0C594E9F" w14:textId="77777777" w:rsidR="00755E60" w:rsidRPr="0059729F" w:rsidRDefault="00755E60" w:rsidP="00B268EC">
            <w:pPr>
              <w:widowControl w:val="0"/>
              <w:tabs>
                <w:tab w:val="left" w:pos="5670"/>
              </w:tabs>
              <w:spacing w:before="0" w:after="0"/>
              <w:rPr>
                <w:b/>
                <w:bCs/>
                <w:szCs w:val="24"/>
              </w:rPr>
            </w:pPr>
            <w:r w:rsidRPr="0059729F">
              <w:rPr>
                <w:b/>
                <w:bCs/>
                <w:szCs w:val="24"/>
              </w:rPr>
              <w:t>Chưa tiếp thu</w:t>
            </w:r>
          </w:p>
          <w:p w14:paraId="5929D24D" w14:textId="743AE9E2" w:rsidR="00755E60" w:rsidRPr="0059729F" w:rsidRDefault="00755E60" w:rsidP="00B268EC">
            <w:pPr>
              <w:widowControl w:val="0"/>
              <w:tabs>
                <w:tab w:val="left" w:pos="5670"/>
              </w:tabs>
              <w:spacing w:before="0" w:after="0"/>
              <w:rPr>
                <w:szCs w:val="24"/>
              </w:rPr>
            </w:pPr>
            <w:r w:rsidRPr="0059729F">
              <w:rPr>
                <w:szCs w:val="24"/>
              </w:rPr>
              <w:t>- Việc sử dụng chỉ tiêu Tỷ lệ chênh lệch tài sản nhạy cảm lãi suất và nợ phải trả nhạy cảm lãi suất so với vốn chủ s</w:t>
            </w:r>
            <w:r w:rsidR="004C6D63" w:rsidRPr="0059729F">
              <w:rPr>
                <w:szCs w:val="24"/>
              </w:rPr>
              <w:t>ở</w:t>
            </w:r>
            <w:r w:rsidRPr="0059729F">
              <w:rPr>
                <w:szCs w:val="24"/>
              </w:rPr>
              <w:t xml:space="preserve"> hữu đảm bảo có nguồn thông tin, dữ liệu để đánh giá, tính toán chỉ tiêu định lượng khi xây dựng ngưỡng chấm điểm (trên cơ sở dữ liệu lịch sử) và thực hiện chấm điểm chỉ tiêu này.</w:t>
            </w:r>
          </w:p>
          <w:p w14:paraId="3475A8B5" w14:textId="77777777" w:rsidR="00755E60" w:rsidRPr="0059729F" w:rsidRDefault="00755E60" w:rsidP="00B268EC">
            <w:pPr>
              <w:widowControl w:val="0"/>
              <w:tabs>
                <w:tab w:val="left" w:pos="5670"/>
              </w:tabs>
              <w:spacing w:before="0" w:after="0"/>
              <w:rPr>
                <w:szCs w:val="24"/>
              </w:rPr>
            </w:pPr>
            <w:r w:rsidRPr="0059729F">
              <w:rPr>
                <w:szCs w:val="24"/>
              </w:rPr>
              <w:t>- NHNN sẽ rà soát, chỉnh sửa, bổ sung chỉ tiêu định lượng chấm điểm xếp hạng trên cơ sở định hướng quản lý nhà nước và có đủ thông tin, số liệu, dữ liệu lịch sử của các TCTD, chi nhánh ngân hàng nước ngoài.</w:t>
            </w:r>
          </w:p>
          <w:p w14:paraId="20D60305" w14:textId="77777777" w:rsidR="00755E60" w:rsidRPr="0002360B" w:rsidRDefault="00755E60" w:rsidP="00B268EC">
            <w:pPr>
              <w:widowControl w:val="0"/>
              <w:tabs>
                <w:tab w:val="left" w:pos="5670"/>
              </w:tabs>
              <w:spacing w:before="0" w:after="0"/>
              <w:rPr>
                <w:szCs w:val="24"/>
              </w:rPr>
            </w:pPr>
            <w:r w:rsidRPr="0059729F">
              <w:rPr>
                <w:szCs w:val="24"/>
              </w:rPr>
              <w:t xml:space="preserve">- Khoản 15 Điều 3 đã quy định: Tài sản nhạy cảm lãi suất, Nợ phải trả nhạy cảm lãi suất: là khoản mục không bao gồm </w:t>
            </w:r>
            <w:r w:rsidRPr="0059729F">
              <w:rPr>
                <w:i/>
                <w:iCs/>
                <w:szCs w:val="24"/>
              </w:rPr>
              <w:t>tài sản không chịu lãi và nợ phải trả không chịu lãi.</w:t>
            </w:r>
            <w:r w:rsidRPr="0059729F">
              <w:rPr>
                <w:szCs w:val="24"/>
              </w:rPr>
              <w:t xml:space="preserve"> Theo đó, </w:t>
            </w:r>
            <w:r w:rsidRPr="0059729F">
              <w:rPr>
                <w:i/>
                <w:iCs/>
                <w:szCs w:val="24"/>
              </w:rPr>
              <w:t>tài sản không chịu lãi và nợ phải trả không chịu lãi</w:t>
            </w:r>
            <w:r w:rsidRPr="0059729F">
              <w:rPr>
                <w:szCs w:val="24"/>
              </w:rPr>
              <w:t xml:space="preserve"> sẽ được loại trừ khi tính toán chỉ tiêu này.</w:t>
            </w:r>
          </w:p>
        </w:tc>
      </w:tr>
      <w:tr w:rsidR="0002360B" w:rsidRPr="0002360B" w14:paraId="715ACA6A" w14:textId="77777777" w:rsidTr="00776E98">
        <w:trPr>
          <w:cantSplit/>
          <w:trHeight w:val="3956"/>
        </w:trPr>
        <w:tc>
          <w:tcPr>
            <w:tcW w:w="3828" w:type="dxa"/>
            <w:vMerge/>
          </w:tcPr>
          <w:p w14:paraId="74AAE123"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5A8BF76C" w14:textId="77777777" w:rsidR="00755E60" w:rsidRPr="0002360B" w:rsidRDefault="00755E60" w:rsidP="00B268EC">
            <w:pPr>
              <w:widowControl w:val="0"/>
              <w:tabs>
                <w:tab w:val="left" w:pos="5670"/>
              </w:tabs>
              <w:spacing w:before="0" w:after="0"/>
              <w:ind w:left="34" w:right="-110" w:hanging="1"/>
              <w:jc w:val="left"/>
              <w:rPr>
                <w:szCs w:val="24"/>
              </w:rPr>
            </w:pPr>
          </w:p>
          <w:p w14:paraId="469FBFE1" w14:textId="77777777" w:rsidR="00755E60" w:rsidRPr="0002360B" w:rsidRDefault="00755E60" w:rsidP="00B268EC">
            <w:pPr>
              <w:widowControl w:val="0"/>
              <w:tabs>
                <w:tab w:val="left" w:pos="5670"/>
              </w:tabs>
              <w:spacing w:before="0" w:after="0"/>
              <w:ind w:left="34" w:right="-110" w:hanging="1"/>
              <w:jc w:val="left"/>
              <w:rPr>
                <w:szCs w:val="24"/>
              </w:rPr>
            </w:pPr>
            <w:r w:rsidRPr="0059729F">
              <w:rPr>
                <w:szCs w:val="24"/>
              </w:rPr>
              <w:t>NHTMCP Phương Đông</w:t>
            </w:r>
          </w:p>
        </w:tc>
        <w:tc>
          <w:tcPr>
            <w:tcW w:w="5358" w:type="dxa"/>
            <w:vAlign w:val="center"/>
          </w:tcPr>
          <w:p w14:paraId="7990E5D0" w14:textId="77777777" w:rsidR="00755E60" w:rsidRPr="0059729F" w:rsidRDefault="00755E60" w:rsidP="00F063F5">
            <w:pPr>
              <w:pStyle w:val="ListParagraph"/>
              <w:widowControl w:val="0"/>
              <w:tabs>
                <w:tab w:val="left" w:pos="5670"/>
              </w:tabs>
              <w:ind w:left="29"/>
              <w:contextualSpacing w:val="0"/>
              <w:rPr>
                <w:spacing w:val="-2"/>
                <w:sz w:val="24"/>
              </w:rPr>
            </w:pPr>
            <w:r w:rsidRPr="0059729F">
              <w:rPr>
                <w:sz w:val="24"/>
              </w:rPr>
              <w:t>Đề nghị bổ sung để làm rõ “Tài sản nhạy cảm lãi suất” có bao gồm “quá hạn” không? Đề nghị NHNN làm rõ “Tài sản nhạy cảm lãi suất”, theo đó “quá hạn” có được xem là Tài sản nhạy cảm lãi suất không. Vì có quan điểm đánh giá tài sản này không phải là tài sản nhạy cảm lãi suất như sau: Theo điểm a Khoản 2 Điều 5 của Thông tư số 16/2018/TT-BTC của Bộ Tài chính ngày 07/02/2018 về việc Hướng dẫn một số điều về chế độ tài chính đối với TCTD, NHNHNNg: “Tổ chức tín dụng, chi nhánh ngân hàng nước ngoài hạch toán số lãi phải thu phát sinh trong kỳ vào thu nhập đối với các khoản nợ được phân loại là nợ đủ tiêu chuẩn không phải trích dự phòng rủi ro cụ thể theo quy định của NHNNVN”. Nói cách khác, ngân hàng ngưng ghi nhận lãi kể từ thời điểm khoản nợ được phân loại quá hạn. Điều này không phù hợp với bản chất của tài sản nhạy cảm với lãi suất.</w:t>
            </w:r>
          </w:p>
        </w:tc>
        <w:tc>
          <w:tcPr>
            <w:tcW w:w="4252" w:type="dxa"/>
            <w:vAlign w:val="center"/>
          </w:tcPr>
          <w:p w14:paraId="46CD5CEA" w14:textId="77777777" w:rsidR="00755E60" w:rsidRPr="0059729F" w:rsidRDefault="00755E60" w:rsidP="00B268EC">
            <w:pPr>
              <w:widowControl w:val="0"/>
              <w:tabs>
                <w:tab w:val="left" w:pos="5670"/>
              </w:tabs>
              <w:spacing w:before="0" w:after="0"/>
              <w:rPr>
                <w:b/>
                <w:bCs/>
                <w:szCs w:val="24"/>
              </w:rPr>
            </w:pPr>
            <w:r w:rsidRPr="0059729F">
              <w:rPr>
                <w:b/>
                <w:bCs/>
                <w:szCs w:val="24"/>
              </w:rPr>
              <w:t>Chưa tiếp thu</w:t>
            </w:r>
          </w:p>
          <w:p w14:paraId="4F725CB1" w14:textId="77777777" w:rsidR="00755E60" w:rsidRPr="0002360B" w:rsidRDefault="00755E60" w:rsidP="00B268EC">
            <w:pPr>
              <w:widowControl w:val="0"/>
              <w:tabs>
                <w:tab w:val="left" w:pos="5670"/>
              </w:tabs>
              <w:spacing w:before="0" w:after="0"/>
              <w:rPr>
                <w:szCs w:val="24"/>
              </w:rPr>
            </w:pPr>
            <w:r w:rsidRPr="0059729F">
              <w:rPr>
                <w:szCs w:val="24"/>
              </w:rPr>
              <w:t xml:space="preserve">Khoản 15 Điều 3 đã quy định: Tài sản nhạy cảm lãi suất, Nợ phải trả nhạy cảm lãi suất: là khoản mục không bao gồm </w:t>
            </w:r>
            <w:r w:rsidRPr="0059729F">
              <w:rPr>
                <w:i/>
                <w:iCs/>
                <w:szCs w:val="24"/>
              </w:rPr>
              <w:t>tài sản không chịu lãi và nợ phải trả không chịu lãi.</w:t>
            </w:r>
            <w:r w:rsidRPr="0059729F">
              <w:rPr>
                <w:szCs w:val="24"/>
              </w:rPr>
              <w:t xml:space="preserve"> Theo đó, </w:t>
            </w:r>
            <w:r w:rsidRPr="0059729F">
              <w:rPr>
                <w:i/>
                <w:iCs/>
                <w:szCs w:val="24"/>
              </w:rPr>
              <w:t>tài sản không chịu lãi và nợ phải trả không chịu lãi</w:t>
            </w:r>
            <w:r w:rsidRPr="0059729F">
              <w:rPr>
                <w:szCs w:val="24"/>
              </w:rPr>
              <w:t xml:space="preserve"> sẽ được loại trừ khi tính toán chỉ tiêu này.</w:t>
            </w:r>
          </w:p>
        </w:tc>
      </w:tr>
      <w:tr w:rsidR="0002360B" w:rsidRPr="0002360B" w14:paraId="7EEAD675" w14:textId="77777777" w:rsidTr="00776E98">
        <w:trPr>
          <w:cantSplit/>
          <w:trHeight w:val="1629"/>
        </w:trPr>
        <w:tc>
          <w:tcPr>
            <w:tcW w:w="3828" w:type="dxa"/>
            <w:vMerge/>
          </w:tcPr>
          <w:p w14:paraId="431435B9"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795DE5BA" w14:textId="77777777" w:rsidR="00755E60" w:rsidRPr="0059729F" w:rsidRDefault="00755E60" w:rsidP="00B268EC">
            <w:pPr>
              <w:widowControl w:val="0"/>
              <w:tabs>
                <w:tab w:val="left" w:pos="5670"/>
              </w:tabs>
              <w:spacing w:before="0" w:after="0"/>
              <w:ind w:left="34" w:right="-110" w:hanging="1"/>
              <w:jc w:val="left"/>
              <w:rPr>
                <w:szCs w:val="24"/>
              </w:rPr>
            </w:pPr>
            <w:r w:rsidRPr="0059729F">
              <w:rPr>
                <w:szCs w:val="24"/>
              </w:rPr>
              <w:t>JP MORGAN HCM</w:t>
            </w:r>
          </w:p>
        </w:tc>
        <w:tc>
          <w:tcPr>
            <w:tcW w:w="5358" w:type="dxa"/>
            <w:vAlign w:val="center"/>
          </w:tcPr>
          <w:p w14:paraId="22430383"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Với công thức tính như quy định tại Thông tư, số tiền huy động có trả lãi càng cao, tử số sẽ tiến gần đến 0 và điểm xếp hạng càng cao. Khi chi nhánh chúng tôi mở rộng huy động các nguồn vốn không trả lãi, hoặc dùng vốn tự có để cho vay với lãi suất thấp để hỗ trợ doanh nghiệp, tử số sẽ xa 0 dẫn đến điểm xếp hạng thấp. Điều này khác với tinh thần chỉ đạo của NHNN khuyến khích giảm chi phí lãi đầu vào để giảm lãi suất cho vay.</w:t>
            </w:r>
          </w:p>
          <w:p w14:paraId="7FEA84A3"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Đề xuất của chi nhánh:</w:t>
            </w:r>
          </w:p>
          <w:p w14:paraId="62EF6F6D"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Tử số của chỉ tiêu này cần trừ thêm số “vốn điều lệ, vốn được cấp còn lại sau khi trừ đi lỗ lũy kế, giá trị tài sản cố định, góp vốn, mua cổ phần theo quy định của pháp luật” như cách tính quy định tại Điều 20.6 Thông tư 22/2019/TT-NHNN. Điều này sẽ giúp chi nhánh không bị điểm xếp hạng thấp khi sử dụng vốn tự có cho vay với lãi suất thấp hỗ trợ doanh nghiệp.</w:t>
            </w:r>
          </w:p>
          <w:p w14:paraId="16929F83"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Chỉ tiêu 6.2 sẽ = (|Tài sản nhạy cảm với lãi suất - Nợ phải trả nhạy cảm với lãi suất - Vốn tự có có thể cho vay) / Vốn chủ sở hữu) *100</w:t>
            </w:r>
          </w:p>
        </w:tc>
        <w:tc>
          <w:tcPr>
            <w:tcW w:w="4252" w:type="dxa"/>
            <w:vAlign w:val="center"/>
          </w:tcPr>
          <w:p w14:paraId="11FE222F" w14:textId="77777777" w:rsidR="00755E60" w:rsidRPr="0059729F" w:rsidRDefault="00755E60" w:rsidP="00B268EC">
            <w:pPr>
              <w:widowControl w:val="0"/>
              <w:tabs>
                <w:tab w:val="left" w:pos="5670"/>
              </w:tabs>
              <w:spacing w:before="0" w:after="0"/>
              <w:rPr>
                <w:b/>
                <w:bCs/>
                <w:szCs w:val="24"/>
              </w:rPr>
            </w:pPr>
            <w:r w:rsidRPr="0059729F">
              <w:rPr>
                <w:b/>
                <w:bCs/>
                <w:szCs w:val="24"/>
              </w:rPr>
              <w:t>Chưa tiếp thu</w:t>
            </w:r>
          </w:p>
          <w:p w14:paraId="5D722463" w14:textId="77777777" w:rsidR="00755E60" w:rsidRPr="0059729F" w:rsidRDefault="00755E60" w:rsidP="00B268EC">
            <w:pPr>
              <w:widowControl w:val="0"/>
              <w:tabs>
                <w:tab w:val="left" w:pos="5670"/>
              </w:tabs>
              <w:spacing w:before="0" w:after="0"/>
              <w:rPr>
                <w:szCs w:val="24"/>
              </w:rPr>
            </w:pPr>
            <w:r w:rsidRPr="0059729F">
              <w:rPr>
                <w:szCs w:val="24"/>
              </w:rPr>
              <w:t>Khoản 6 Điều 20 Thông tư 22/2019/TT-NHNN (đã được sửa đổi, bổ sung) chỉ áp dụng đối với một số trường hợp cụ thể. Bên cạnh đó, quy định hiện hành chưa có khái niệm “Vốn tự có có thể cho vay". Do đó, việc chỉnh sửa chỉ tiêu theo đề xuất chưa phù hợp với định hướng quản lý nhà nước ở thời điểm hiện tại.</w:t>
            </w:r>
          </w:p>
        </w:tc>
      </w:tr>
      <w:tr w:rsidR="0002360B" w:rsidRPr="0002360B" w14:paraId="3AF382A3" w14:textId="77777777" w:rsidTr="00776E98">
        <w:trPr>
          <w:cantSplit/>
        </w:trPr>
        <w:tc>
          <w:tcPr>
            <w:tcW w:w="3828" w:type="dxa"/>
          </w:tcPr>
          <w:p w14:paraId="1232474F" w14:textId="77777777" w:rsidR="00755E60" w:rsidRPr="0002360B" w:rsidRDefault="00755E60" w:rsidP="00B268EC">
            <w:pPr>
              <w:widowControl w:val="0"/>
              <w:tabs>
                <w:tab w:val="left" w:pos="5670"/>
              </w:tabs>
              <w:spacing w:before="0" w:after="0"/>
              <w:ind w:right="33" w:hanging="1"/>
              <w:rPr>
                <w:b/>
                <w:szCs w:val="24"/>
                <w:lang w:val="pt-BR"/>
              </w:rPr>
            </w:pPr>
            <w:r w:rsidRPr="0059729F">
              <w:rPr>
                <w:b/>
                <w:szCs w:val="24"/>
                <w:lang w:val="pt-BR"/>
              </w:rPr>
              <w:lastRenderedPageBreak/>
              <w:t>Điểm e khoản 2 Điều 1 DTTT bổ sung khoản 17 Điều 3 Thông tư 52</w:t>
            </w:r>
          </w:p>
          <w:p w14:paraId="2DE65E78" w14:textId="77777777" w:rsidR="00755E60" w:rsidRPr="0002360B" w:rsidRDefault="00755E60" w:rsidP="00B268EC">
            <w:pPr>
              <w:widowControl w:val="0"/>
              <w:tabs>
                <w:tab w:val="left" w:pos="5670"/>
              </w:tabs>
              <w:spacing w:before="0" w:after="0"/>
              <w:rPr>
                <w:szCs w:val="24"/>
              </w:rPr>
            </w:pPr>
            <w:r w:rsidRPr="0059729F">
              <w:rPr>
                <w:szCs w:val="24"/>
              </w:rPr>
              <w:t>“</w:t>
            </w:r>
            <w:r w:rsidRPr="0059729F">
              <w:rPr>
                <w:i/>
                <w:szCs w:val="24"/>
              </w:rPr>
              <w:t xml:space="preserve">17. Các hành vi vi phạm được xác định là khắc phục xong </w:t>
            </w:r>
            <w:r w:rsidRPr="0059729F">
              <w:rPr>
                <w:szCs w:val="24"/>
              </w:rPr>
              <w:t xml:space="preserve">bao gồm: </w:t>
            </w:r>
          </w:p>
          <w:p w14:paraId="79C2E0FB" w14:textId="77777777" w:rsidR="00755E60" w:rsidRPr="0002360B" w:rsidRDefault="00755E60" w:rsidP="00B268EC">
            <w:pPr>
              <w:widowControl w:val="0"/>
              <w:tabs>
                <w:tab w:val="left" w:pos="5670"/>
              </w:tabs>
              <w:spacing w:before="0" w:after="0"/>
              <w:rPr>
                <w:szCs w:val="24"/>
              </w:rPr>
            </w:pPr>
            <w:r w:rsidRPr="0059729F">
              <w:rPr>
                <w:szCs w:val="24"/>
              </w:rPr>
              <w:t>a) Các hành vi vi phạm được nêu tại kết luận thanh tra, kiểm tra đã được cơ quan quản lý có văn bản xác nhận hoàn thành khắc phục;</w:t>
            </w:r>
          </w:p>
          <w:p w14:paraId="443DF0A6" w14:textId="77777777" w:rsidR="00755E60" w:rsidRPr="0002360B" w:rsidRDefault="00755E60" w:rsidP="00B268EC">
            <w:pPr>
              <w:widowControl w:val="0"/>
              <w:shd w:val="clear" w:color="auto" w:fill="FFFFFF"/>
              <w:tabs>
                <w:tab w:val="left" w:pos="5670"/>
              </w:tabs>
              <w:spacing w:before="0" w:after="0"/>
              <w:rPr>
                <w:spacing w:val="-6"/>
                <w:szCs w:val="24"/>
              </w:rPr>
            </w:pPr>
            <w:r w:rsidRPr="0059729F">
              <w:rPr>
                <w:spacing w:val="-6"/>
                <w:szCs w:val="24"/>
              </w:rPr>
              <w:t>b) Các hành vi vi phạm khác ngoài quy định tại điểm a khoản 18 Điều này đã được cơ quan quản lý yêu cầu thực hiện đã hoàn thành khắc phục bằng văn bản.”</w:t>
            </w:r>
          </w:p>
          <w:p w14:paraId="1745E6B3"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6FB0250F" w14:textId="77777777" w:rsidR="00755E60" w:rsidRPr="0002360B" w:rsidRDefault="00755E60" w:rsidP="00B268EC">
            <w:pPr>
              <w:widowControl w:val="0"/>
              <w:tabs>
                <w:tab w:val="left" w:pos="5670"/>
              </w:tabs>
              <w:spacing w:before="0" w:after="0"/>
              <w:ind w:left="34" w:right="34" w:hanging="1"/>
              <w:jc w:val="left"/>
              <w:rPr>
                <w:szCs w:val="24"/>
                <w:lang w:val="pt-BR"/>
              </w:rPr>
            </w:pPr>
            <w:r w:rsidRPr="0059729F">
              <w:rPr>
                <w:szCs w:val="24"/>
                <w:lang w:val="pt-BR"/>
              </w:rPr>
              <w:t>NHTMCP Ngoại thương Việt Nam</w:t>
            </w:r>
          </w:p>
        </w:tc>
        <w:tc>
          <w:tcPr>
            <w:tcW w:w="5358" w:type="dxa"/>
          </w:tcPr>
          <w:p w14:paraId="538AADF4" w14:textId="77777777" w:rsidR="00755E60" w:rsidRPr="0002360B" w:rsidRDefault="00755E60" w:rsidP="00B268EC">
            <w:pPr>
              <w:widowControl w:val="0"/>
              <w:tabs>
                <w:tab w:val="left" w:pos="5670"/>
              </w:tabs>
              <w:spacing w:before="0" w:after="0"/>
              <w:rPr>
                <w:szCs w:val="24"/>
              </w:rPr>
            </w:pPr>
            <w:r w:rsidRPr="0059729F">
              <w:rPr>
                <w:szCs w:val="24"/>
              </w:rPr>
              <w:t xml:space="preserve">Đề xuất quy định làm rõ hơn tình trạng “đã hoàn thành khắc phục bằng văn bản”: </w:t>
            </w:r>
          </w:p>
          <w:p w14:paraId="0A404D13"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 Cơ quan quản lý chỉ có văn bản xác nhận hoàn thành với các kiến nghị đưa ra chứ không xác nhận hoàn thành với hành vi vi phạm.</w:t>
            </w:r>
          </w:p>
          <w:p w14:paraId="5FD986CD" w14:textId="77777777" w:rsidR="00755E60" w:rsidRPr="0002360B" w:rsidRDefault="00755E60" w:rsidP="00B268EC">
            <w:pPr>
              <w:widowControl w:val="0"/>
              <w:tabs>
                <w:tab w:val="left" w:pos="5670"/>
              </w:tabs>
              <w:spacing w:before="0" w:after="0"/>
              <w:rPr>
                <w:szCs w:val="24"/>
              </w:rPr>
            </w:pPr>
            <w:r w:rsidRPr="0059729F">
              <w:rPr>
                <w:szCs w:val="24"/>
              </w:rPr>
              <w:t>- Như vậy đối với các hành vi vi phạm hành chính hoặc vi phạm là giao dịch, cơ quan quản lý sẽ không có cơ sở xác nhận hoàn thành khắc phục và TCTD sẽ luôn bị thống kê trừ điểm.</w:t>
            </w:r>
          </w:p>
          <w:p w14:paraId="37154974" w14:textId="77777777" w:rsidR="00755E60" w:rsidRPr="0002360B" w:rsidRDefault="00755E60" w:rsidP="00B268EC">
            <w:pPr>
              <w:widowControl w:val="0"/>
              <w:tabs>
                <w:tab w:val="left" w:pos="5670"/>
              </w:tabs>
              <w:spacing w:before="0" w:after="0"/>
              <w:rPr>
                <w:szCs w:val="24"/>
              </w:rPr>
            </w:pPr>
            <w:r w:rsidRPr="0059729F">
              <w:rPr>
                <w:szCs w:val="24"/>
              </w:rPr>
              <w:t>Đề xuất NHNN xem xét:</w:t>
            </w:r>
          </w:p>
          <w:p w14:paraId="46AFBEF5"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 Đối với các vi phạm là giao dịch, đề xuất NHNN chỉ thống kê tính điểm trong năm phát hiện.</w:t>
            </w:r>
          </w:p>
          <w:p w14:paraId="5F3D9258" w14:textId="77777777" w:rsidR="00755E60" w:rsidRPr="0002360B" w:rsidRDefault="00755E60" w:rsidP="00B268EC">
            <w:pPr>
              <w:widowControl w:val="0"/>
              <w:tabs>
                <w:tab w:val="left" w:pos="5670"/>
              </w:tabs>
              <w:spacing w:before="0" w:after="0"/>
              <w:rPr>
                <w:szCs w:val="24"/>
                <w:lang w:val="pt-BR"/>
              </w:rPr>
            </w:pPr>
            <w:r w:rsidRPr="0059729F">
              <w:rPr>
                <w:szCs w:val="24"/>
              </w:rPr>
              <w:t>- Đối với vi phạm xử phạt hành chính, đề xuất xác định hoàn thành khắc phục là sau khi hoàn thành nghĩa vụ tài chính.</w:t>
            </w:r>
          </w:p>
        </w:tc>
        <w:tc>
          <w:tcPr>
            <w:tcW w:w="4252" w:type="dxa"/>
          </w:tcPr>
          <w:p w14:paraId="582435E6" w14:textId="77777777" w:rsidR="00755E60" w:rsidRPr="0059729F" w:rsidRDefault="00755E60" w:rsidP="00B268EC">
            <w:pPr>
              <w:widowControl w:val="0"/>
              <w:tabs>
                <w:tab w:val="left" w:pos="5670"/>
              </w:tabs>
              <w:spacing w:before="0" w:after="0"/>
              <w:rPr>
                <w:b/>
                <w:szCs w:val="24"/>
                <w:lang w:val="pt-BR"/>
              </w:rPr>
            </w:pPr>
            <w:r w:rsidRPr="0059729F">
              <w:rPr>
                <w:b/>
                <w:szCs w:val="24"/>
                <w:lang w:val="pt-BR"/>
              </w:rPr>
              <w:t>Tiếp thu một phần</w:t>
            </w:r>
          </w:p>
          <w:p w14:paraId="0034A308" w14:textId="77777777" w:rsidR="00755E60" w:rsidRPr="0059729F" w:rsidRDefault="00755E60" w:rsidP="00B268EC">
            <w:pPr>
              <w:tabs>
                <w:tab w:val="left" w:pos="5670"/>
              </w:tabs>
              <w:spacing w:before="0" w:after="0"/>
              <w:outlineLvl w:val="2"/>
              <w:rPr>
                <w:spacing w:val="-4"/>
                <w:szCs w:val="24"/>
                <w:lang w:val="pt-BR"/>
              </w:rPr>
            </w:pPr>
            <w:r w:rsidRPr="0059729F">
              <w:rPr>
                <w:szCs w:val="24"/>
                <w:lang w:val="pt-BR"/>
              </w:rPr>
              <w:t xml:space="preserve">- </w:t>
            </w:r>
            <w:r w:rsidRPr="0059729F">
              <w:rPr>
                <w:spacing w:val="-4"/>
                <w:szCs w:val="24"/>
                <w:lang w:val="pt-BR"/>
              </w:rPr>
              <w:t>Chỉnh sửa Khoản 17 Điều 3 theo hướng:</w:t>
            </w:r>
          </w:p>
          <w:p w14:paraId="7E5F21A6" w14:textId="7759C337" w:rsidR="00755E60" w:rsidRPr="0059729F" w:rsidRDefault="00755E60" w:rsidP="00B268EC">
            <w:pPr>
              <w:tabs>
                <w:tab w:val="left" w:pos="5670"/>
              </w:tabs>
              <w:spacing w:before="0" w:after="0"/>
              <w:outlineLvl w:val="2"/>
              <w:rPr>
                <w:bCs/>
                <w:spacing w:val="-6"/>
                <w:szCs w:val="24"/>
              </w:rPr>
            </w:pPr>
            <w:r w:rsidRPr="0059729F">
              <w:rPr>
                <w:i/>
                <w:spacing w:val="-4"/>
                <w:szCs w:val="24"/>
                <w:lang w:val="pt-BR"/>
              </w:rPr>
              <w:t>“</w:t>
            </w:r>
            <w:r w:rsidRPr="0059729F">
              <w:rPr>
                <w:i/>
                <w:spacing w:val="-4"/>
                <w:szCs w:val="24"/>
              </w:rPr>
              <w:t>17. Các hành vi vi phạm chưa khắc phục xong là các hành vi vi phạm có yêu cầu thực hiện khắc phục của cơ quan</w:t>
            </w:r>
            <w:r w:rsidR="00FA6C2C" w:rsidRPr="0059729F">
              <w:rPr>
                <w:i/>
                <w:spacing w:val="-4"/>
                <w:szCs w:val="24"/>
              </w:rPr>
              <w:t xml:space="preserve"> nhà nước</w:t>
            </w:r>
            <w:r w:rsidRPr="0059729F">
              <w:rPr>
                <w:i/>
                <w:spacing w:val="-4"/>
                <w:szCs w:val="24"/>
              </w:rPr>
              <w:t xml:space="preserve"> có thẩm quyền nhưng chưa được cơ quan, tổ chức có thẩm quyền xác nhận hoàn thành khắc phục.</w:t>
            </w:r>
            <w:r w:rsidRPr="0059729F">
              <w:rPr>
                <w:i/>
                <w:spacing w:val="-4"/>
                <w:szCs w:val="24"/>
                <w:lang w:val="pt-BR"/>
              </w:rPr>
              <w:t>”</w:t>
            </w:r>
          </w:p>
          <w:p w14:paraId="229AE2E8" w14:textId="77777777" w:rsidR="00755E60" w:rsidRPr="0059729F" w:rsidRDefault="00755E60" w:rsidP="00B268EC">
            <w:pPr>
              <w:tabs>
                <w:tab w:val="left" w:pos="5670"/>
              </w:tabs>
              <w:spacing w:before="0" w:after="0"/>
              <w:outlineLvl w:val="2"/>
              <w:rPr>
                <w:bCs/>
                <w:spacing w:val="-6"/>
                <w:szCs w:val="24"/>
              </w:rPr>
            </w:pPr>
            <w:r w:rsidRPr="0059729F">
              <w:rPr>
                <w:bCs/>
                <w:spacing w:val="-6"/>
                <w:szCs w:val="24"/>
              </w:rPr>
              <w:t xml:space="preserve">- Việc chỉnh sửa như trên đã quy định rõ hơn về phạm vi để tính các hành vi vi phạm được xác định là chưa khắc phục xong và không bao gồm các hành vi vi phạm không có yêu cầu khắc phục của cơ quan, tổ chức có thẩm quyền. </w:t>
            </w:r>
          </w:p>
          <w:p w14:paraId="2AFF9B0D" w14:textId="77777777" w:rsidR="00755E60" w:rsidRPr="0059729F" w:rsidRDefault="00755E60" w:rsidP="00B268EC">
            <w:pPr>
              <w:tabs>
                <w:tab w:val="left" w:pos="5670"/>
              </w:tabs>
              <w:spacing w:before="0" w:after="0"/>
              <w:outlineLvl w:val="2"/>
              <w:rPr>
                <w:szCs w:val="24"/>
                <w:lang w:val="pt-BR"/>
              </w:rPr>
            </w:pPr>
            <w:r w:rsidRPr="0059729F">
              <w:rPr>
                <w:bCs/>
                <w:szCs w:val="24"/>
              </w:rPr>
              <w:t xml:space="preserve">- Theo quy định tại Luật Xử lý vi phạm hành chính, tại Quyết định </w:t>
            </w:r>
            <w:r w:rsidRPr="0059729F">
              <w:rPr>
                <w:szCs w:val="24"/>
                <w:lang w:val="pt-BR"/>
              </w:rPr>
              <w:t xml:space="preserve">xử phạt vi phạm hành chính ngoài hình thức xử phạt chính (bao gồm hình thức phạt tiền) còn có thể bao gồm hình thức xử phạt bổ sung và biện pháp khắc phục hậu quả. Theo quy định tại Luật Thanh tra, các TCTD có trách nhiệm thực hiện các kiển nghị tại Kết luận thanh tra ngoài việc chấp hành yêu cầu tại Quyết định xử phạt vi phạm hành chính trong trường hơp bị Đoàn thanh tra xử phạt. </w:t>
            </w:r>
          </w:p>
          <w:p w14:paraId="2AEC011D" w14:textId="77777777" w:rsidR="00755E60" w:rsidRPr="0059729F" w:rsidRDefault="00755E60" w:rsidP="00B268EC">
            <w:pPr>
              <w:tabs>
                <w:tab w:val="left" w:pos="5670"/>
              </w:tabs>
              <w:spacing w:before="0" w:after="0"/>
              <w:outlineLvl w:val="2"/>
              <w:rPr>
                <w:szCs w:val="24"/>
                <w:lang w:val="pt-BR"/>
              </w:rPr>
            </w:pPr>
            <w:r w:rsidRPr="0059729F">
              <w:rPr>
                <w:szCs w:val="24"/>
                <w:lang w:val="pt-BR"/>
              </w:rPr>
              <w:t>- Với các quy định nêu trên, TCTD vẫn chưa thể coi là hoàn thành việc khắc phục các hành vi vi phạm nếu trong trường hợp chưa hoàn thành các yêu cầu bổ sung, biện pháp khắc phục hậu quả như quy định tại Luật xử lý vi phạm hành chính cũng như các kiển nghị tại kết luật thanh tra theo quy định tại Luật Thanh tra.</w:t>
            </w:r>
          </w:p>
        </w:tc>
      </w:tr>
      <w:tr w:rsidR="0002360B" w:rsidRPr="0002360B" w14:paraId="4AF198B2" w14:textId="77777777" w:rsidTr="00776E98">
        <w:trPr>
          <w:cantSplit/>
        </w:trPr>
        <w:tc>
          <w:tcPr>
            <w:tcW w:w="3828" w:type="dxa"/>
            <w:vMerge w:val="restart"/>
          </w:tcPr>
          <w:p w14:paraId="2AE77D89" w14:textId="77777777" w:rsidR="00755E60" w:rsidRPr="0002360B" w:rsidRDefault="00755E60" w:rsidP="00B268EC">
            <w:pPr>
              <w:widowControl w:val="0"/>
              <w:tabs>
                <w:tab w:val="left" w:pos="5670"/>
              </w:tabs>
              <w:spacing w:before="0" w:after="0"/>
              <w:ind w:right="33" w:hanging="1"/>
              <w:rPr>
                <w:b/>
                <w:szCs w:val="24"/>
                <w:lang w:val="pt-BR"/>
              </w:rPr>
            </w:pPr>
            <w:r w:rsidRPr="0059729F">
              <w:rPr>
                <w:b/>
                <w:szCs w:val="24"/>
                <w:lang w:val="pt-BR"/>
              </w:rPr>
              <w:lastRenderedPageBreak/>
              <w:t>Điểm e khoản 2 Điều 1 DTTT bổ sung khoản 17 Điều 3 Thông tư 52</w:t>
            </w:r>
          </w:p>
          <w:p w14:paraId="0DC7ADD7" w14:textId="77777777" w:rsidR="00755E60" w:rsidRPr="0002360B" w:rsidRDefault="00755E60" w:rsidP="00B268EC">
            <w:pPr>
              <w:widowControl w:val="0"/>
              <w:tabs>
                <w:tab w:val="left" w:pos="5670"/>
              </w:tabs>
              <w:spacing w:before="0" w:after="0"/>
              <w:rPr>
                <w:szCs w:val="24"/>
              </w:rPr>
            </w:pPr>
            <w:r w:rsidRPr="0059729F">
              <w:rPr>
                <w:szCs w:val="24"/>
              </w:rPr>
              <w:t>“</w:t>
            </w:r>
            <w:r w:rsidRPr="0059729F">
              <w:rPr>
                <w:i/>
                <w:szCs w:val="24"/>
              </w:rPr>
              <w:t xml:space="preserve">17. Các hành vi vi phạm được xác định là khắc phục xong </w:t>
            </w:r>
            <w:r w:rsidRPr="0059729F">
              <w:rPr>
                <w:szCs w:val="24"/>
              </w:rPr>
              <w:t xml:space="preserve">bao gồm: </w:t>
            </w:r>
          </w:p>
          <w:p w14:paraId="4064C601" w14:textId="77777777" w:rsidR="00755E60" w:rsidRPr="0002360B" w:rsidRDefault="00755E60" w:rsidP="00B268EC">
            <w:pPr>
              <w:widowControl w:val="0"/>
              <w:tabs>
                <w:tab w:val="left" w:pos="5670"/>
              </w:tabs>
              <w:spacing w:before="0" w:after="0"/>
              <w:rPr>
                <w:szCs w:val="24"/>
              </w:rPr>
            </w:pPr>
            <w:r w:rsidRPr="0059729F">
              <w:rPr>
                <w:szCs w:val="24"/>
              </w:rPr>
              <w:t>…</w:t>
            </w:r>
          </w:p>
          <w:p w14:paraId="750CF757" w14:textId="77777777" w:rsidR="00755E60" w:rsidRPr="0002360B" w:rsidRDefault="00755E60" w:rsidP="00B268EC">
            <w:pPr>
              <w:widowControl w:val="0"/>
              <w:shd w:val="clear" w:color="auto" w:fill="FFFFFF"/>
              <w:tabs>
                <w:tab w:val="left" w:pos="5670"/>
              </w:tabs>
              <w:spacing w:before="0" w:after="0"/>
              <w:rPr>
                <w:spacing w:val="-6"/>
                <w:szCs w:val="24"/>
              </w:rPr>
            </w:pPr>
            <w:r w:rsidRPr="0059729F">
              <w:rPr>
                <w:spacing w:val="-6"/>
                <w:szCs w:val="24"/>
              </w:rPr>
              <w:t>b) Các hành vi vi phạm khác ngoài quy định tại điểm a khoản 18 Điều này đã được cơ quan quản lý yêu cầu thực hiện đã hoàn thành khắc phục bằng văn bản.”</w:t>
            </w:r>
          </w:p>
          <w:p w14:paraId="0D79C2CA" w14:textId="77777777" w:rsidR="00755E60" w:rsidRPr="0002360B" w:rsidRDefault="00755E60" w:rsidP="00B268EC">
            <w:pPr>
              <w:widowControl w:val="0"/>
              <w:shd w:val="clear" w:color="auto" w:fill="FFFFFF"/>
              <w:tabs>
                <w:tab w:val="left" w:pos="5670"/>
              </w:tabs>
              <w:spacing w:before="0" w:after="0"/>
              <w:rPr>
                <w:spacing w:val="-6"/>
                <w:szCs w:val="24"/>
              </w:rPr>
            </w:pPr>
          </w:p>
        </w:tc>
        <w:tc>
          <w:tcPr>
            <w:tcW w:w="1730" w:type="dxa"/>
            <w:vAlign w:val="center"/>
          </w:tcPr>
          <w:p w14:paraId="13326E5E" w14:textId="77777777" w:rsidR="00755E60" w:rsidRPr="0002360B" w:rsidRDefault="00755E60" w:rsidP="00B268EC">
            <w:pPr>
              <w:widowControl w:val="0"/>
              <w:tabs>
                <w:tab w:val="left" w:pos="5670"/>
              </w:tabs>
              <w:spacing w:before="0" w:after="0"/>
              <w:ind w:left="34" w:right="34" w:hanging="1"/>
              <w:jc w:val="left"/>
              <w:rPr>
                <w:spacing w:val="-2"/>
                <w:szCs w:val="24"/>
                <w:lang w:val="pt-BR"/>
              </w:rPr>
            </w:pPr>
            <w:r w:rsidRPr="0059729F">
              <w:rPr>
                <w:spacing w:val="-2"/>
                <w:szCs w:val="24"/>
                <w:lang w:val="pt-BR"/>
              </w:rPr>
              <w:t>NHTMCP Quân đội, NHTMCP Phát triển TP HCM, NHTMCP Hàng hải</w:t>
            </w:r>
          </w:p>
        </w:tc>
        <w:tc>
          <w:tcPr>
            <w:tcW w:w="5358" w:type="dxa"/>
          </w:tcPr>
          <w:p w14:paraId="10C0BB5B" w14:textId="77777777" w:rsidR="00755E60" w:rsidRPr="0002360B" w:rsidRDefault="00755E60" w:rsidP="00B268EC">
            <w:pPr>
              <w:widowControl w:val="0"/>
              <w:tabs>
                <w:tab w:val="left" w:pos="5670"/>
              </w:tabs>
              <w:spacing w:before="0" w:after="0"/>
              <w:rPr>
                <w:iCs/>
                <w:szCs w:val="24"/>
              </w:rPr>
            </w:pPr>
            <w:r w:rsidRPr="0059729F">
              <w:rPr>
                <w:iCs/>
                <w:szCs w:val="24"/>
              </w:rPr>
              <w:t>- Tại điểm b Khoản 17 Điều 3 Dự thảo, đề xuất thay thế cụm từ “điểm a khoản 18 Điều này” bằng cụm từ “điểm a khoản 17 Điều này” để thống nhất với nội dung quy định của điều khoản.</w:t>
            </w:r>
          </w:p>
          <w:p w14:paraId="4CE0562B" w14:textId="77777777" w:rsidR="00755E60" w:rsidRPr="0002360B" w:rsidRDefault="00755E60" w:rsidP="00B268EC">
            <w:pPr>
              <w:widowControl w:val="0"/>
              <w:tabs>
                <w:tab w:val="left" w:pos="5670"/>
              </w:tabs>
              <w:spacing w:before="0" w:after="0"/>
              <w:rPr>
                <w:iCs/>
                <w:szCs w:val="24"/>
              </w:rPr>
            </w:pPr>
            <w:r w:rsidRPr="0059729F">
              <w:rPr>
                <w:szCs w:val="24"/>
              </w:rPr>
              <w:t>- Đề nghị</w:t>
            </w:r>
            <w:r w:rsidRPr="0059729F">
              <w:rPr>
                <w:szCs w:val="24"/>
                <w:lang w:val="vi-VN"/>
              </w:rPr>
              <w:t xml:space="preserve"> rà soát lại nội dung dẫn chiếu tại điểm b khoản 17 được bổ sung.</w:t>
            </w:r>
          </w:p>
        </w:tc>
        <w:tc>
          <w:tcPr>
            <w:tcW w:w="4252" w:type="dxa"/>
          </w:tcPr>
          <w:p w14:paraId="55568DBB" w14:textId="77777777" w:rsidR="00755E60" w:rsidRPr="0002360B" w:rsidRDefault="00755E60" w:rsidP="00B268EC">
            <w:pPr>
              <w:widowControl w:val="0"/>
              <w:tabs>
                <w:tab w:val="left" w:pos="5670"/>
              </w:tabs>
              <w:spacing w:before="0" w:after="0"/>
              <w:rPr>
                <w:b/>
                <w:szCs w:val="24"/>
                <w:lang w:val="pt-BR"/>
              </w:rPr>
            </w:pPr>
            <w:r w:rsidRPr="0059729F">
              <w:rPr>
                <w:b/>
                <w:szCs w:val="24"/>
                <w:lang w:val="pt-BR"/>
              </w:rPr>
              <w:t>Tiếp thu</w:t>
            </w:r>
          </w:p>
          <w:p w14:paraId="74881E2A" w14:textId="77777777" w:rsidR="001A7FA8" w:rsidRPr="0059729F" w:rsidRDefault="001A7FA8" w:rsidP="001A7FA8">
            <w:pPr>
              <w:tabs>
                <w:tab w:val="left" w:pos="5670"/>
              </w:tabs>
              <w:spacing w:before="0" w:after="0"/>
              <w:outlineLvl w:val="2"/>
              <w:rPr>
                <w:spacing w:val="-4"/>
                <w:szCs w:val="24"/>
                <w:lang w:val="pt-BR"/>
              </w:rPr>
            </w:pPr>
            <w:r w:rsidRPr="0059729F">
              <w:rPr>
                <w:szCs w:val="24"/>
                <w:lang w:val="pt-BR"/>
              </w:rPr>
              <w:t>Kết hợp với ý kiến góp ý của NHTMCP Ngoại thương Việt Nam,</w:t>
            </w:r>
            <w:r w:rsidRPr="0059729F">
              <w:rPr>
                <w:b/>
                <w:szCs w:val="24"/>
                <w:lang w:val="pt-BR"/>
              </w:rPr>
              <w:t xml:space="preserve"> </w:t>
            </w:r>
            <w:r w:rsidRPr="0059729F">
              <w:rPr>
                <w:spacing w:val="-4"/>
                <w:szCs w:val="24"/>
                <w:lang w:val="pt-BR"/>
              </w:rPr>
              <w:t>Khoản 17 Điều 3 DTTT được chỉnh sửa theo hướng:</w:t>
            </w:r>
          </w:p>
          <w:p w14:paraId="24FA2C4B" w14:textId="57E42846" w:rsidR="001A7FA8" w:rsidRPr="0059729F" w:rsidRDefault="001A7FA8" w:rsidP="001A7FA8">
            <w:pPr>
              <w:tabs>
                <w:tab w:val="left" w:pos="5670"/>
              </w:tabs>
              <w:spacing w:before="0" w:after="0"/>
              <w:outlineLvl w:val="2"/>
              <w:rPr>
                <w:bCs/>
                <w:spacing w:val="-6"/>
                <w:szCs w:val="24"/>
              </w:rPr>
            </w:pPr>
            <w:r w:rsidRPr="0059729F">
              <w:rPr>
                <w:i/>
                <w:spacing w:val="-4"/>
                <w:szCs w:val="24"/>
                <w:lang w:val="pt-BR"/>
              </w:rPr>
              <w:t>“</w:t>
            </w:r>
            <w:r w:rsidRPr="0059729F">
              <w:rPr>
                <w:i/>
                <w:spacing w:val="-4"/>
                <w:szCs w:val="24"/>
              </w:rPr>
              <w:t>17. Các hành vi vi phạm chưa khắc phục xong là các hành vi vi phạm có yêu cầu thực hiện khắc phục của cơ quan</w:t>
            </w:r>
            <w:r w:rsidR="00FA6C2C" w:rsidRPr="0059729F">
              <w:rPr>
                <w:i/>
                <w:spacing w:val="-4"/>
                <w:szCs w:val="24"/>
              </w:rPr>
              <w:t xml:space="preserve"> nhà nước</w:t>
            </w:r>
            <w:r w:rsidRPr="0059729F">
              <w:rPr>
                <w:i/>
                <w:spacing w:val="-4"/>
                <w:szCs w:val="24"/>
              </w:rPr>
              <w:t xml:space="preserve"> có thẩm quyền nhưng chưa được cơ quan, tổ chức có thẩm quyền xác nhận hoàn thành khắc phục.</w:t>
            </w:r>
            <w:r w:rsidRPr="0059729F">
              <w:rPr>
                <w:i/>
                <w:spacing w:val="-4"/>
                <w:szCs w:val="24"/>
                <w:lang w:val="pt-BR"/>
              </w:rPr>
              <w:t>”</w:t>
            </w:r>
          </w:p>
          <w:p w14:paraId="10DEB5D0" w14:textId="1013F69A" w:rsidR="00755E60" w:rsidRPr="0002360B" w:rsidRDefault="001A7FA8" w:rsidP="00B268EC">
            <w:pPr>
              <w:widowControl w:val="0"/>
              <w:tabs>
                <w:tab w:val="left" w:pos="5670"/>
              </w:tabs>
              <w:spacing w:before="0" w:after="0"/>
              <w:rPr>
                <w:b/>
                <w:szCs w:val="24"/>
                <w:lang w:val="pt-BR"/>
              </w:rPr>
            </w:pPr>
            <w:r w:rsidRPr="0059729F">
              <w:rPr>
                <w:b/>
                <w:szCs w:val="24"/>
                <w:lang w:val="pt-BR"/>
              </w:rPr>
              <w:t xml:space="preserve"> </w:t>
            </w:r>
          </w:p>
        </w:tc>
      </w:tr>
      <w:tr w:rsidR="0002360B" w:rsidRPr="0002360B" w14:paraId="3C4E4943" w14:textId="77777777" w:rsidTr="00776E98">
        <w:trPr>
          <w:cantSplit/>
        </w:trPr>
        <w:tc>
          <w:tcPr>
            <w:tcW w:w="3828" w:type="dxa"/>
            <w:vMerge/>
          </w:tcPr>
          <w:p w14:paraId="317BBDFB" w14:textId="77777777" w:rsidR="00755E60" w:rsidRPr="0002360B" w:rsidRDefault="00755E60" w:rsidP="00B268EC">
            <w:pPr>
              <w:widowControl w:val="0"/>
              <w:shd w:val="clear" w:color="auto" w:fill="FFFFFF"/>
              <w:tabs>
                <w:tab w:val="left" w:pos="5670"/>
              </w:tabs>
              <w:spacing w:before="0" w:after="0"/>
              <w:rPr>
                <w:b/>
                <w:szCs w:val="24"/>
                <w:lang w:val="pt-BR"/>
              </w:rPr>
            </w:pPr>
          </w:p>
        </w:tc>
        <w:tc>
          <w:tcPr>
            <w:tcW w:w="1730" w:type="dxa"/>
            <w:vAlign w:val="center"/>
          </w:tcPr>
          <w:p w14:paraId="73340D70" w14:textId="77777777" w:rsidR="00755E60" w:rsidRPr="0002360B" w:rsidRDefault="00755E60" w:rsidP="00B268EC">
            <w:pPr>
              <w:widowControl w:val="0"/>
              <w:tabs>
                <w:tab w:val="left" w:pos="5670"/>
              </w:tabs>
              <w:spacing w:before="0" w:after="0"/>
              <w:ind w:left="34" w:right="34" w:hanging="1"/>
              <w:jc w:val="left"/>
              <w:rPr>
                <w:spacing w:val="-2"/>
                <w:szCs w:val="24"/>
                <w:lang w:val="pt-BR"/>
              </w:rPr>
            </w:pPr>
            <w:r w:rsidRPr="0059729F">
              <w:rPr>
                <w:spacing w:val="-2"/>
                <w:szCs w:val="24"/>
                <w:lang w:val="pt-BR"/>
              </w:rPr>
              <w:t>NHTMCP Quân đội, NHTMCP Thịnh vượng và PT</w:t>
            </w:r>
          </w:p>
        </w:tc>
        <w:tc>
          <w:tcPr>
            <w:tcW w:w="5358" w:type="dxa"/>
          </w:tcPr>
          <w:p w14:paraId="2EF477ED" w14:textId="77777777" w:rsidR="00755E60" w:rsidRPr="0002360B" w:rsidRDefault="00755E60" w:rsidP="00B268EC">
            <w:pPr>
              <w:widowControl w:val="0"/>
              <w:tabs>
                <w:tab w:val="left" w:pos="5670"/>
              </w:tabs>
              <w:spacing w:before="0" w:after="0"/>
              <w:rPr>
                <w:szCs w:val="24"/>
                <w:lang w:val="vi-VN"/>
              </w:rPr>
            </w:pPr>
            <w:r w:rsidRPr="0059729F">
              <w:rPr>
                <w:iCs/>
                <w:szCs w:val="24"/>
              </w:rPr>
              <w:t>Đề xuất Cơ quan soạn thảo làm rõ cụm từ “đã hoàn thành khắc phục bằng văn bản” được hiểu như thế nào?</w:t>
            </w:r>
          </w:p>
        </w:tc>
        <w:tc>
          <w:tcPr>
            <w:tcW w:w="4252" w:type="dxa"/>
            <w:vMerge w:val="restart"/>
          </w:tcPr>
          <w:p w14:paraId="73A98AD9" w14:textId="77777777" w:rsidR="00755E60" w:rsidRPr="0002360B" w:rsidRDefault="00755E60" w:rsidP="00B268EC">
            <w:pPr>
              <w:widowControl w:val="0"/>
              <w:tabs>
                <w:tab w:val="left" w:pos="5670"/>
              </w:tabs>
              <w:spacing w:before="0" w:after="0"/>
              <w:rPr>
                <w:b/>
                <w:szCs w:val="24"/>
                <w:lang w:val="pt-BR"/>
              </w:rPr>
            </w:pPr>
            <w:r w:rsidRPr="0059729F">
              <w:rPr>
                <w:b/>
                <w:szCs w:val="24"/>
                <w:lang w:val="pt-BR"/>
              </w:rPr>
              <w:t>Tiếp thu một phần</w:t>
            </w:r>
          </w:p>
          <w:p w14:paraId="4A40992C" w14:textId="77777777" w:rsidR="00755E60" w:rsidRPr="0002360B" w:rsidRDefault="00755E60" w:rsidP="00B268EC">
            <w:pPr>
              <w:widowControl w:val="0"/>
              <w:tabs>
                <w:tab w:val="left" w:pos="5670"/>
              </w:tabs>
              <w:spacing w:before="0" w:after="0"/>
              <w:rPr>
                <w:spacing w:val="-4"/>
                <w:szCs w:val="24"/>
                <w:lang w:val="pt-BR"/>
              </w:rPr>
            </w:pPr>
            <w:r w:rsidRPr="0059729F">
              <w:rPr>
                <w:spacing w:val="-4"/>
                <w:szCs w:val="24"/>
                <w:lang w:val="pt-BR"/>
              </w:rPr>
              <w:t xml:space="preserve">- Theo quy định tại điểm g, khoản 1 Điều 13 Luật Thanh tra (Luật số 84/2025/QH15 ngày 25/6/2025), việc theo dõi, đôn đốc, kiểm tra việc thực hiện kết luận, kiến nghị </w:t>
            </w:r>
            <w:r w:rsidRPr="0059729F">
              <w:rPr>
                <w:spacing w:val="-4"/>
                <w:szCs w:val="24"/>
                <w:lang w:val="pt-BR"/>
              </w:rPr>
              <w:lastRenderedPageBreak/>
              <w:t>thanh tra là một trong những nhiệm vụ, quyền hạn của Thanh tra Ngân hàng Nhà nước. Do đó, việc cơ quan quản lý xác nhận đã hoàn thành khắc phục đối với các hành vi vi phạm được nêu tại kết luận thanh tra, kiểm tra thực chất là thể hiện kết quả theo dõi, đôn đốc việc thực hiện kết luận, kiến nghị thanh tra, đồng thời đây là cách thức để cung cấp, trao đổi thông tin giữa đơn vị ban hành kết luận thanh tra và đơn vị thực hiện xếp hạng.</w:t>
            </w:r>
          </w:p>
          <w:p w14:paraId="2B410E05" w14:textId="77777777" w:rsidR="00755E60" w:rsidRPr="0002360B" w:rsidRDefault="00755E60" w:rsidP="00B268EC">
            <w:pPr>
              <w:widowControl w:val="0"/>
              <w:tabs>
                <w:tab w:val="left" w:pos="5670"/>
              </w:tabs>
              <w:spacing w:before="0" w:after="0"/>
              <w:rPr>
                <w:spacing w:val="-4"/>
                <w:szCs w:val="24"/>
                <w:lang w:val="pt-BR"/>
              </w:rPr>
            </w:pPr>
            <w:r w:rsidRPr="0059729F">
              <w:rPr>
                <w:spacing w:val="-4"/>
                <w:szCs w:val="24"/>
                <w:lang w:val="pt-BR"/>
              </w:rPr>
              <w:t>Tuy nhiên, để đảm bảo tính khả thi, DTTT được sửa đổi, bổ sung theo hướng lược bỏ cụm từ “có văn bản”, “bằng văn bản” tại khoản 17 Điều này, và chỉnh sửa quy định giải thích từ ngữ cho cụm từ “các hành vi vi phạm chưa khắc phục xong” để phù hợp với các quy định tại Điều 16 DTTT.</w:t>
            </w:r>
          </w:p>
          <w:p w14:paraId="79C391E8" w14:textId="71096F13" w:rsidR="00755E60" w:rsidRPr="0002360B" w:rsidRDefault="00755E60" w:rsidP="00B268EC">
            <w:pPr>
              <w:widowControl w:val="0"/>
              <w:tabs>
                <w:tab w:val="left" w:pos="5670"/>
              </w:tabs>
              <w:spacing w:before="0" w:after="0"/>
              <w:rPr>
                <w:spacing w:val="-4"/>
                <w:szCs w:val="24"/>
              </w:rPr>
            </w:pPr>
            <w:r w:rsidRPr="0059729F">
              <w:rPr>
                <w:spacing w:val="-4"/>
                <w:szCs w:val="24"/>
                <w:lang w:val="pt-BR"/>
              </w:rPr>
              <w:t xml:space="preserve">- DTTT quy định tại các điều khoản này (khoản 17 Điều 3 và </w:t>
            </w:r>
            <w:r w:rsidR="00FA6C2C" w:rsidRPr="0059729F">
              <w:rPr>
                <w:spacing w:val="-4"/>
                <w:szCs w:val="24"/>
                <w:lang w:val="pt-BR"/>
              </w:rPr>
              <w:t>điểm a</w:t>
            </w:r>
            <w:r w:rsidRPr="0059729F">
              <w:rPr>
                <w:spacing w:val="-4"/>
                <w:szCs w:val="24"/>
                <w:lang w:val="pt-BR"/>
              </w:rPr>
              <w:t>(i) khoản 2 Điều 16) nhằm mục tiêu xác định vi phạm đã được khắc phục xong hay chưa.</w:t>
            </w:r>
          </w:p>
          <w:p w14:paraId="5EC1650B" w14:textId="77777777" w:rsidR="00755E60" w:rsidRPr="0002360B" w:rsidRDefault="00755E60" w:rsidP="00B268EC">
            <w:pPr>
              <w:widowControl w:val="0"/>
              <w:tabs>
                <w:tab w:val="left" w:pos="5670"/>
              </w:tabs>
              <w:spacing w:before="0" w:after="0"/>
              <w:rPr>
                <w:szCs w:val="24"/>
                <w:lang w:val="pt-BR"/>
              </w:rPr>
            </w:pPr>
            <w:r w:rsidRPr="0059729F">
              <w:rPr>
                <w:spacing w:val="-4"/>
                <w:szCs w:val="24"/>
              </w:rPr>
              <w:t xml:space="preserve">Phạm vi của Thông tư này không bao gồm quy định chi tiết về quy trình, thời hạn thực hiện các nhiệm vụ như </w:t>
            </w:r>
            <w:r w:rsidRPr="0059729F">
              <w:rPr>
                <w:spacing w:val="-4"/>
                <w:szCs w:val="24"/>
                <w:lang w:val="pt-BR"/>
              </w:rPr>
              <w:t>theo dõi, đôn đốc, kiểm tra việc thực hiện kết luận, kiến nghị thanh tra hoặc quyết định xử phạt hành chính của cơ quan quản lý có thẩm quyền, do đó việc bổ sung quy định về thời gian phản hồi khắc phục tại DTTT này là không phù hợp.</w:t>
            </w:r>
          </w:p>
        </w:tc>
      </w:tr>
      <w:tr w:rsidR="0002360B" w:rsidRPr="0002360B" w14:paraId="174B3348" w14:textId="77777777" w:rsidTr="00776E98">
        <w:trPr>
          <w:cantSplit/>
        </w:trPr>
        <w:tc>
          <w:tcPr>
            <w:tcW w:w="3828" w:type="dxa"/>
          </w:tcPr>
          <w:p w14:paraId="225D6942"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749BBB40" w14:textId="77777777" w:rsidR="00755E60" w:rsidRPr="0002360B" w:rsidRDefault="00755E60" w:rsidP="00B268EC">
            <w:pPr>
              <w:widowControl w:val="0"/>
              <w:tabs>
                <w:tab w:val="left" w:pos="5670"/>
              </w:tabs>
              <w:spacing w:before="0" w:after="0"/>
              <w:ind w:left="34" w:right="34" w:hanging="1"/>
              <w:jc w:val="left"/>
              <w:rPr>
                <w:szCs w:val="24"/>
                <w:lang w:val="pt-BR"/>
              </w:rPr>
            </w:pPr>
            <w:r w:rsidRPr="0059729F">
              <w:rPr>
                <w:szCs w:val="24"/>
                <w:lang w:val="pt-BR"/>
              </w:rPr>
              <w:t>NHTMCP Lộc Phát Việt Nam</w:t>
            </w:r>
          </w:p>
        </w:tc>
        <w:tc>
          <w:tcPr>
            <w:tcW w:w="5358" w:type="dxa"/>
          </w:tcPr>
          <w:p w14:paraId="156B81E2" w14:textId="77777777" w:rsidR="00755E60" w:rsidRPr="0002360B" w:rsidRDefault="00755E60" w:rsidP="00B268EC">
            <w:pPr>
              <w:widowControl w:val="0"/>
              <w:shd w:val="clear" w:color="auto" w:fill="FFFFFF"/>
              <w:tabs>
                <w:tab w:val="left" w:pos="5670"/>
              </w:tabs>
              <w:spacing w:before="0" w:after="0"/>
              <w:rPr>
                <w:rFonts w:eastAsia="Calibri"/>
                <w:szCs w:val="24"/>
              </w:rPr>
            </w:pPr>
            <w:r w:rsidRPr="0059729F">
              <w:rPr>
                <w:rFonts w:eastAsia="Calibri"/>
                <w:szCs w:val="24"/>
              </w:rPr>
              <w:t>Trên thực tế có những Kết luận thanh tra, kiểm tra ghi nhận nội dung kiến nghị chung chung, không có văn bản xác nhận hoàn thành bằng văn bản nhưng TCTD đã thực hiện khắc phục thì được xem xét như thế nào? LPBank kính đề nghị Quý cơ quan làm rõ vướng mắc trên, cũng như hướng xử lý đối với vướng mắc trên để các TCTD được xác định là đã khắc phục xong.</w:t>
            </w:r>
          </w:p>
          <w:p w14:paraId="586289DA" w14:textId="77777777" w:rsidR="00755E60" w:rsidRPr="0002360B" w:rsidRDefault="00755E60" w:rsidP="00B268EC">
            <w:pPr>
              <w:widowControl w:val="0"/>
              <w:shd w:val="clear" w:color="auto" w:fill="FFFFFF"/>
              <w:tabs>
                <w:tab w:val="left" w:pos="5670"/>
              </w:tabs>
              <w:spacing w:before="0" w:after="0"/>
              <w:rPr>
                <w:rFonts w:eastAsia="Calibri"/>
                <w:szCs w:val="24"/>
              </w:rPr>
            </w:pPr>
            <w:r w:rsidRPr="0059729F">
              <w:rPr>
                <w:rFonts w:eastAsia="Calibri"/>
                <w:szCs w:val="24"/>
              </w:rPr>
              <w:t>Hơn nữa, Dự thảo ghi nhận thời điểm TCTD được xác định là khắc phục xong khi có văn bản xác nhận hoàn thành khắc phục của cơ quan Nhà nước có thẩm quyền. Tuy nhiên, Dự thảo không quy định về thời điểm/thời hạn cơ quan Nhà nước có thẩm quyền ban hành văn bản xác nhận TCTD đã hoàn thành khắc phục. Vì vậy, LPBank kính đề nghị Quý cơ quan bổ sung thời hạn/thời điểm cơ quan Nhà nước có thẩm quyền ban hành văn bản xác nhận đã hoàn thành khắc phục cho các TCTD theo hướng ngay khi TCTD khắc phục được lỗi (một phần hoặc toàn bộ) thì cơ quan Nhà nước có thẩm quyền có trách nhiệm ban hành văn bản xác nhận hoàn thành khắc phục.</w:t>
            </w:r>
          </w:p>
        </w:tc>
        <w:tc>
          <w:tcPr>
            <w:tcW w:w="4252" w:type="dxa"/>
            <w:vMerge/>
          </w:tcPr>
          <w:p w14:paraId="574F465D" w14:textId="77777777" w:rsidR="00755E60" w:rsidRPr="0002360B" w:rsidRDefault="00755E60" w:rsidP="00B268EC">
            <w:pPr>
              <w:widowControl w:val="0"/>
              <w:tabs>
                <w:tab w:val="left" w:pos="5670"/>
              </w:tabs>
              <w:spacing w:before="0" w:after="0"/>
              <w:rPr>
                <w:b/>
                <w:szCs w:val="24"/>
                <w:lang w:val="pt-BR"/>
              </w:rPr>
            </w:pPr>
          </w:p>
        </w:tc>
      </w:tr>
      <w:tr w:rsidR="0002360B" w:rsidRPr="0002360B" w14:paraId="29EC6779" w14:textId="77777777" w:rsidTr="00776E98">
        <w:trPr>
          <w:cantSplit/>
        </w:trPr>
        <w:tc>
          <w:tcPr>
            <w:tcW w:w="3828" w:type="dxa"/>
            <w:vMerge w:val="restart"/>
          </w:tcPr>
          <w:p w14:paraId="3AFB0E4C" w14:textId="77777777" w:rsidR="00755E60" w:rsidRPr="0002360B" w:rsidRDefault="00755E60" w:rsidP="00B268EC">
            <w:pPr>
              <w:widowControl w:val="0"/>
              <w:tabs>
                <w:tab w:val="left" w:pos="5670"/>
              </w:tabs>
              <w:spacing w:before="0" w:after="0"/>
              <w:ind w:right="34" w:hanging="1"/>
              <w:rPr>
                <w:b/>
                <w:szCs w:val="24"/>
                <w:lang w:val="pt-BR"/>
              </w:rPr>
            </w:pPr>
            <w:r w:rsidRPr="0059729F">
              <w:rPr>
                <w:b/>
                <w:szCs w:val="24"/>
                <w:lang w:val="pt-BR"/>
              </w:rPr>
              <w:lastRenderedPageBreak/>
              <w:t>Điểm g khoản 2 Điều 1 DTTT bổ sung khoản 18 Điều 3 Thông tư 52</w:t>
            </w:r>
          </w:p>
          <w:p w14:paraId="4C605BD7" w14:textId="77777777" w:rsidR="00755E60" w:rsidRPr="0002360B" w:rsidRDefault="00755E60" w:rsidP="00B268EC">
            <w:pPr>
              <w:widowControl w:val="0"/>
              <w:tabs>
                <w:tab w:val="left" w:pos="5670"/>
              </w:tabs>
              <w:spacing w:before="0" w:after="0"/>
              <w:ind w:right="34" w:hanging="1"/>
              <w:rPr>
                <w:b/>
                <w:szCs w:val="24"/>
                <w:lang w:val="pt-BR"/>
              </w:rPr>
            </w:pPr>
            <w:r w:rsidRPr="0059729F">
              <w:rPr>
                <w:szCs w:val="24"/>
              </w:rPr>
              <w:t>“</w:t>
            </w:r>
            <w:r w:rsidRPr="0059729F">
              <w:rPr>
                <w:i/>
                <w:szCs w:val="24"/>
              </w:rPr>
              <w:t>18</w:t>
            </w:r>
            <w:r w:rsidRPr="0059729F">
              <w:rPr>
                <w:szCs w:val="24"/>
                <w:lang w:val="vi-VN"/>
              </w:rPr>
              <w:t xml:space="preserve">. </w:t>
            </w:r>
            <w:r w:rsidRPr="0059729F">
              <w:rPr>
                <w:i/>
                <w:szCs w:val="24"/>
                <w:lang w:val="vi-VN"/>
              </w:rPr>
              <w:t xml:space="preserve">Tổng tài sản </w:t>
            </w:r>
            <w:r w:rsidRPr="0059729F">
              <w:rPr>
                <w:i/>
                <w:szCs w:val="24"/>
              </w:rPr>
              <w:t xml:space="preserve">có khác </w:t>
            </w:r>
            <w:r w:rsidRPr="0059729F">
              <w:rPr>
                <w:i/>
                <w:szCs w:val="24"/>
                <w:lang w:val="vi-VN"/>
              </w:rPr>
              <w:t xml:space="preserve">bình quân </w:t>
            </w:r>
            <w:r w:rsidRPr="0059729F">
              <w:rPr>
                <w:szCs w:val="24"/>
                <w:lang w:val="vi-VN"/>
              </w:rPr>
              <w:t xml:space="preserve">là khoản mục tổng tài sản </w:t>
            </w:r>
            <w:r w:rsidRPr="0059729F">
              <w:rPr>
                <w:szCs w:val="24"/>
              </w:rPr>
              <w:t xml:space="preserve">có khác </w:t>
            </w:r>
            <w:r w:rsidRPr="0059729F">
              <w:rPr>
                <w:szCs w:val="24"/>
                <w:lang w:val="vi-VN"/>
              </w:rPr>
              <w:t>phản ánh trên Bảng cân đối kế toán theo quy định của pháp luật về chế độ báo cáo tài chính đối với các tổ chức tín dụng, chi nhánh ngân hàng nước ngoài, được tính bình quân các quý trong năm.</w:t>
            </w:r>
            <w:r w:rsidRPr="0059729F">
              <w:rPr>
                <w:szCs w:val="24"/>
              </w:rPr>
              <w:t>”</w:t>
            </w:r>
          </w:p>
        </w:tc>
        <w:tc>
          <w:tcPr>
            <w:tcW w:w="1730" w:type="dxa"/>
            <w:vAlign w:val="center"/>
          </w:tcPr>
          <w:p w14:paraId="27B025F7" w14:textId="77777777" w:rsidR="00755E60" w:rsidRPr="0002360B" w:rsidRDefault="00755E60" w:rsidP="00B268EC">
            <w:pPr>
              <w:widowControl w:val="0"/>
              <w:tabs>
                <w:tab w:val="left" w:pos="5670"/>
              </w:tabs>
              <w:spacing w:before="0" w:after="0"/>
              <w:ind w:left="34" w:right="-110" w:hanging="1"/>
              <w:jc w:val="left"/>
              <w:rPr>
                <w:szCs w:val="24"/>
                <w:lang w:val="pt-BR"/>
              </w:rPr>
            </w:pPr>
            <w:r w:rsidRPr="0059729F">
              <w:rPr>
                <w:szCs w:val="24"/>
                <w:lang w:val="pt-BR"/>
              </w:rPr>
              <w:t>NHTMCP Quân đội, NHTMCP Ngoại thương Việt Nam, NHTMCP Hàng hải</w:t>
            </w:r>
          </w:p>
        </w:tc>
        <w:tc>
          <w:tcPr>
            <w:tcW w:w="5358" w:type="dxa"/>
          </w:tcPr>
          <w:p w14:paraId="2BAD4CEC" w14:textId="77777777" w:rsidR="00755E60" w:rsidRPr="0002360B" w:rsidRDefault="00755E60" w:rsidP="00B268EC">
            <w:pPr>
              <w:widowControl w:val="0"/>
              <w:shd w:val="clear" w:color="auto" w:fill="FFFFFF"/>
              <w:tabs>
                <w:tab w:val="left" w:pos="5670"/>
              </w:tabs>
              <w:spacing w:before="0" w:after="0"/>
              <w:rPr>
                <w:szCs w:val="24"/>
              </w:rPr>
            </w:pPr>
            <w:r w:rsidRPr="0059729F">
              <w:rPr>
                <w:szCs w:val="24"/>
              </w:rPr>
              <w:t>- Đề xuất điều chỉnh:</w:t>
            </w:r>
          </w:p>
          <w:p w14:paraId="326CCB8F" w14:textId="77777777" w:rsidR="00755E60" w:rsidRPr="0002360B" w:rsidRDefault="00755E60" w:rsidP="00B268EC">
            <w:pPr>
              <w:widowControl w:val="0"/>
              <w:tabs>
                <w:tab w:val="left" w:pos="5670"/>
              </w:tabs>
              <w:spacing w:before="0" w:after="0"/>
              <w:rPr>
                <w:szCs w:val="24"/>
              </w:rPr>
            </w:pPr>
            <w:r w:rsidRPr="0059729F">
              <w:rPr>
                <w:szCs w:val="24"/>
              </w:rPr>
              <w:t xml:space="preserve">“18. </w:t>
            </w:r>
            <w:r w:rsidRPr="0059729F">
              <w:rPr>
                <w:b/>
                <w:bCs/>
                <w:strike/>
                <w:szCs w:val="24"/>
                <w:u w:val="single"/>
              </w:rPr>
              <w:t>Tổng</w:t>
            </w:r>
            <w:r w:rsidRPr="0059729F">
              <w:rPr>
                <w:szCs w:val="24"/>
              </w:rPr>
              <w:t xml:space="preserve"> Tài sản có khác bình quân</w:t>
            </w:r>
            <w:r w:rsidRPr="0059729F">
              <w:rPr>
                <w:i/>
                <w:iCs/>
                <w:szCs w:val="24"/>
              </w:rPr>
              <w:t xml:space="preserve"> </w:t>
            </w:r>
            <w:r w:rsidRPr="0059729F">
              <w:rPr>
                <w:szCs w:val="24"/>
              </w:rPr>
              <w:t xml:space="preserve">là khoản mục </w:t>
            </w:r>
            <w:r w:rsidRPr="0059729F">
              <w:rPr>
                <w:b/>
                <w:bCs/>
                <w:strike/>
                <w:szCs w:val="24"/>
                <w:u w:val="single"/>
              </w:rPr>
              <w:t>tổng</w:t>
            </w:r>
            <w:r w:rsidRPr="0059729F">
              <w:rPr>
                <w:szCs w:val="24"/>
              </w:rPr>
              <w:t xml:space="preserve"> tài sản có khác phản ánh trên Bảng cân đối kế toán theo quy định của pháp luật về chế độ báo cáo tài chính đối với các tổ chức tín dụng, chi nhánh ngân hàng nước ngoài, được tính bình quân các quý trong năm”</w:t>
            </w:r>
          </w:p>
          <w:p w14:paraId="12C9EDEA" w14:textId="77777777" w:rsidR="00755E60" w:rsidRPr="0002360B" w:rsidRDefault="00755E60" w:rsidP="00B268EC">
            <w:pPr>
              <w:widowControl w:val="0"/>
              <w:tabs>
                <w:tab w:val="left" w:pos="5670"/>
              </w:tabs>
              <w:spacing w:before="0" w:after="0"/>
              <w:rPr>
                <w:szCs w:val="24"/>
              </w:rPr>
            </w:pPr>
            <w:r w:rsidRPr="0059729F">
              <w:rPr>
                <w:szCs w:val="24"/>
              </w:rPr>
              <w:t>- Để thống nhất về mặt thuật ngữ, đề xuất Cơ quan soạn thảo làm rõ 02 khái niệm: “</w:t>
            </w:r>
            <w:r w:rsidRPr="0059729F">
              <w:rPr>
                <w:b/>
                <w:bCs/>
                <w:szCs w:val="24"/>
                <w:u w:val="single"/>
                <w:lang w:val="vi-VN"/>
              </w:rPr>
              <w:t xml:space="preserve">Tổng tài sản </w:t>
            </w:r>
            <w:r w:rsidRPr="0059729F">
              <w:rPr>
                <w:b/>
                <w:bCs/>
                <w:szCs w:val="24"/>
                <w:u w:val="single"/>
              </w:rPr>
              <w:t xml:space="preserve">có khác </w:t>
            </w:r>
            <w:r w:rsidRPr="0059729F">
              <w:rPr>
                <w:b/>
                <w:bCs/>
                <w:szCs w:val="24"/>
                <w:u w:val="single"/>
                <w:lang w:val="vi-VN"/>
              </w:rPr>
              <w:t>bình quân</w:t>
            </w:r>
            <w:r w:rsidRPr="0059729F">
              <w:rPr>
                <w:szCs w:val="24"/>
              </w:rPr>
              <w:t>” (tại Khoản 18 Điều 3 Dự thảo) và “</w:t>
            </w:r>
            <w:r w:rsidRPr="0059729F">
              <w:rPr>
                <w:b/>
                <w:bCs/>
                <w:szCs w:val="24"/>
                <w:u w:val="single"/>
              </w:rPr>
              <w:t>Tỷ lệ tài sản có khác bình quân</w:t>
            </w:r>
            <w:r w:rsidRPr="0059729F">
              <w:rPr>
                <w:szCs w:val="24"/>
              </w:rPr>
              <w:t>” (tại Điểm i Khoản 1 Điều 8 Dự thảo) có phải cùng một nội hàm không?</w:t>
            </w:r>
          </w:p>
        </w:tc>
        <w:tc>
          <w:tcPr>
            <w:tcW w:w="4252" w:type="dxa"/>
            <w:vMerge w:val="restart"/>
          </w:tcPr>
          <w:p w14:paraId="67B8EFFD" w14:textId="77777777" w:rsidR="00755E60" w:rsidRPr="0002360B" w:rsidRDefault="00755E60" w:rsidP="00B268EC">
            <w:pPr>
              <w:widowControl w:val="0"/>
              <w:tabs>
                <w:tab w:val="left" w:pos="5670"/>
              </w:tabs>
              <w:spacing w:before="0" w:after="0"/>
              <w:ind w:left="34" w:hanging="1"/>
              <w:rPr>
                <w:b/>
                <w:szCs w:val="24"/>
              </w:rPr>
            </w:pPr>
            <w:r w:rsidRPr="0059729F">
              <w:rPr>
                <w:b/>
                <w:szCs w:val="24"/>
              </w:rPr>
              <w:t>Tiếp thu</w:t>
            </w:r>
          </w:p>
          <w:p w14:paraId="3CDBAFC7" w14:textId="77777777" w:rsidR="00755E60" w:rsidRPr="0002360B" w:rsidRDefault="00755E60" w:rsidP="00B268EC">
            <w:pPr>
              <w:widowControl w:val="0"/>
              <w:tabs>
                <w:tab w:val="left" w:pos="5670"/>
              </w:tabs>
              <w:spacing w:before="0" w:after="0"/>
              <w:ind w:left="34" w:hanging="1"/>
              <w:rPr>
                <w:szCs w:val="24"/>
              </w:rPr>
            </w:pPr>
            <w:r w:rsidRPr="0059729F">
              <w:rPr>
                <w:szCs w:val="24"/>
              </w:rPr>
              <w:t>- Việc bổ sung đánh giá khoản mục tài sản có khác nhằm đánh giá bao quát hơn các khoản mục thuộc Tài sản.</w:t>
            </w:r>
          </w:p>
          <w:p w14:paraId="52F32A3A" w14:textId="77777777" w:rsidR="00755E60" w:rsidRPr="0002360B" w:rsidRDefault="00755E60" w:rsidP="00B268EC">
            <w:pPr>
              <w:widowControl w:val="0"/>
              <w:tabs>
                <w:tab w:val="left" w:pos="5670"/>
              </w:tabs>
              <w:spacing w:before="0" w:after="0"/>
              <w:ind w:left="34" w:hanging="1"/>
              <w:rPr>
                <w:szCs w:val="24"/>
              </w:rPr>
            </w:pPr>
            <w:r w:rsidRPr="0059729F">
              <w:rPr>
                <w:szCs w:val="24"/>
              </w:rPr>
              <w:t>- Đơn vị soạn thảo đã rà soát và chỉnh sửa lại DTTT để thống nhất về mặt thuật ngữ, đồng thời phù hợp với quy định tại khoản 11 Điều 1 Thông tư số 27/2021/TT-NHNN ngày 31/12/2021 sửa đổi, bổ sung một số điều của Hệ thống tài khoản kế toán các tổ chức tín dụng ban hành kèm theo Quyết định số 479/2004/QĐ-NHNN ngày 29/04/2004 và Chế độ báo cáo tài chính đối với các tổ chức tín dụng ban hành kèm theo Quyết định số 16/2007/QĐ-NHNN ngày 18/04/2007 của Thống đốc Ngân hàng Nhà nước Việt Nam.</w:t>
            </w:r>
          </w:p>
          <w:p w14:paraId="55A7D11B" w14:textId="77777777" w:rsidR="00755E60" w:rsidRPr="0002360B" w:rsidRDefault="00755E60" w:rsidP="00B268EC">
            <w:pPr>
              <w:widowControl w:val="0"/>
              <w:tabs>
                <w:tab w:val="left" w:pos="5670"/>
              </w:tabs>
              <w:spacing w:before="0" w:after="0"/>
              <w:ind w:left="34" w:hanging="1"/>
              <w:rPr>
                <w:szCs w:val="24"/>
              </w:rPr>
            </w:pPr>
            <w:r w:rsidRPr="0059729F">
              <w:rPr>
                <w:szCs w:val="24"/>
              </w:rPr>
              <w:t>“</w:t>
            </w:r>
            <w:r w:rsidRPr="0059729F">
              <w:rPr>
                <w:i/>
                <w:szCs w:val="24"/>
              </w:rPr>
              <w:t>18</w:t>
            </w:r>
            <w:r w:rsidRPr="0059729F">
              <w:rPr>
                <w:szCs w:val="24"/>
                <w:lang w:val="vi-VN"/>
              </w:rPr>
              <w:t xml:space="preserve">. </w:t>
            </w:r>
            <w:r w:rsidRPr="0059729F">
              <w:rPr>
                <w:i/>
                <w:szCs w:val="24"/>
                <w:lang w:val="vi-VN"/>
              </w:rPr>
              <w:t xml:space="preserve">Tài sản </w:t>
            </w:r>
            <w:r w:rsidRPr="0059729F">
              <w:rPr>
                <w:i/>
                <w:szCs w:val="24"/>
              </w:rPr>
              <w:t xml:space="preserve">có khác </w:t>
            </w:r>
            <w:r w:rsidRPr="0059729F">
              <w:rPr>
                <w:i/>
                <w:szCs w:val="24"/>
                <w:lang w:val="vi-VN"/>
              </w:rPr>
              <w:t xml:space="preserve">bình quân </w:t>
            </w:r>
            <w:r w:rsidRPr="0059729F">
              <w:rPr>
                <w:szCs w:val="24"/>
                <w:lang w:val="vi-VN"/>
              </w:rPr>
              <w:t xml:space="preserve">là khoản mục </w:t>
            </w:r>
            <w:r w:rsidRPr="0059729F">
              <w:rPr>
                <w:szCs w:val="24"/>
              </w:rPr>
              <w:t>T</w:t>
            </w:r>
            <w:r w:rsidRPr="0059729F">
              <w:rPr>
                <w:szCs w:val="24"/>
                <w:lang w:val="vi-VN"/>
              </w:rPr>
              <w:t xml:space="preserve">ài sản </w:t>
            </w:r>
            <w:r w:rsidRPr="0059729F">
              <w:rPr>
                <w:szCs w:val="24"/>
              </w:rPr>
              <w:t xml:space="preserve">Có khác </w:t>
            </w:r>
            <w:r w:rsidRPr="0059729F">
              <w:rPr>
                <w:szCs w:val="24"/>
                <w:lang w:val="vi-VN"/>
              </w:rPr>
              <w:t xml:space="preserve">phản ánh </w:t>
            </w:r>
            <w:r w:rsidRPr="0059729F">
              <w:rPr>
                <w:szCs w:val="24"/>
              </w:rPr>
              <w:t xml:space="preserve">tại khoản mục XII- Tài sản Có khác </w:t>
            </w:r>
            <w:r w:rsidRPr="0059729F">
              <w:rPr>
                <w:szCs w:val="24"/>
                <w:lang w:val="vi-VN"/>
              </w:rPr>
              <w:t xml:space="preserve">trên </w:t>
            </w:r>
            <w:r w:rsidRPr="0059729F">
              <w:rPr>
                <w:szCs w:val="24"/>
              </w:rPr>
              <w:t>Báo cáo tình hình tài chính</w:t>
            </w:r>
            <w:r w:rsidRPr="0059729F">
              <w:rPr>
                <w:szCs w:val="24"/>
                <w:lang w:val="vi-VN"/>
              </w:rPr>
              <w:t xml:space="preserve"> theo quy định của pháp luật về chế độ báo cáo tài chính đối với các tổ chức tín dụng, chi nhánh ngân hàng nước ngoài, được tính bình quân các quý trong năm.</w:t>
            </w:r>
            <w:r w:rsidRPr="0059729F">
              <w:rPr>
                <w:szCs w:val="24"/>
              </w:rPr>
              <w:t>”</w:t>
            </w:r>
          </w:p>
          <w:p w14:paraId="220DD114" w14:textId="77777777" w:rsidR="00755E60" w:rsidRPr="0002360B" w:rsidRDefault="00755E60" w:rsidP="00B268EC">
            <w:pPr>
              <w:widowControl w:val="0"/>
              <w:tabs>
                <w:tab w:val="left" w:pos="5670"/>
              </w:tabs>
              <w:spacing w:before="0" w:after="0"/>
              <w:ind w:left="34" w:hanging="1"/>
              <w:rPr>
                <w:szCs w:val="24"/>
              </w:rPr>
            </w:pPr>
            <w:r w:rsidRPr="0059729F">
              <w:rPr>
                <w:szCs w:val="24"/>
              </w:rPr>
              <w:t>- Đồng thời, sửa cụm từ “Bảng cân đối kế toán” thành “Báo cáo tình hình tài chính”, “Báo cáo kết quả hoạt động kinh doanh” thành “Báo cáo kết quả hoạt động” tại các nội dung liên quan tại DTTT.</w:t>
            </w:r>
          </w:p>
          <w:p w14:paraId="071A9EB2" w14:textId="77777777" w:rsidR="00755E60" w:rsidRPr="0002360B" w:rsidRDefault="00755E60" w:rsidP="00B268EC">
            <w:pPr>
              <w:widowControl w:val="0"/>
              <w:tabs>
                <w:tab w:val="left" w:pos="5670"/>
              </w:tabs>
              <w:spacing w:before="0" w:after="0"/>
              <w:ind w:left="34" w:hanging="1"/>
              <w:rPr>
                <w:szCs w:val="24"/>
              </w:rPr>
            </w:pPr>
          </w:p>
          <w:p w14:paraId="2346CF82" w14:textId="77777777" w:rsidR="00755E60" w:rsidRPr="0002360B" w:rsidRDefault="00755E60" w:rsidP="00B268EC">
            <w:pPr>
              <w:widowControl w:val="0"/>
              <w:tabs>
                <w:tab w:val="left" w:pos="5670"/>
              </w:tabs>
              <w:spacing w:before="0" w:after="0"/>
              <w:ind w:left="34" w:hanging="1"/>
              <w:rPr>
                <w:szCs w:val="24"/>
                <w:lang w:val="pt-BR"/>
              </w:rPr>
            </w:pPr>
          </w:p>
          <w:p w14:paraId="6E937495"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10011C04" w14:textId="77777777" w:rsidTr="00776E98">
        <w:trPr>
          <w:cantSplit/>
        </w:trPr>
        <w:tc>
          <w:tcPr>
            <w:tcW w:w="3828" w:type="dxa"/>
            <w:vMerge/>
          </w:tcPr>
          <w:p w14:paraId="6D4A63CC" w14:textId="77777777" w:rsidR="00755E60" w:rsidRPr="0002360B" w:rsidRDefault="00755E60" w:rsidP="00B268EC">
            <w:pPr>
              <w:widowControl w:val="0"/>
              <w:tabs>
                <w:tab w:val="left" w:pos="5670"/>
              </w:tabs>
              <w:spacing w:before="0" w:after="0"/>
              <w:ind w:right="34" w:hanging="1"/>
              <w:rPr>
                <w:b/>
                <w:szCs w:val="24"/>
                <w:lang w:val="pt-BR"/>
              </w:rPr>
            </w:pPr>
          </w:p>
        </w:tc>
        <w:tc>
          <w:tcPr>
            <w:tcW w:w="1730" w:type="dxa"/>
            <w:vAlign w:val="center"/>
          </w:tcPr>
          <w:p w14:paraId="59E376F4" w14:textId="77777777" w:rsidR="00755E60" w:rsidRPr="0002360B" w:rsidRDefault="00755E60" w:rsidP="00B268EC">
            <w:pPr>
              <w:widowControl w:val="0"/>
              <w:tabs>
                <w:tab w:val="left" w:pos="5670"/>
              </w:tabs>
              <w:spacing w:before="0" w:after="0"/>
              <w:ind w:left="34" w:right="-110" w:hanging="1"/>
              <w:jc w:val="left"/>
              <w:rPr>
                <w:szCs w:val="24"/>
                <w:lang w:val="pt-BR"/>
              </w:rPr>
            </w:pPr>
            <w:r w:rsidRPr="0059729F">
              <w:rPr>
                <w:szCs w:val="24"/>
                <w:lang w:val="pt-BR"/>
              </w:rPr>
              <w:t>NHTMCP Kỹ thương Việt Nam</w:t>
            </w:r>
          </w:p>
        </w:tc>
        <w:tc>
          <w:tcPr>
            <w:tcW w:w="5358" w:type="dxa"/>
          </w:tcPr>
          <w:p w14:paraId="06575393" w14:textId="77777777" w:rsidR="00755E60" w:rsidRPr="0002360B" w:rsidRDefault="00755E60" w:rsidP="00B268EC">
            <w:pPr>
              <w:widowControl w:val="0"/>
              <w:shd w:val="clear" w:color="auto" w:fill="FFFFFF"/>
              <w:tabs>
                <w:tab w:val="left" w:pos="5670"/>
              </w:tabs>
              <w:spacing w:before="0" w:after="0"/>
              <w:rPr>
                <w:szCs w:val="24"/>
              </w:rPr>
            </w:pPr>
            <w:r w:rsidRPr="0059729F">
              <w:rPr>
                <w:szCs w:val="24"/>
              </w:rPr>
              <w:t>Đề nghị NHNN nghiên cứu, chỉnh sửa lại chỉ tiêu này vì: cách lấy số liệu chỉ tiêu không phù hợp với mục tiêu quản lý mức độ tập trung vào các loại tài sản khác và không phản ánh đúng bản chất rủi ro của từng loại tài sản có khác cũng như bản chất nghiệp vụ phát sinh tài sản có khác. Đồng thời, việc quy định như tại DTTT sẽ hạn chế TCTD phát triển một số nghiệp vụ hỗ trợ khách hàng ngoài tín dụng (như các nghiệp vụ hỗ trợ ngoài tín dụng trong thanh toán quốc tế). Điều này là không phù hợp với mục tiêu chung trong Chiến lược phát triển ngành ngân hàng đến 2030 theo hướng tăng dần tỷ trọng từ hoạt động phi tín dụng/tổng thu nhập của các ngân hàng thương mại, phấn đấu đến cuối năm 2025 tăng tỷ trọng này lên 16-17%.</w:t>
            </w:r>
          </w:p>
          <w:p w14:paraId="5F2DD537" w14:textId="77777777" w:rsidR="00755E60" w:rsidRPr="0002360B" w:rsidRDefault="00755E60" w:rsidP="00B268EC">
            <w:pPr>
              <w:widowControl w:val="0"/>
              <w:shd w:val="clear" w:color="auto" w:fill="FFFFFF"/>
              <w:tabs>
                <w:tab w:val="left" w:pos="5670"/>
              </w:tabs>
              <w:spacing w:before="0" w:after="0"/>
              <w:rPr>
                <w:szCs w:val="24"/>
              </w:rPr>
            </w:pPr>
            <w:r w:rsidRPr="0059729F">
              <w:rPr>
                <w:szCs w:val="24"/>
              </w:rPr>
              <w:t>Đề nghị NHNN nghiên cứu, xem xét giới hạn phạm vi xác định tài sản có khác khi tính chỉ tiêu này theo hướng quy định tài sản có khác bao gồm các tài sản có phát sinh từ những nghiệp vụ tiềm ẩn rủi ro như nghiệp vụ bán nợ chưa thu tiền…</w:t>
            </w:r>
          </w:p>
        </w:tc>
        <w:tc>
          <w:tcPr>
            <w:tcW w:w="4252" w:type="dxa"/>
            <w:vMerge/>
          </w:tcPr>
          <w:p w14:paraId="7C597C43" w14:textId="77777777" w:rsidR="00755E60" w:rsidRPr="0002360B" w:rsidRDefault="00755E60" w:rsidP="00B268EC">
            <w:pPr>
              <w:widowControl w:val="0"/>
              <w:tabs>
                <w:tab w:val="left" w:pos="5670"/>
              </w:tabs>
              <w:spacing w:before="0" w:after="0"/>
              <w:ind w:left="-41"/>
              <w:rPr>
                <w:b/>
                <w:szCs w:val="24"/>
              </w:rPr>
            </w:pPr>
          </w:p>
        </w:tc>
      </w:tr>
      <w:tr w:rsidR="0002360B" w:rsidRPr="0002360B" w14:paraId="3160F719" w14:textId="77777777" w:rsidTr="00776E98">
        <w:trPr>
          <w:cantSplit/>
          <w:trHeight w:val="1017"/>
        </w:trPr>
        <w:tc>
          <w:tcPr>
            <w:tcW w:w="3828" w:type="dxa"/>
            <w:vMerge/>
          </w:tcPr>
          <w:p w14:paraId="159C7ABB" w14:textId="77777777" w:rsidR="00755E60" w:rsidRPr="0002360B" w:rsidRDefault="00755E60" w:rsidP="00B268EC">
            <w:pPr>
              <w:widowControl w:val="0"/>
              <w:tabs>
                <w:tab w:val="left" w:pos="5670"/>
              </w:tabs>
              <w:spacing w:before="0" w:after="0"/>
              <w:rPr>
                <w:b/>
                <w:szCs w:val="24"/>
                <w:lang w:val="pt-BR"/>
              </w:rPr>
            </w:pPr>
          </w:p>
        </w:tc>
        <w:tc>
          <w:tcPr>
            <w:tcW w:w="1730" w:type="dxa"/>
          </w:tcPr>
          <w:p w14:paraId="2F1D1108" w14:textId="77777777" w:rsidR="00755E60" w:rsidRPr="0002360B" w:rsidRDefault="00755E60" w:rsidP="00B268EC">
            <w:pPr>
              <w:widowControl w:val="0"/>
              <w:tabs>
                <w:tab w:val="left" w:pos="5670"/>
              </w:tabs>
              <w:spacing w:before="0" w:after="0"/>
              <w:jc w:val="left"/>
              <w:rPr>
                <w:szCs w:val="24"/>
                <w:lang w:val="pt-BR"/>
              </w:rPr>
            </w:pPr>
            <w:r w:rsidRPr="0059729F">
              <w:rPr>
                <w:szCs w:val="24"/>
                <w:lang w:val="pt-BR"/>
              </w:rPr>
              <w:t>NHTMCP Thịnh vượng và Phát triển</w:t>
            </w:r>
          </w:p>
          <w:p w14:paraId="0923231F" w14:textId="77777777" w:rsidR="00755E60" w:rsidRPr="0002360B" w:rsidRDefault="00755E60" w:rsidP="00B268EC">
            <w:pPr>
              <w:widowControl w:val="0"/>
              <w:tabs>
                <w:tab w:val="left" w:pos="5670"/>
              </w:tabs>
              <w:spacing w:before="0" w:after="0"/>
              <w:jc w:val="left"/>
              <w:rPr>
                <w:szCs w:val="24"/>
                <w:lang w:val="pt-BR"/>
              </w:rPr>
            </w:pPr>
          </w:p>
        </w:tc>
        <w:tc>
          <w:tcPr>
            <w:tcW w:w="5358" w:type="dxa"/>
          </w:tcPr>
          <w:p w14:paraId="24070D1E" w14:textId="77777777" w:rsidR="00755E60" w:rsidRPr="0002360B" w:rsidRDefault="00755E60" w:rsidP="00B268EC">
            <w:pPr>
              <w:widowControl w:val="0"/>
              <w:tabs>
                <w:tab w:val="left" w:pos="5670"/>
              </w:tabs>
              <w:spacing w:before="0" w:after="0"/>
              <w:rPr>
                <w:szCs w:val="24"/>
              </w:rPr>
            </w:pPr>
            <w:r w:rsidRPr="0059729F">
              <w:rPr>
                <w:spacing w:val="3"/>
                <w:szCs w:val="24"/>
                <w:shd w:val="clear" w:color="auto" w:fill="FFFFFF"/>
                <w:lang w:val="vi-VN"/>
              </w:rPr>
              <w:t>PGBank đề xuất Ngân hàng Nhà nước Việt Nam làm rõ “tổng tài sản có khác phản ánh trên Bảng cân đối tài khoản kế toán” ở đây có bao gồm dự phòng rủi ro không?</w:t>
            </w:r>
          </w:p>
        </w:tc>
        <w:tc>
          <w:tcPr>
            <w:tcW w:w="4252" w:type="dxa"/>
            <w:vMerge/>
          </w:tcPr>
          <w:p w14:paraId="3D8EFBDC"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6EABFB23" w14:textId="77777777" w:rsidTr="00776E98">
        <w:trPr>
          <w:cantSplit/>
        </w:trPr>
        <w:tc>
          <w:tcPr>
            <w:tcW w:w="3828" w:type="dxa"/>
            <w:vMerge/>
          </w:tcPr>
          <w:p w14:paraId="6FF43B31" w14:textId="77777777" w:rsidR="00755E60" w:rsidRPr="0002360B" w:rsidRDefault="00755E60" w:rsidP="00B268EC">
            <w:pPr>
              <w:widowControl w:val="0"/>
              <w:tabs>
                <w:tab w:val="left" w:pos="5670"/>
              </w:tabs>
              <w:spacing w:before="0" w:after="0"/>
              <w:rPr>
                <w:b/>
                <w:szCs w:val="24"/>
                <w:lang w:val="pt-BR"/>
              </w:rPr>
            </w:pPr>
          </w:p>
        </w:tc>
        <w:tc>
          <w:tcPr>
            <w:tcW w:w="1730" w:type="dxa"/>
            <w:vAlign w:val="center"/>
          </w:tcPr>
          <w:p w14:paraId="078FC116" w14:textId="77777777" w:rsidR="00755E60" w:rsidRPr="0002360B" w:rsidRDefault="00755E60" w:rsidP="00B268EC">
            <w:pPr>
              <w:widowControl w:val="0"/>
              <w:tabs>
                <w:tab w:val="left" w:pos="5670"/>
              </w:tabs>
              <w:spacing w:before="0" w:after="0"/>
              <w:jc w:val="left"/>
              <w:rPr>
                <w:szCs w:val="24"/>
                <w:lang w:val="pt-BR"/>
              </w:rPr>
            </w:pPr>
            <w:r w:rsidRPr="0059729F">
              <w:rPr>
                <w:szCs w:val="24"/>
              </w:rPr>
              <w:t>NH Hợp tác xã</w:t>
            </w:r>
          </w:p>
        </w:tc>
        <w:tc>
          <w:tcPr>
            <w:tcW w:w="5358" w:type="dxa"/>
            <w:vAlign w:val="center"/>
          </w:tcPr>
          <w:p w14:paraId="30EF2D41" w14:textId="77777777" w:rsidR="00755E60" w:rsidRPr="0059729F" w:rsidRDefault="00755E60" w:rsidP="00B268EC">
            <w:pPr>
              <w:widowControl w:val="0"/>
              <w:tabs>
                <w:tab w:val="left" w:pos="5670"/>
              </w:tabs>
              <w:spacing w:before="0" w:after="0"/>
              <w:rPr>
                <w:szCs w:val="24"/>
              </w:rPr>
            </w:pPr>
            <w:r w:rsidRPr="0059729F">
              <w:rPr>
                <w:szCs w:val="24"/>
              </w:rPr>
              <w:t>- Tại điểm g) khoản 2 Điều 1, đề nghị sửa đổi, bổ sung như sau: “g) Bổ sung khoản 18 Điều 3 như sau:</w:t>
            </w:r>
            <w:r w:rsidRPr="0059729F">
              <w:rPr>
                <w:szCs w:val="24"/>
              </w:rPr>
              <w:br/>
              <w:t xml:space="preserve">18. Tổng tài sản có khác bình quân là khoản mục tổng tài sản có khác phản ánh trên </w:t>
            </w:r>
            <w:r w:rsidRPr="0059729F">
              <w:rPr>
                <w:strike/>
                <w:szCs w:val="24"/>
              </w:rPr>
              <w:t xml:space="preserve">Bảng cân đối kế toán </w:t>
            </w:r>
            <w:r w:rsidRPr="0059729F">
              <w:rPr>
                <w:szCs w:val="24"/>
              </w:rPr>
              <w:t>Báo cáo tình hình tài chính theo quy định của pháp luật về chế độ báo cáo tài chính đối với các tổ chức tín dụng, chi nhánh ngân hàng nước ngoài, được tính bình quân các quý trong năm.”</w:t>
            </w:r>
          </w:p>
          <w:p w14:paraId="62A7DC4B" w14:textId="77777777" w:rsidR="00755E60" w:rsidRPr="0059729F" w:rsidRDefault="00755E60" w:rsidP="00B268EC">
            <w:pPr>
              <w:widowControl w:val="0"/>
              <w:tabs>
                <w:tab w:val="left" w:pos="5670"/>
              </w:tabs>
              <w:spacing w:before="0" w:after="0"/>
              <w:rPr>
                <w:szCs w:val="24"/>
              </w:rPr>
            </w:pPr>
            <w:r w:rsidRPr="0059729F">
              <w:rPr>
                <w:szCs w:val="24"/>
              </w:rPr>
              <w:t>Đồng thời, đề nghị thay thế cụm từ “Bảng cân đối kế toán” bằng cụm từ “Báo cáo tình hình tài chính” tại khoản 8, khoản 9, khoản 10, khoản 15 Điều 3 Thông tư số 52/2018/TT-NHNN.</w:t>
            </w:r>
          </w:p>
          <w:p w14:paraId="5CBB269A" w14:textId="77777777" w:rsidR="00755E60" w:rsidRPr="0059729F" w:rsidRDefault="00755E60" w:rsidP="00B268EC">
            <w:pPr>
              <w:widowControl w:val="0"/>
              <w:tabs>
                <w:tab w:val="left" w:pos="5670"/>
              </w:tabs>
              <w:spacing w:before="0" w:after="0"/>
              <w:rPr>
                <w:szCs w:val="24"/>
              </w:rPr>
            </w:pPr>
            <w:r w:rsidRPr="0059729F">
              <w:rPr>
                <w:szCs w:val="24"/>
              </w:rPr>
              <w:t>Lý do: Căn cứ quy định tại khoản 11 Điều 1 Thông tư số 27/2021/TT-NHNN ngày 31/12/2021 sửa đổi, bổ sung một số điều của Hệ thống tài khoản kế toán các tổ chức tín dụng ban hành kèm theo Quyết định số 479/2004/QĐ-NHNN ngày 29/04/2004 và Chế độ báo cáo tài chính đối với các tổ chức tín dụng ban hành kèm theo Quyết định số 16/2007/QĐ-NHNN ngày 18/04/2007 của Thống đốc NHNNVN.</w:t>
            </w:r>
          </w:p>
          <w:p w14:paraId="12C4B75E" w14:textId="77777777" w:rsidR="00755E60" w:rsidRPr="0002360B" w:rsidRDefault="00755E60" w:rsidP="00B268EC">
            <w:pPr>
              <w:widowControl w:val="0"/>
              <w:tabs>
                <w:tab w:val="left" w:pos="5670"/>
              </w:tabs>
              <w:spacing w:before="0" w:after="0"/>
              <w:rPr>
                <w:spacing w:val="3"/>
                <w:szCs w:val="24"/>
                <w:shd w:val="clear" w:color="auto" w:fill="FFFFFF"/>
                <w:lang w:val="vi-VN"/>
              </w:rPr>
            </w:pPr>
            <w:r w:rsidRPr="0059729F">
              <w:rPr>
                <w:szCs w:val="24"/>
              </w:rPr>
              <w:t>- Tương tự, tại khoản 6, khoản 7, khoản 10, khoản 11 Điều 3 Thông tư 52/2018/TT-NHNN, đề nghị thay thế cụm từ “Báo cáo kết quả hoạt động kinh doanh” bằng cụm từ “Báo cáo kết quả hoạt động”.</w:t>
            </w:r>
          </w:p>
        </w:tc>
        <w:tc>
          <w:tcPr>
            <w:tcW w:w="4252" w:type="dxa"/>
            <w:vMerge/>
          </w:tcPr>
          <w:p w14:paraId="1FBB4753"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663611A2" w14:textId="77777777" w:rsidTr="00776E98">
        <w:trPr>
          <w:cantSplit/>
          <w:trHeight w:val="1279"/>
        </w:trPr>
        <w:tc>
          <w:tcPr>
            <w:tcW w:w="3828" w:type="dxa"/>
          </w:tcPr>
          <w:p w14:paraId="56CE7290" w14:textId="77777777" w:rsidR="00755E60" w:rsidRPr="0002360B" w:rsidRDefault="00755E60" w:rsidP="00B268EC">
            <w:pPr>
              <w:widowControl w:val="0"/>
              <w:tabs>
                <w:tab w:val="left" w:pos="5670"/>
              </w:tabs>
              <w:spacing w:before="0" w:after="0"/>
              <w:rPr>
                <w:b/>
                <w:szCs w:val="24"/>
                <w:lang w:val="pt-BR"/>
              </w:rPr>
            </w:pPr>
          </w:p>
        </w:tc>
        <w:tc>
          <w:tcPr>
            <w:tcW w:w="1730" w:type="dxa"/>
            <w:vAlign w:val="center"/>
          </w:tcPr>
          <w:p w14:paraId="490DDA19" w14:textId="77777777" w:rsidR="00755E60" w:rsidRPr="0059729F" w:rsidRDefault="00755E60" w:rsidP="00B268EC">
            <w:pPr>
              <w:widowControl w:val="0"/>
              <w:tabs>
                <w:tab w:val="left" w:pos="5670"/>
              </w:tabs>
              <w:spacing w:before="0" w:after="0"/>
              <w:jc w:val="left"/>
              <w:rPr>
                <w:szCs w:val="24"/>
              </w:rPr>
            </w:pPr>
            <w:r w:rsidRPr="0059729F">
              <w:rPr>
                <w:szCs w:val="24"/>
              </w:rPr>
              <w:t>SUMITOMO  HN (SMBC HN)</w:t>
            </w:r>
          </w:p>
        </w:tc>
        <w:tc>
          <w:tcPr>
            <w:tcW w:w="5358" w:type="dxa"/>
            <w:vAlign w:val="center"/>
          </w:tcPr>
          <w:p w14:paraId="3374DE7A" w14:textId="77777777" w:rsidR="00755E60" w:rsidRPr="0059729F" w:rsidRDefault="00755E60" w:rsidP="00B268EC">
            <w:pPr>
              <w:widowControl w:val="0"/>
              <w:tabs>
                <w:tab w:val="left" w:pos="5670"/>
              </w:tabs>
              <w:spacing w:before="0" w:after="0"/>
              <w:rPr>
                <w:szCs w:val="24"/>
              </w:rPr>
            </w:pPr>
            <w:r w:rsidRPr="0059729F">
              <w:rPr>
                <w:szCs w:val="24"/>
              </w:rPr>
              <w:t xml:space="preserve">• Tên gọi các mẫu biểu “Bảng cân đối kế toán”, “Báo cáo kết quả hoạt động kinh doanh” hiện đã được thay đổi thành “Báo cáo tình hình tài chính” và “Báo cáo kết quả hoạt động” theo Thông tư 27/2021/TT-NHNN. </w:t>
            </w:r>
          </w:p>
        </w:tc>
        <w:tc>
          <w:tcPr>
            <w:tcW w:w="4252" w:type="dxa"/>
            <w:vMerge/>
          </w:tcPr>
          <w:p w14:paraId="2587CFA7"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023AE8A5" w14:textId="77777777" w:rsidTr="00776E98">
        <w:trPr>
          <w:cantSplit/>
        </w:trPr>
        <w:tc>
          <w:tcPr>
            <w:tcW w:w="3828" w:type="dxa"/>
          </w:tcPr>
          <w:p w14:paraId="434F5722" w14:textId="77777777" w:rsidR="00755E60" w:rsidRPr="0002360B" w:rsidRDefault="00755E60" w:rsidP="00B268EC">
            <w:pPr>
              <w:widowControl w:val="0"/>
              <w:tabs>
                <w:tab w:val="left" w:pos="5670"/>
              </w:tabs>
              <w:spacing w:before="0" w:after="0"/>
              <w:rPr>
                <w:b/>
                <w:szCs w:val="24"/>
                <w:lang w:val="pt-BR"/>
              </w:rPr>
            </w:pPr>
          </w:p>
        </w:tc>
        <w:tc>
          <w:tcPr>
            <w:tcW w:w="1730" w:type="dxa"/>
          </w:tcPr>
          <w:p w14:paraId="55CE80AD" w14:textId="77777777" w:rsidR="00755E60" w:rsidRPr="0059729F" w:rsidRDefault="00755E60" w:rsidP="00B268EC">
            <w:pPr>
              <w:widowControl w:val="0"/>
              <w:tabs>
                <w:tab w:val="left" w:pos="5670"/>
              </w:tabs>
              <w:spacing w:before="0" w:after="0"/>
              <w:jc w:val="left"/>
              <w:rPr>
                <w:szCs w:val="24"/>
              </w:rPr>
            </w:pPr>
            <w:r w:rsidRPr="0059729F">
              <w:rPr>
                <w:szCs w:val="24"/>
                <w:lang w:val="pt-BR"/>
              </w:rPr>
              <w:t>NH Shinhan VN</w:t>
            </w:r>
          </w:p>
        </w:tc>
        <w:tc>
          <w:tcPr>
            <w:tcW w:w="5358" w:type="dxa"/>
          </w:tcPr>
          <w:p w14:paraId="6E2B5811" w14:textId="77777777" w:rsidR="00755E60" w:rsidRPr="0002360B" w:rsidRDefault="00755E60" w:rsidP="00B268EC">
            <w:pPr>
              <w:widowControl w:val="0"/>
              <w:tabs>
                <w:tab w:val="left" w:pos="5670"/>
              </w:tabs>
              <w:spacing w:before="0" w:after="0"/>
              <w:rPr>
                <w:spacing w:val="3"/>
                <w:szCs w:val="24"/>
                <w:shd w:val="clear" w:color="auto" w:fill="FFFFFF"/>
              </w:rPr>
            </w:pPr>
            <w:r w:rsidRPr="0059729F">
              <w:rPr>
                <w:spacing w:val="3"/>
                <w:szCs w:val="24"/>
                <w:shd w:val="clear" w:color="auto" w:fill="FFFFFF"/>
              </w:rPr>
              <w:t>Đề nghị NHNN cân nhắc sửa đổi, bổ sung quy định về xác định “Tổng tài sản có khác bình quân” theo hướng loại trừ các khoản phải thu đối với Chính phủ, NHNN được phản ánh trên khoản mục tổng tài sản có khác trên Bảng cân đối kế toán.</w:t>
            </w:r>
          </w:p>
          <w:p w14:paraId="0FDE819C" w14:textId="77777777" w:rsidR="00755E60" w:rsidRPr="0059729F" w:rsidRDefault="00755E60" w:rsidP="00B268EC">
            <w:pPr>
              <w:widowControl w:val="0"/>
              <w:tabs>
                <w:tab w:val="left" w:pos="5670"/>
              </w:tabs>
              <w:spacing w:before="0" w:after="0"/>
              <w:rPr>
                <w:szCs w:val="24"/>
              </w:rPr>
            </w:pPr>
            <w:r w:rsidRPr="0059729F">
              <w:rPr>
                <w:spacing w:val="3"/>
                <w:szCs w:val="24"/>
                <w:shd w:val="clear" w:color="auto" w:fill="FFFFFF"/>
              </w:rPr>
              <w:t>Lý do: Trong thực tế, các TCTD có thể thực hiện các chính sách hỗ trợ đối với khách hàng (như hỗ trợ lãi suất) để thực thi chính sách theo chỉ đạo, điều hành của Chính phủ, NHNN. Các tài sản có này là các khoản phải thu đối với Chính phủ, NHNN, do đó không phát sinh rủi ro tín dụng.</w:t>
            </w:r>
          </w:p>
        </w:tc>
        <w:tc>
          <w:tcPr>
            <w:tcW w:w="4252" w:type="dxa"/>
          </w:tcPr>
          <w:p w14:paraId="661EF3D8" w14:textId="77777777" w:rsidR="00755E60" w:rsidRPr="00B674B7" w:rsidRDefault="00755E60" w:rsidP="00B268EC">
            <w:pPr>
              <w:widowControl w:val="0"/>
              <w:tabs>
                <w:tab w:val="left" w:pos="5670"/>
              </w:tabs>
              <w:spacing w:before="0" w:after="0"/>
              <w:ind w:left="34" w:hanging="1"/>
              <w:rPr>
                <w:b/>
                <w:szCs w:val="24"/>
              </w:rPr>
            </w:pPr>
            <w:r w:rsidRPr="0059729F">
              <w:rPr>
                <w:b/>
                <w:szCs w:val="24"/>
              </w:rPr>
              <w:t>Chưa tiếp thu</w:t>
            </w:r>
          </w:p>
          <w:p w14:paraId="4C7D8BD2" w14:textId="77777777" w:rsidR="00755E60" w:rsidRPr="0002360B" w:rsidRDefault="00755E60" w:rsidP="00B268EC">
            <w:pPr>
              <w:widowControl w:val="0"/>
              <w:tabs>
                <w:tab w:val="left" w:pos="5670"/>
              </w:tabs>
              <w:spacing w:before="0" w:after="0"/>
              <w:ind w:left="34" w:hanging="1"/>
              <w:rPr>
                <w:szCs w:val="24"/>
              </w:rPr>
            </w:pPr>
            <w:r w:rsidRPr="0059729F">
              <w:rPr>
                <w:szCs w:val="24"/>
              </w:rPr>
              <w:t>- Việc bổ sung đánh giá khoản mục tài sản có khác nhằm đánh giá bao quát hơn các khoản mục thuộc Tài sản.</w:t>
            </w:r>
          </w:p>
          <w:p w14:paraId="0769D5C7"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644A8992" w14:textId="77777777" w:rsidTr="00776E98">
        <w:trPr>
          <w:cantSplit/>
        </w:trPr>
        <w:tc>
          <w:tcPr>
            <w:tcW w:w="3828" w:type="dxa"/>
            <w:vMerge w:val="restart"/>
          </w:tcPr>
          <w:p w14:paraId="28FBC202" w14:textId="77777777" w:rsidR="00755E60" w:rsidRPr="0002360B" w:rsidRDefault="00755E60" w:rsidP="00B268EC">
            <w:pPr>
              <w:widowControl w:val="0"/>
              <w:tabs>
                <w:tab w:val="left" w:pos="5670"/>
              </w:tabs>
              <w:spacing w:before="0" w:after="0"/>
              <w:rPr>
                <w:b/>
                <w:bCs/>
                <w:szCs w:val="24"/>
                <w:lang w:val="nl-NL"/>
              </w:rPr>
            </w:pPr>
            <w:r w:rsidRPr="0059729F">
              <w:rPr>
                <w:b/>
                <w:bCs/>
                <w:szCs w:val="24"/>
                <w:lang w:val="nl-NL"/>
              </w:rPr>
              <w:t>Khoản 3 Điều 1 DTTT sửa đổi, bổ sung khoản 2 Điều 4 Thông tư 52</w:t>
            </w:r>
          </w:p>
          <w:p w14:paraId="5D4E85D1" w14:textId="77777777" w:rsidR="00755E60" w:rsidRPr="0002360B" w:rsidRDefault="00755E60" w:rsidP="00B268EC">
            <w:pPr>
              <w:widowControl w:val="0"/>
              <w:tabs>
                <w:tab w:val="left" w:pos="5670"/>
              </w:tabs>
              <w:spacing w:before="0" w:after="0"/>
              <w:rPr>
                <w:szCs w:val="24"/>
              </w:rPr>
            </w:pPr>
            <w:r w:rsidRPr="0059729F">
              <w:rPr>
                <w:szCs w:val="24"/>
              </w:rPr>
              <w:t>“2. Tổ chức tín dụng, chi nhánh ngân hàng nước ngoài được chia thành các nhóm đồng hạng, cụ thể như sau:</w:t>
            </w:r>
          </w:p>
          <w:p w14:paraId="28709186" w14:textId="77777777" w:rsidR="00755E60" w:rsidRPr="0002360B" w:rsidRDefault="00755E60" w:rsidP="00B268EC">
            <w:pPr>
              <w:widowControl w:val="0"/>
              <w:tabs>
                <w:tab w:val="left" w:pos="5670"/>
              </w:tabs>
              <w:spacing w:before="0" w:after="0"/>
              <w:rPr>
                <w:szCs w:val="24"/>
              </w:rPr>
            </w:pPr>
            <w:r w:rsidRPr="0059729F">
              <w:rPr>
                <w:i/>
                <w:iCs/>
                <w:szCs w:val="24"/>
              </w:rPr>
              <w:t>a) Nhóm 1: Ngân hàng thương mại có quy mô lớn (tổng giá trị tài sản bình quân theo quý trong năm xếp hạng trên 200.000 tỷ đồng);</w:t>
            </w:r>
          </w:p>
          <w:p w14:paraId="018B790E" w14:textId="77777777" w:rsidR="00755E60" w:rsidRPr="0002360B" w:rsidRDefault="00755E60" w:rsidP="00B268EC">
            <w:pPr>
              <w:widowControl w:val="0"/>
              <w:tabs>
                <w:tab w:val="left" w:pos="5670"/>
              </w:tabs>
              <w:spacing w:before="0" w:after="0"/>
              <w:rPr>
                <w:szCs w:val="24"/>
              </w:rPr>
            </w:pPr>
            <w:r w:rsidRPr="0059729F">
              <w:rPr>
                <w:i/>
                <w:iCs/>
                <w:szCs w:val="24"/>
              </w:rPr>
              <w:t>b) Nhóm 2: Ngân hàng thương mại có quy mô nhỏ (tổng giá trị tài sản bình quân theo quý trong năm xếp hạng bằng hoặc thấp hơn 200.000 tỷ đồng);</w:t>
            </w:r>
          </w:p>
          <w:p w14:paraId="5EAFCA7A" w14:textId="77777777" w:rsidR="00755E60" w:rsidRPr="0002360B" w:rsidRDefault="00755E60" w:rsidP="00B268EC">
            <w:pPr>
              <w:widowControl w:val="0"/>
              <w:tabs>
                <w:tab w:val="left" w:pos="5670"/>
              </w:tabs>
              <w:spacing w:before="0" w:after="0"/>
              <w:rPr>
                <w:szCs w:val="24"/>
              </w:rPr>
            </w:pPr>
            <w:r w:rsidRPr="0059729F">
              <w:rPr>
                <w:szCs w:val="24"/>
              </w:rPr>
              <w:t>c) Nhóm 3: Chi nhánh ngân hàng nước ngoài;</w:t>
            </w:r>
          </w:p>
          <w:p w14:paraId="18F79399" w14:textId="77777777" w:rsidR="00755E60" w:rsidRPr="0002360B" w:rsidRDefault="00755E60" w:rsidP="00B268EC">
            <w:pPr>
              <w:widowControl w:val="0"/>
              <w:tabs>
                <w:tab w:val="left" w:pos="5670"/>
              </w:tabs>
              <w:spacing w:before="0" w:after="0"/>
              <w:rPr>
                <w:szCs w:val="24"/>
              </w:rPr>
            </w:pPr>
            <w:r w:rsidRPr="0059729F">
              <w:rPr>
                <w:szCs w:val="24"/>
              </w:rPr>
              <w:t>d) Nhóm 4: Công ty tài chính;</w:t>
            </w:r>
          </w:p>
          <w:p w14:paraId="6CE61B63" w14:textId="77777777" w:rsidR="00755E60" w:rsidRPr="0002360B" w:rsidRDefault="00755E60" w:rsidP="00B268EC">
            <w:pPr>
              <w:widowControl w:val="0"/>
              <w:tabs>
                <w:tab w:val="left" w:pos="5670"/>
              </w:tabs>
              <w:spacing w:before="0" w:after="0"/>
              <w:rPr>
                <w:szCs w:val="24"/>
              </w:rPr>
            </w:pPr>
            <w:r w:rsidRPr="0059729F">
              <w:rPr>
                <w:szCs w:val="24"/>
              </w:rPr>
              <w:t>đ) Nhóm 5: Công ty cho thuê tài chính;</w:t>
            </w:r>
          </w:p>
          <w:p w14:paraId="52B597C1" w14:textId="77777777" w:rsidR="00755E60" w:rsidRPr="0002360B" w:rsidRDefault="00755E60" w:rsidP="00B268EC">
            <w:pPr>
              <w:widowControl w:val="0"/>
              <w:tabs>
                <w:tab w:val="left" w:pos="5670"/>
              </w:tabs>
              <w:spacing w:before="0" w:after="0"/>
              <w:rPr>
                <w:szCs w:val="24"/>
              </w:rPr>
            </w:pPr>
            <w:r w:rsidRPr="0059729F">
              <w:rPr>
                <w:szCs w:val="24"/>
              </w:rPr>
              <w:lastRenderedPageBreak/>
              <w:t>e) Nhóm 6: Ngân hàng hợp tác xã.”</w:t>
            </w:r>
          </w:p>
          <w:p w14:paraId="1B8BAB72" w14:textId="77777777" w:rsidR="00755E60" w:rsidRPr="0002360B" w:rsidRDefault="00755E60" w:rsidP="00B268EC">
            <w:pPr>
              <w:widowControl w:val="0"/>
              <w:tabs>
                <w:tab w:val="left" w:pos="5670"/>
              </w:tabs>
              <w:spacing w:before="0" w:after="0"/>
              <w:rPr>
                <w:b/>
                <w:szCs w:val="24"/>
                <w:lang w:val="pt-BR"/>
              </w:rPr>
            </w:pPr>
          </w:p>
        </w:tc>
        <w:tc>
          <w:tcPr>
            <w:tcW w:w="1730" w:type="dxa"/>
            <w:tcBorders>
              <w:top w:val="single" w:sz="4" w:space="0" w:color="auto"/>
              <w:left w:val="single" w:sz="4" w:space="0" w:color="auto"/>
              <w:bottom w:val="single" w:sz="4" w:space="0" w:color="auto"/>
              <w:right w:val="single" w:sz="4" w:space="0" w:color="auto"/>
            </w:tcBorders>
            <w:vAlign w:val="center"/>
          </w:tcPr>
          <w:p w14:paraId="583CF035" w14:textId="77777777" w:rsidR="00755E60" w:rsidRPr="0059729F" w:rsidRDefault="00755E60" w:rsidP="00B268EC">
            <w:pPr>
              <w:widowControl w:val="0"/>
              <w:tabs>
                <w:tab w:val="left" w:pos="5670"/>
              </w:tabs>
              <w:spacing w:before="0" w:after="0"/>
              <w:jc w:val="left"/>
              <w:rPr>
                <w:szCs w:val="24"/>
              </w:rPr>
            </w:pPr>
            <w:r w:rsidRPr="0059729F">
              <w:rPr>
                <w:szCs w:val="24"/>
              </w:rPr>
              <w:lastRenderedPageBreak/>
              <w:t>NHTMCP Công Thương</w:t>
            </w:r>
          </w:p>
        </w:tc>
        <w:tc>
          <w:tcPr>
            <w:tcW w:w="5358" w:type="dxa"/>
            <w:tcBorders>
              <w:top w:val="single" w:sz="4" w:space="0" w:color="auto"/>
              <w:left w:val="nil"/>
              <w:bottom w:val="single" w:sz="4" w:space="0" w:color="auto"/>
              <w:right w:val="single" w:sz="4" w:space="0" w:color="auto"/>
            </w:tcBorders>
            <w:vAlign w:val="center"/>
          </w:tcPr>
          <w:p w14:paraId="34D7F925" w14:textId="77777777" w:rsidR="00755E60" w:rsidRPr="0059729F" w:rsidRDefault="00755E60" w:rsidP="00B268EC">
            <w:pPr>
              <w:widowControl w:val="0"/>
              <w:tabs>
                <w:tab w:val="left" w:pos="5670"/>
              </w:tabs>
              <w:spacing w:before="0" w:after="0"/>
              <w:rPr>
                <w:szCs w:val="24"/>
              </w:rPr>
            </w:pPr>
            <w:r w:rsidRPr="0059729F">
              <w:rPr>
                <w:szCs w:val="24"/>
              </w:rPr>
              <w:t>Hiện nay, các TCTD trong “nhóm TCTD quy mô tổng tài sản trên 200 nghìn tỷ VND” có sự chênh lệch rất lớn hàng trăm ngàn tỷ, đặc biệt có những TCTD có quy mô tổng tài sản trên 01 triệu tỷ VND – cách thức hoạt động và quản lý các TCTD này cần có sự khác biệt. Bên cạnh đó, trong thực tiễn hoạt động các năm qua, các NHTM nhà nước luôn là các TCTD tiên phong, đóng vai trò chủ chốt trong việc thực hiện các chủ trương, chính sách của Chính phủ và NHNN, đặc biệt đã và đang triển khai các chương trình hỗ trợ, ưu đãi lãi suất và phí dịch vụ, các chương trình thúc đẩy ngành nghề lĩnh vực ưu tiên, đóng góp tích cực cho sự phát triển kinh tế, xã hội của đất nước.</w:t>
            </w:r>
          </w:p>
          <w:p w14:paraId="5C7DDCC0" w14:textId="77777777" w:rsidR="00755E60" w:rsidRPr="0059729F" w:rsidRDefault="00755E60" w:rsidP="00B268EC">
            <w:pPr>
              <w:widowControl w:val="0"/>
              <w:tabs>
                <w:tab w:val="left" w:pos="5670"/>
              </w:tabs>
              <w:spacing w:before="0" w:after="0"/>
              <w:rPr>
                <w:szCs w:val="24"/>
              </w:rPr>
            </w:pPr>
            <w:r w:rsidRPr="0059729F">
              <w:rPr>
                <w:szCs w:val="24"/>
              </w:rPr>
              <w:t xml:space="preserve">NHCT kính đề nghị NHNN xem xét điều chỉnh tiêu thức phân nhóm các NHTM, trong đó các NHTM có quy mô tổng tài sản </w:t>
            </w:r>
            <w:r w:rsidRPr="0059729F">
              <w:rPr>
                <w:szCs w:val="24"/>
                <w:u w:val="single"/>
              </w:rPr>
              <w:t>từ 01 triệu tỷ VND trở lên</w:t>
            </w:r>
            <w:r w:rsidRPr="0059729F">
              <w:rPr>
                <w:szCs w:val="24"/>
              </w:rPr>
              <w:t xml:space="preserve"> cần có phương thức đánh giá phù hợp và có thêm một số chỉ tiêu đánh giá riêng.</w:t>
            </w:r>
          </w:p>
        </w:tc>
        <w:tc>
          <w:tcPr>
            <w:tcW w:w="4252" w:type="dxa"/>
            <w:vMerge w:val="restart"/>
          </w:tcPr>
          <w:p w14:paraId="638AA98F" w14:textId="11F720F2" w:rsidR="00755E60" w:rsidRPr="0002360B" w:rsidRDefault="007F00C7" w:rsidP="00B268EC">
            <w:pPr>
              <w:widowControl w:val="0"/>
              <w:tabs>
                <w:tab w:val="left" w:pos="5670"/>
              </w:tabs>
              <w:spacing w:before="0" w:after="0"/>
              <w:ind w:left="-41"/>
              <w:rPr>
                <w:b/>
                <w:bCs/>
                <w:szCs w:val="24"/>
                <w:lang w:val="pt-BR"/>
              </w:rPr>
            </w:pPr>
            <w:r w:rsidRPr="0059729F">
              <w:rPr>
                <w:b/>
                <w:bCs/>
                <w:szCs w:val="24"/>
                <w:lang w:val="pt-BR"/>
              </w:rPr>
              <w:t>T</w:t>
            </w:r>
            <w:r w:rsidR="00755E60" w:rsidRPr="0059729F">
              <w:rPr>
                <w:b/>
                <w:bCs/>
                <w:szCs w:val="24"/>
                <w:lang w:val="pt-BR"/>
              </w:rPr>
              <w:t>iếp thu</w:t>
            </w:r>
            <w:r w:rsidRPr="0059729F">
              <w:rPr>
                <w:b/>
                <w:bCs/>
                <w:szCs w:val="24"/>
                <w:lang w:val="pt-BR"/>
              </w:rPr>
              <w:t xml:space="preserve"> một phần</w:t>
            </w:r>
          </w:p>
          <w:p w14:paraId="5997BDCC" w14:textId="77777777" w:rsidR="00755E60" w:rsidRPr="00B674B7" w:rsidRDefault="00755E60" w:rsidP="00B268EC">
            <w:pPr>
              <w:widowControl w:val="0"/>
              <w:tabs>
                <w:tab w:val="left" w:pos="5670"/>
              </w:tabs>
              <w:spacing w:before="0" w:after="0"/>
              <w:ind w:left="-41"/>
              <w:rPr>
                <w:szCs w:val="24"/>
                <w:lang w:val="pt-BR"/>
              </w:rPr>
            </w:pPr>
            <w:r w:rsidRPr="0059729F">
              <w:rPr>
                <w:szCs w:val="24"/>
                <w:lang w:val="pt-BR"/>
              </w:rPr>
              <w:t>- Trong các năm qua, quy mô tổng tài sản của hệ thống các TCTD tăng lên đáng kể: năm 2024 đạt 22,9 triệu tỷ đồng, gấp 2,1 lần so với tổng tài sản năm 2018, trong đó, tổng tài sản của các NHTM tăng 2,1 lần trong giai đoạn 2018-2024.</w:t>
            </w:r>
          </w:p>
          <w:p w14:paraId="4DA23EA8" w14:textId="2C80F765" w:rsidR="00755E60" w:rsidRPr="0002360B" w:rsidRDefault="00755E60">
            <w:pPr>
              <w:widowControl w:val="0"/>
              <w:tabs>
                <w:tab w:val="left" w:pos="5670"/>
              </w:tabs>
              <w:spacing w:before="0" w:after="0"/>
              <w:ind w:left="-41"/>
              <w:rPr>
                <w:spacing w:val="-2"/>
                <w:szCs w:val="24"/>
                <w:lang w:val="pt-BR"/>
              </w:rPr>
            </w:pPr>
            <w:r w:rsidRPr="0059729F">
              <w:rPr>
                <w:szCs w:val="24"/>
                <w:lang w:val="pt-BR"/>
              </w:rPr>
              <w:t xml:space="preserve">- Việc điều chỉnh quy mô nhóm đồng hạng và phân nhóm đồng hạng đối với các NHTM </w:t>
            </w:r>
            <w:r w:rsidR="007F00C7" w:rsidRPr="0059729F">
              <w:rPr>
                <w:szCs w:val="24"/>
                <w:lang w:val="pt-BR"/>
              </w:rPr>
              <w:t>được điều chỉnh lên 300 nghìn tỷ</w:t>
            </w:r>
            <w:r w:rsidR="008538C1" w:rsidRPr="0059729F">
              <w:rPr>
                <w:szCs w:val="24"/>
                <w:lang w:val="pt-BR"/>
              </w:rPr>
              <w:t xml:space="preserve"> và không phân biệt theo loại hình sở hữu tư nhân, nhà nước</w:t>
            </w:r>
            <w:r w:rsidR="007F00C7" w:rsidRPr="0059729F">
              <w:rPr>
                <w:szCs w:val="24"/>
                <w:lang w:val="pt-BR"/>
              </w:rPr>
              <w:t xml:space="preserve"> </w:t>
            </w:r>
            <w:r w:rsidRPr="0059729F">
              <w:rPr>
                <w:szCs w:val="24"/>
                <w:lang w:val="pt-BR"/>
              </w:rPr>
              <w:t xml:space="preserve">nhằm </w:t>
            </w:r>
            <w:r w:rsidR="008538C1" w:rsidRPr="0059729F">
              <w:rPr>
                <w:szCs w:val="24"/>
                <w:lang w:val="pt-BR"/>
              </w:rPr>
              <w:t xml:space="preserve">đảm bảo sự bình đẳng và </w:t>
            </w:r>
            <w:r w:rsidRPr="0059729F">
              <w:rPr>
                <w:szCs w:val="24"/>
                <w:lang w:val="pt-BR"/>
              </w:rPr>
              <w:t xml:space="preserve">phù hợp hơn với </w:t>
            </w:r>
            <w:r w:rsidRPr="0059729F">
              <w:rPr>
                <w:spacing w:val="-2"/>
                <w:szCs w:val="24"/>
              </w:rPr>
              <w:t>thực tiễn sẽ triển khai áp dụng việc xếp hạng theo quy định tại DTTT từ năm tài chính 2026</w:t>
            </w:r>
            <w:r w:rsidR="007F00C7" w:rsidRPr="0059729F">
              <w:rPr>
                <w:spacing w:val="-2"/>
                <w:szCs w:val="24"/>
              </w:rPr>
              <w:t xml:space="preserve"> (Năm 2027, NHNN áp dụng phân nhóm đồng hạng, tiêu chí, chỉ tiêu, ngưỡng và cách tính điểm xếp hạng quy định tại DTTT để xếp hạng đối với năm tài chính 2026)</w:t>
            </w:r>
            <w:r w:rsidRPr="0059729F">
              <w:rPr>
                <w:spacing w:val="-2"/>
                <w:szCs w:val="24"/>
              </w:rPr>
              <w:t>.</w:t>
            </w:r>
          </w:p>
        </w:tc>
      </w:tr>
      <w:tr w:rsidR="0002360B" w:rsidRPr="0002360B" w14:paraId="45D9F33A" w14:textId="77777777" w:rsidTr="00776E98">
        <w:trPr>
          <w:cantSplit/>
        </w:trPr>
        <w:tc>
          <w:tcPr>
            <w:tcW w:w="3828" w:type="dxa"/>
            <w:vMerge/>
          </w:tcPr>
          <w:p w14:paraId="1A8C9E60" w14:textId="77777777" w:rsidR="00755E60" w:rsidRPr="0002360B" w:rsidRDefault="00755E60" w:rsidP="00B268EC">
            <w:pPr>
              <w:widowControl w:val="0"/>
              <w:tabs>
                <w:tab w:val="left" w:pos="5670"/>
              </w:tabs>
              <w:spacing w:before="0" w:after="0"/>
              <w:rPr>
                <w:b/>
                <w:szCs w:val="24"/>
                <w:lang w:val="pt-BR"/>
              </w:rPr>
            </w:pPr>
          </w:p>
        </w:tc>
        <w:tc>
          <w:tcPr>
            <w:tcW w:w="1730" w:type="dxa"/>
            <w:tcBorders>
              <w:top w:val="nil"/>
              <w:left w:val="single" w:sz="4" w:space="0" w:color="auto"/>
              <w:bottom w:val="single" w:sz="4" w:space="0" w:color="auto"/>
              <w:right w:val="single" w:sz="4" w:space="0" w:color="auto"/>
            </w:tcBorders>
            <w:vAlign w:val="center"/>
          </w:tcPr>
          <w:p w14:paraId="1FA497C7" w14:textId="579EBBA9" w:rsidR="00755E60" w:rsidRPr="0059729F" w:rsidRDefault="00755E60" w:rsidP="00B268EC">
            <w:pPr>
              <w:widowControl w:val="0"/>
              <w:tabs>
                <w:tab w:val="left" w:pos="5670"/>
              </w:tabs>
              <w:spacing w:before="0" w:after="0"/>
              <w:jc w:val="left"/>
              <w:rPr>
                <w:szCs w:val="24"/>
              </w:rPr>
            </w:pPr>
            <w:r w:rsidRPr="0059729F">
              <w:rPr>
                <w:szCs w:val="24"/>
              </w:rPr>
              <w:t>NHTMCP Đầu Tư và PTVN</w:t>
            </w:r>
            <w:r w:rsidR="00E73E25">
              <w:rPr>
                <w:szCs w:val="24"/>
              </w:rPr>
              <w:t>, Hiệp hội ngân hàng Việt Nam</w:t>
            </w:r>
          </w:p>
        </w:tc>
        <w:tc>
          <w:tcPr>
            <w:tcW w:w="5358" w:type="dxa"/>
            <w:tcBorders>
              <w:top w:val="nil"/>
              <w:left w:val="nil"/>
              <w:bottom w:val="single" w:sz="4" w:space="0" w:color="auto"/>
              <w:right w:val="single" w:sz="4" w:space="0" w:color="auto"/>
            </w:tcBorders>
            <w:vAlign w:val="center"/>
          </w:tcPr>
          <w:p w14:paraId="085F6B0A" w14:textId="77777777" w:rsidR="00755E60" w:rsidRPr="0059729F" w:rsidRDefault="00755E60" w:rsidP="00B268EC">
            <w:pPr>
              <w:widowControl w:val="0"/>
              <w:tabs>
                <w:tab w:val="left" w:pos="5670"/>
              </w:tabs>
              <w:spacing w:before="0" w:after="0"/>
              <w:rPr>
                <w:szCs w:val="24"/>
              </w:rPr>
            </w:pPr>
            <w:r w:rsidRPr="0059729F">
              <w:rPr>
                <w:szCs w:val="24"/>
              </w:rPr>
              <w:t xml:space="preserve">BIDV đề xuất cập nhật phân nhóm 1 và nhóm 2 (đối với các NHTM) theo hướng xếp các NHTM có vốn nhà nước và quy mô lớn vào nhóm riêng, cụ thể: </w:t>
            </w:r>
            <w:r w:rsidRPr="0059729F">
              <w:rPr>
                <w:szCs w:val="24"/>
              </w:rPr>
              <w:br/>
              <w:t xml:space="preserve">- Nhóm 1: Các NHTM có vốn nhà nước có tổng giá trị tài sản bình quân trong năm xếp hạng </w:t>
            </w:r>
            <w:r w:rsidRPr="0059729F">
              <w:rPr>
                <w:szCs w:val="24"/>
                <w:u w:val="single"/>
              </w:rPr>
              <w:t>trên 2 triệu tỷ đồng</w:t>
            </w:r>
            <w:r w:rsidRPr="0059729F">
              <w:rPr>
                <w:szCs w:val="24"/>
              </w:rPr>
              <w:t xml:space="preserve">; </w:t>
            </w:r>
            <w:r w:rsidRPr="0059729F">
              <w:rPr>
                <w:szCs w:val="24"/>
              </w:rPr>
              <w:br/>
              <w:t xml:space="preserve">-  Nhóm 2: Các NHTM còn lại có tổng giá trị tài sản bình quân trong năm xếp hạng </w:t>
            </w:r>
            <w:r w:rsidRPr="0059729F">
              <w:rPr>
                <w:szCs w:val="24"/>
                <w:u w:val="single"/>
              </w:rPr>
              <w:t>đến 2 triệu tỷ đồng</w:t>
            </w:r>
            <w:r w:rsidRPr="0059729F">
              <w:rPr>
                <w:szCs w:val="24"/>
              </w:rPr>
              <w:t>.</w:t>
            </w:r>
          </w:p>
          <w:p w14:paraId="4F9A0585" w14:textId="77777777" w:rsidR="00755E60" w:rsidRPr="0059729F" w:rsidRDefault="00755E60" w:rsidP="00B268EC">
            <w:pPr>
              <w:widowControl w:val="0"/>
              <w:tabs>
                <w:tab w:val="left" w:pos="5670"/>
              </w:tabs>
              <w:spacing w:before="0" w:after="0"/>
              <w:rPr>
                <w:szCs w:val="24"/>
              </w:rPr>
            </w:pPr>
            <w:r w:rsidRPr="0059729F">
              <w:rPr>
                <w:szCs w:val="24"/>
              </w:rPr>
              <w:t>Lý do đề xuất: Các NHTM có vốn nhà nước hiện nay đã đạt quy mô tổng tài sản trên 2 triệu tỷ đồng, lớn gấp 2 lần quy mô tổng tài sản của các ngân hàng TMCP tư nhân lớn nhất có tổng sản sản khoảng 1 triệu tỷ đồng (như TechcomBank, MBBank, VPBank… ) và lớn hơn nhiều lần các ngân hàng TMCP tư nhân nhỏ có quy mô tổng tài sản trên 200 nghìn tỷ đồng (như EximBank, Nam Á Bank, OCB, MSB, Seabank… ). Với vai trò chủ lực, chủ đạo trong việc thực thi chính sách của Đảng, Chính phủ và NHNN, các NHTM lớn luôn dành nguồn lực, giảm thu nhập (lợi nhuận) để hạ lãi suất cho vay, hỗ trợ nền kinh tế nên ảnh hưởng đến các chỉ tiêu hiệu quả, chất lượng của ngân hàng. Do đó, cần thiết phải tách riêng nhóm ngân hàng này để đánh giá, xếp hạng phù hợp theo đặc thù của từng nhóm ngân hàng.</w:t>
            </w:r>
          </w:p>
        </w:tc>
        <w:tc>
          <w:tcPr>
            <w:tcW w:w="4252" w:type="dxa"/>
            <w:vMerge/>
          </w:tcPr>
          <w:p w14:paraId="62D2A392"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19D4553C" w14:textId="77777777" w:rsidTr="00776E98">
        <w:trPr>
          <w:cantSplit/>
        </w:trPr>
        <w:tc>
          <w:tcPr>
            <w:tcW w:w="3828" w:type="dxa"/>
            <w:vMerge/>
          </w:tcPr>
          <w:p w14:paraId="5554D415" w14:textId="77777777" w:rsidR="00755E60" w:rsidRPr="0002360B" w:rsidRDefault="00755E60" w:rsidP="00B268EC">
            <w:pPr>
              <w:widowControl w:val="0"/>
              <w:tabs>
                <w:tab w:val="left" w:pos="5670"/>
              </w:tabs>
              <w:spacing w:before="0" w:after="0"/>
              <w:rPr>
                <w:b/>
                <w:szCs w:val="24"/>
                <w:lang w:val="pt-BR"/>
              </w:rPr>
            </w:pPr>
          </w:p>
        </w:tc>
        <w:tc>
          <w:tcPr>
            <w:tcW w:w="1730" w:type="dxa"/>
            <w:tcBorders>
              <w:top w:val="nil"/>
              <w:left w:val="single" w:sz="4" w:space="0" w:color="auto"/>
              <w:bottom w:val="single" w:sz="4" w:space="0" w:color="auto"/>
              <w:right w:val="single" w:sz="4" w:space="0" w:color="auto"/>
            </w:tcBorders>
            <w:vAlign w:val="center"/>
          </w:tcPr>
          <w:p w14:paraId="32590591" w14:textId="77777777" w:rsidR="00755E60" w:rsidRPr="0059729F" w:rsidRDefault="00755E60" w:rsidP="00B268EC">
            <w:pPr>
              <w:widowControl w:val="0"/>
              <w:tabs>
                <w:tab w:val="left" w:pos="5670"/>
              </w:tabs>
              <w:spacing w:before="0" w:after="0"/>
              <w:jc w:val="left"/>
              <w:rPr>
                <w:szCs w:val="24"/>
              </w:rPr>
            </w:pPr>
            <w:r w:rsidRPr="0059729F">
              <w:rPr>
                <w:szCs w:val="24"/>
              </w:rPr>
              <w:t>NHTMCP Ngoại Thương</w:t>
            </w:r>
          </w:p>
        </w:tc>
        <w:tc>
          <w:tcPr>
            <w:tcW w:w="5358" w:type="dxa"/>
            <w:tcBorders>
              <w:top w:val="nil"/>
              <w:left w:val="nil"/>
              <w:bottom w:val="single" w:sz="4" w:space="0" w:color="auto"/>
              <w:right w:val="single" w:sz="4" w:space="0" w:color="auto"/>
            </w:tcBorders>
            <w:vAlign w:val="center"/>
          </w:tcPr>
          <w:p w14:paraId="1C3760A6" w14:textId="77777777" w:rsidR="00755E60" w:rsidRPr="0059729F" w:rsidRDefault="00755E60" w:rsidP="00B268EC">
            <w:pPr>
              <w:widowControl w:val="0"/>
              <w:tabs>
                <w:tab w:val="left" w:pos="5670"/>
              </w:tabs>
              <w:spacing w:before="0" w:after="0"/>
              <w:rPr>
                <w:szCs w:val="24"/>
              </w:rPr>
            </w:pPr>
            <w:r w:rsidRPr="0059729F">
              <w:rPr>
                <w:szCs w:val="24"/>
              </w:rPr>
              <w:t>Theo thống kê quy mô tổng tài sản tại 31/12/2024 của 28 ngân hàng đã niêm yết/Upcom: 19 ngân hàng có quy mô &gt;200.000 tỷ đồng (chiếm đa số: 68%). 12 ngân hàng có quy mô trên 500 nghìn tỷ (chiếm tỷ lệ cao 43%). 5 ngân hàng quy mô trên 1 triệu tỷ đồng (chiếm 18%).</w:t>
            </w:r>
          </w:p>
          <w:p w14:paraId="13837309" w14:textId="77777777" w:rsidR="00755E60" w:rsidRPr="0059729F" w:rsidRDefault="00755E60" w:rsidP="00B268EC">
            <w:pPr>
              <w:widowControl w:val="0"/>
              <w:tabs>
                <w:tab w:val="left" w:pos="5670"/>
              </w:tabs>
              <w:spacing w:before="0" w:after="0"/>
              <w:rPr>
                <w:szCs w:val="24"/>
              </w:rPr>
            </w:pPr>
            <w:r w:rsidRPr="0059729F">
              <w:rPr>
                <w:szCs w:val="24"/>
              </w:rPr>
              <w:t>Do vậy, việc áp dụng cùng ngưỡng tính điểm đối với các TCTD có quy mô &lt;200.000 tỷ đồng là chưa được điều chỉnh kịp thời theo sự phát triển của thị trường.</w:t>
            </w:r>
          </w:p>
          <w:p w14:paraId="34E0D29F" w14:textId="77777777" w:rsidR="00755E60" w:rsidRPr="0059729F" w:rsidRDefault="00755E60" w:rsidP="00B268EC">
            <w:pPr>
              <w:widowControl w:val="0"/>
              <w:tabs>
                <w:tab w:val="left" w:pos="5670"/>
              </w:tabs>
              <w:spacing w:before="0" w:after="0"/>
              <w:rPr>
                <w:szCs w:val="24"/>
              </w:rPr>
            </w:pPr>
            <w:r w:rsidRPr="0059729F">
              <w:rPr>
                <w:szCs w:val="24"/>
              </w:rPr>
              <w:t>Đề xuất NHNN xem xét:</w:t>
            </w:r>
          </w:p>
          <w:p w14:paraId="2FFCFA00" w14:textId="77777777" w:rsidR="00755E60" w:rsidRPr="0059729F" w:rsidRDefault="00755E60" w:rsidP="00B268EC">
            <w:pPr>
              <w:widowControl w:val="0"/>
              <w:tabs>
                <w:tab w:val="left" w:pos="5670"/>
              </w:tabs>
              <w:spacing w:before="0" w:after="0"/>
              <w:rPr>
                <w:szCs w:val="24"/>
              </w:rPr>
            </w:pPr>
            <w:r w:rsidRPr="0059729F">
              <w:rPr>
                <w:szCs w:val="24"/>
              </w:rPr>
              <w:t xml:space="preserve">- Bổ sung nhóm NHTM có </w:t>
            </w:r>
            <w:r w:rsidRPr="0059729F">
              <w:rPr>
                <w:szCs w:val="24"/>
                <w:u w:val="single"/>
              </w:rPr>
              <w:t>quy mô siêu lớn và (hoặc) nhóm NHTM Nhà nước</w:t>
            </w:r>
            <w:r w:rsidRPr="0059729F">
              <w:rPr>
                <w:szCs w:val="24"/>
              </w:rPr>
              <w:t>.</w:t>
            </w:r>
          </w:p>
          <w:p w14:paraId="170F9C7B" w14:textId="77777777" w:rsidR="00755E60" w:rsidRPr="0059729F" w:rsidRDefault="00755E60" w:rsidP="00B268EC">
            <w:pPr>
              <w:widowControl w:val="0"/>
              <w:tabs>
                <w:tab w:val="left" w:pos="5670"/>
              </w:tabs>
              <w:spacing w:before="0" w:after="0"/>
              <w:rPr>
                <w:szCs w:val="24"/>
              </w:rPr>
            </w:pPr>
            <w:r w:rsidRPr="0059729F">
              <w:rPr>
                <w:szCs w:val="24"/>
              </w:rPr>
              <w:t>- Bổ sung các ngưỡng tính điểm phù hợp với quy mô của nhóm này.</w:t>
            </w:r>
          </w:p>
          <w:p w14:paraId="4CF2E34A" w14:textId="77777777" w:rsidR="00755E60" w:rsidRPr="0059729F" w:rsidRDefault="00755E60" w:rsidP="00B268EC">
            <w:pPr>
              <w:widowControl w:val="0"/>
              <w:tabs>
                <w:tab w:val="left" w:pos="5670"/>
              </w:tabs>
              <w:spacing w:before="0" w:after="0"/>
              <w:rPr>
                <w:szCs w:val="24"/>
              </w:rPr>
            </w:pPr>
            <w:r w:rsidRPr="0059729F">
              <w:rPr>
                <w:szCs w:val="24"/>
              </w:rPr>
              <w:t xml:space="preserve">Để đảm bảo phù hợp với thực tế do quy mô tổng tài sản của hệ thống các TCTD đã tăng lên đáng kể trong các năm gần đây. </w:t>
            </w:r>
          </w:p>
        </w:tc>
        <w:tc>
          <w:tcPr>
            <w:tcW w:w="4252" w:type="dxa"/>
            <w:vMerge/>
          </w:tcPr>
          <w:p w14:paraId="1D066819"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6FB0B261" w14:textId="77777777" w:rsidTr="00776E98">
        <w:trPr>
          <w:cantSplit/>
        </w:trPr>
        <w:tc>
          <w:tcPr>
            <w:tcW w:w="3828" w:type="dxa"/>
            <w:vMerge/>
          </w:tcPr>
          <w:p w14:paraId="01D6A396" w14:textId="77777777" w:rsidR="00755E60" w:rsidRPr="0002360B" w:rsidRDefault="00755E60" w:rsidP="00B268EC">
            <w:pPr>
              <w:widowControl w:val="0"/>
              <w:tabs>
                <w:tab w:val="left" w:pos="5670"/>
              </w:tabs>
              <w:spacing w:before="0" w:after="0"/>
              <w:rPr>
                <w:b/>
                <w:szCs w:val="24"/>
                <w:lang w:val="pt-BR"/>
              </w:rPr>
            </w:pPr>
          </w:p>
        </w:tc>
        <w:tc>
          <w:tcPr>
            <w:tcW w:w="1730" w:type="dxa"/>
            <w:tcBorders>
              <w:top w:val="nil"/>
              <w:left w:val="single" w:sz="4" w:space="0" w:color="auto"/>
              <w:bottom w:val="single" w:sz="4" w:space="0" w:color="auto"/>
              <w:right w:val="single" w:sz="4" w:space="0" w:color="auto"/>
            </w:tcBorders>
            <w:vAlign w:val="center"/>
          </w:tcPr>
          <w:p w14:paraId="224E5B3B" w14:textId="77777777" w:rsidR="00755E60" w:rsidRPr="0059729F" w:rsidRDefault="00755E60" w:rsidP="00B268EC">
            <w:pPr>
              <w:widowControl w:val="0"/>
              <w:tabs>
                <w:tab w:val="left" w:pos="5670"/>
              </w:tabs>
              <w:spacing w:before="0" w:after="0"/>
              <w:jc w:val="left"/>
              <w:rPr>
                <w:szCs w:val="24"/>
              </w:rPr>
            </w:pPr>
            <w:r w:rsidRPr="0059729F">
              <w:rPr>
                <w:szCs w:val="24"/>
              </w:rPr>
              <w:t>NHTMCP Nông nghiệp</w:t>
            </w:r>
          </w:p>
        </w:tc>
        <w:tc>
          <w:tcPr>
            <w:tcW w:w="5358" w:type="dxa"/>
            <w:tcBorders>
              <w:top w:val="nil"/>
              <w:left w:val="nil"/>
              <w:bottom w:val="single" w:sz="4" w:space="0" w:color="auto"/>
              <w:right w:val="single" w:sz="4" w:space="0" w:color="auto"/>
            </w:tcBorders>
            <w:vAlign w:val="center"/>
          </w:tcPr>
          <w:p w14:paraId="330EA095" w14:textId="77777777" w:rsidR="00755E60" w:rsidRPr="0059729F" w:rsidRDefault="00755E60" w:rsidP="00B268EC">
            <w:pPr>
              <w:widowControl w:val="0"/>
              <w:tabs>
                <w:tab w:val="left" w:pos="5670"/>
              </w:tabs>
              <w:spacing w:before="0" w:after="0"/>
              <w:rPr>
                <w:szCs w:val="24"/>
              </w:rPr>
            </w:pPr>
            <w:r w:rsidRPr="0059729F">
              <w:rPr>
                <w:szCs w:val="24"/>
              </w:rPr>
              <w:t>(i) Trong hệ thống tổ chức tín dụng (TCTD) hiện nay, quy mô tổng tài sản của các NHTM không đồng đều và có sự chênh lệch rất lớn về cấp độ; (ii) Trên thực tế, các NHTM chênh lệch lớn về quy mô tổng tài sản từ 200-300 nghìn tỷ đồng, cách thức hoạt động, quản trị điều hành và hiệu quả kinh doanh rất khác nhau; đặc biệt là đối với các NHTM có quy mô tổng tài sản từ 01 triệu tỷ đồng trở lên. Do đó, với các quy định về tiêu chí, điểm số và trọng số như hiện hành chưa phù hợp đối với các NHTM lớn, đặc biệt là NHTM có vốn Nhà nước thuộc nhóm các tổ chức tín dụng có tầm quan trọng trong hệ thống.</w:t>
            </w:r>
            <w:r w:rsidRPr="0059729F">
              <w:rPr>
                <w:szCs w:val="24"/>
              </w:rPr>
              <w:br/>
              <w:t xml:space="preserve">Agribank đề xuất cần phân nhóm NHTM theo cấp độ </w:t>
            </w:r>
            <w:r w:rsidRPr="0059729F">
              <w:rPr>
                <w:szCs w:val="24"/>
                <w:u w:val="single"/>
              </w:rPr>
              <w:t>quy mô tổng tài sản chênh lệch nhau từ 300 nghìn tỷ đến 500 nghìn tỷ đồng</w:t>
            </w:r>
            <w:r w:rsidRPr="0059729F">
              <w:rPr>
                <w:szCs w:val="24"/>
              </w:rPr>
              <w:t>.</w:t>
            </w:r>
          </w:p>
        </w:tc>
        <w:tc>
          <w:tcPr>
            <w:tcW w:w="4252" w:type="dxa"/>
            <w:vMerge/>
          </w:tcPr>
          <w:p w14:paraId="53333CCF"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17C6079C" w14:textId="77777777" w:rsidTr="00776E98">
        <w:trPr>
          <w:cantSplit/>
        </w:trPr>
        <w:tc>
          <w:tcPr>
            <w:tcW w:w="3828" w:type="dxa"/>
            <w:vMerge w:val="restart"/>
          </w:tcPr>
          <w:p w14:paraId="68B823A1" w14:textId="77777777" w:rsidR="00755E60" w:rsidRPr="0002360B" w:rsidRDefault="00755E60" w:rsidP="00B268EC">
            <w:pPr>
              <w:widowControl w:val="0"/>
              <w:tabs>
                <w:tab w:val="left" w:pos="5670"/>
              </w:tabs>
              <w:spacing w:before="0" w:after="0"/>
              <w:ind w:right="34" w:hanging="1"/>
              <w:rPr>
                <w:b/>
                <w:szCs w:val="24"/>
                <w:lang w:val="pt-BR"/>
              </w:rPr>
            </w:pPr>
            <w:r w:rsidRPr="0059729F">
              <w:rPr>
                <w:b/>
                <w:szCs w:val="24"/>
                <w:lang w:val="pt-BR"/>
              </w:rPr>
              <w:lastRenderedPageBreak/>
              <w:t>Điểm a khoản 5 Điều 1 DTTT sửa đổi, bổ sung điểm c khoản 1 Điều 8 Thông tư 52</w:t>
            </w:r>
          </w:p>
          <w:p w14:paraId="7B3BC302" w14:textId="77777777" w:rsidR="00755E60" w:rsidRPr="0002360B" w:rsidRDefault="00755E60" w:rsidP="00B268EC">
            <w:pPr>
              <w:widowControl w:val="0"/>
              <w:tabs>
                <w:tab w:val="left" w:pos="5670"/>
              </w:tabs>
              <w:spacing w:before="0" w:after="0"/>
              <w:rPr>
                <w:b/>
                <w:szCs w:val="24"/>
                <w:lang w:val="pt-BR"/>
              </w:rPr>
            </w:pPr>
            <w:r w:rsidRPr="0059729F">
              <w:rPr>
                <w:szCs w:val="24"/>
              </w:rPr>
              <w:t>“</w:t>
            </w:r>
            <w:r w:rsidRPr="0059729F">
              <w:rPr>
                <w:i/>
                <w:szCs w:val="24"/>
              </w:rPr>
              <w:t>c) Tỷ lệ dư nợ cấp tín dụng đối với 100 khách hàng (không bao gồm tổ chức tín dụng, chi nhánh ngân hàng nước ngoài) có dư nợ cấp tín dụng lớn nhất so với dư nợ cấp tín dụng đối với tổ chức kinh tế, cá nhân;”</w:t>
            </w:r>
          </w:p>
        </w:tc>
        <w:tc>
          <w:tcPr>
            <w:tcW w:w="1730" w:type="dxa"/>
            <w:tcBorders>
              <w:top w:val="nil"/>
              <w:left w:val="single" w:sz="4" w:space="0" w:color="auto"/>
              <w:bottom w:val="single" w:sz="4" w:space="0" w:color="auto"/>
              <w:right w:val="single" w:sz="4" w:space="0" w:color="auto"/>
            </w:tcBorders>
            <w:vAlign w:val="center"/>
          </w:tcPr>
          <w:p w14:paraId="3EB516AB" w14:textId="77777777" w:rsidR="00755E60" w:rsidRPr="0002360B" w:rsidRDefault="00755E60" w:rsidP="00B268EC">
            <w:pPr>
              <w:widowControl w:val="0"/>
              <w:tabs>
                <w:tab w:val="left" w:pos="5670"/>
              </w:tabs>
              <w:spacing w:before="0" w:after="0"/>
              <w:jc w:val="left"/>
              <w:rPr>
                <w:szCs w:val="24"/>
              </w:rPr>
            </w:pPr>
            <w:r w:rsidRPr="0059729F">
              <w:rPr>
                <w:szCs w:val="24"/>
              </w:rPr>
              <w:t>NHTMCP Quân Đội</w:t>
            </w:r>
          </w:p>
        </w:tc>
        <w:tc>
          <w:tcPr>
            <w:tcW w:w="5358" w:type="dxa"/>
            <w:tcBorders>
              <w:top w:val="nil"/>
              <w:left w:val="nil"/>
              <w:bottom w:val="single" w:sz="4" w:space="0" w:color="auto"/>
              <w:right w:val="single" w:sz="4" w:space="0" w:color="auto"/>
            </w:tcBorders>
            <w:vAlign w:val="center"/>
          </w:tcPr>
          <w:p w14:paraId="44336A2C" w14:textId="77777777" w:rsidR="00755E60" w:rsidRPr="00783EF9" w:rsidRDefault="00755E60" w:rsidP="00B268EC">
            <w:pPr>
              <w:widowControl w:val="0"/>
              <w:tabs>
                <w:tab w:val="left" w:pos="5670"/>
              </w:tabs>
              <w:spacing w:before="0" w:after="0"/>
              <w:rPr>
                <w:spacing w:val="-6"/>
                <w:sz w:val="23"/>
                <w:szCs w:val="23"/>
              </w:rPr>
            </w:pPr>
            <w:r w:rsidRPr="00783EF9">
              <w:rPr>
                <w:spacing w:val="-6"/>
                <w:sz w:val="23"/>
                <w:szCs w:val="23"/>
              </w:rPr>
              <w:t>MB kiến nghị NHNN chưa áp dụng tỷ lệ dư nợ cấp tín dụng đối với 100 khách hàng lớn nhất so với dư nợ cấp tín dụng đối với tổ chức kinh tế, cá nhân. Đối với công cụ quản lý 100 KH lớn nhằm giảm rủi ro tập trung:</w:t>
            </w:r>
          </w:p>
          <w:p w14:paraId="037D01D7" w14:textId="77777777" w:rsidR="00755E60" w:rsidRPr="00783EF9" w:rsidRDefault="00755E60" w:rsidP="00B268EC">
            <w:pPr>
              <w:widowControl w:val="0"/>
              <w:tabs>
                <w:tab w:val="left" w:pos="5670"/>
              </w:tabs>
              <w:spacing w:before="0" w:after="0"/>
              <w:rPr>
                <w:spacing w:val="-6"/>
                <w:sz w:val="23"/>
                <w:szCs w:val="23"/>
              </w:rPr>
            </w:pPr>
            <w:r w:rsidRPr="00783EF9">
              <w:rPr>
                <w:spacing w:val="-6"/>
                <w:sz w:val="23"/>
                <w:szCs w:val="23"/>
              </w:rPr>
              <w:t xml:space="preserve"> - Đề xuất cơ quan quản lý cần cân nhắc điều chỉnh để phù hợp hơn với thực tiễn triển khai đưa ra các tiêu chuẩn đối các khách hàng dư nợ (exposure) lớn ví dụ như các tiêu chuẩn cho các khách có dư nợ lớn hơn 1% vốn tự có, tương tự như Trung Quốc đưa ra tiêu chuẩn cho các tổ chức tham gia vào hoạt động Bất động sản.</w:t>
            </w:r>
          </w:p>
          <w:p w14:paraId="6DBC3F23" w14:textId="77777777" w:rsidR="00755E60" w:rsidRPr="00783EF9" w:rsidRDefault="00755E60" w:rsidP="00B268EC">
            <w:pPr>
              <w:widowControl w:val="0"/>
              <w:tabs>
                <w:tab w:val="left" w:pos="5670"/>
              </w:tabs>
              <w:spacing w:before="0" w:after="0"/>
              <w:rPr>
                <w:spacing w:val="-6"/>
                <w:sz w:val="23"/>
                <w:szCs w:val="23"/>
              </w:rPr>
            </w:pPr>
            <w:r w:rsidRPr="00783EF9">
              <w:rPr>
                <w:spacing w:val="-6"/>
                <w:sz w:val="23"/>
                <w:szCs w:val="23"/>
              </w:rPr>
              <w:t>Lý do:</w:t>
            </w:r>
          </w:p>
          <w:p w14:paraId="69CF1E18" w14:textId="77777777" w:rsidR="00755E60" w:rsidRPr="00783EF9" w:rsidRDefault="00755E60" w:rsidP="00B268EC">
            <w:pPr>
              <w:widowControl w:val="0"/>
              <w:tabs>
                <w:tab w:val="left" w:pos="5670"/>
              </w:tabs>
              <w:spacing w:before="0" w:after="0"/>
              <w:rPr>
                <w:spacing w:val="-6"/>
                <w:sz w:val="23"/>
                <w:szCs w:val="23"/>
              </w:rPr>
            </w:pPr>
            <w:r w:rsidRPr="00783EF9">
              <w:rPr>
                <w:spacing w:val="-6"/>
                <w:sz w:val="23"/>
                <w:szCs w:val="23"/>
              </w:rPr>
              <w:t>+ MB nhận thấy với mục tiêu quản lý rủi ro tập trung là chính đáng nhằm kiểm soát an toàn hệ thống. Tuy nhiên, theo thông lệ của Basel III và kinh nghiệm điều hành của các Ngân hàng Trung ương (NHTW) các nước, quản lý rủi ro tập trung tín dụng không đặt giới hạn số lượng cụ thể KH hay tổng số KH lớn, mà áp dụng giới hạn theo tỷ lệ exposure tối đa đối với từng KH hoặc nhóm KH có mối quan hệ.</w:t>
            </w:r>
          </w:p>
          <w:p w14:paraId="49C26CA3" w14:textId="77777777" w:rsidR="00755E60" w:rsidRPr="00783EF9" w:rsidRDefault="00755E60" w:rsidP="00B268EC">
            <w:pPr>
              <w:widowControl w:val="0"/>
              <w:tabs>
                <w:tab w:val="left" w:pos="5670"/>
              </w:tabs>
              <w:spacing w:before="0" w:after="0"/>
              <w:rPr>
                <w:spacing w:val="-6"/>
                <w:sz w:val="23"/>
                <w:szCs w:val="23"/>
              </w:rPr>
            </w:pPr>
            <w:r w:rsidRPr="00783EF9">
              <w:rPr>
                <w:spacing w:val="-6"/>
                <w:sz w:val="23"/>
                <w:szCs w:val="23"/>
              </w:rPr>
              <w:t>+ Đồng thời, đặc điểm hoạt động của các TCTD lớn và nhỏ là rất khác nhau. Tại các TCTD lớn, 100 khách hàng có quy mô dư nợ lớn nhất thường là các doanh nghiệp đầu ngành, có tình hình tài chính tốt, mối tương quan về rủi ro ở mức thấp (low correlation). Do đó, nhóm khách hàng này chưa thực sự làm gia tăng rủi ro tập trung đáng kể.</w:t>
            </w:r>
          </w:p>
          <w:p w14:paraId="42CE94F6" w14:textId="77777777" w:rsidR="00755E60" w:rsidRPr="00783EF9" w:rsidRDefault="00755E60" w:rsidP="00B268EC">
            <w:pPr>
              <w:widowControl w:val="0"/>
              <w:tabs>
                <w:tab w:val="left" w:pos="5670"/>
              </w:tabs>
              <w:spacing w:before="0" w:after="0"/>
              <w:rPr>
                <w:spacing w:val="-6"/>
                <w:sz w:val="23"/>
                <w:szCs w:val="23"/>
              </w:rPr>
            </w:pPr>
            <w:r w:rsidRPr="00783EF9">
              <w:rPr>
                <w:spacing w:val="-6"/>
                <w:sz w:val="23"/>
                <w:szCs w:val="23"/>
              </w:rPr>
              <w:t>+ Việc áp dụng giới hạn định lượng cứng đối với các khách hàng lớn có thể dẫn đến việc hạn chế tín dụng cho những doanh nghiệp có sức khỏe tài chính tốt, đồng thời ảnh hưởng đến vai trò trung gian tài chính và khả năng hỗ trợ tăng trưởng kinh tế của các TCTD.</w:t>
            </w:r>
          </w:p>
          <w:p w14:paraId="0A3582DA" w14:textId="77777777" w:rsidR="00755E60" w:rsidRPr="0059729F" w:rsidRDefault="00755E60" w:rsidP="00B268EC">
            <w:pPr>
              <w:widowControl w:val="0"/>
              <w:tabs>
                <w:tab w:val="left" w:pos="5670"/>
              </w:tabs>
              <w:spacing w:before="0" w:after="0"/>
              <w:rPr>
                <w:spacing w:val="-6"/>
                <w:szCs w:val="24"/>
              </w:rPr>
            </w:pPr>
            <w:r w:rsidRPr="00783EF9">
              <w:rPr>
                <w:spacing w:val="-6"/>
                <w:sz w:val="23"/>
                <w:szCs w:val="23"/>
              </w:rPr>
              <w:t>+ Ngoài ra, các TCTD hiện nay đã và đang quản lý rủi ro tập trung thông qua các công cụ quản trị nội bộ theo chuẩn quốc tế như: ICAAP (quy trình đánh giá mức độ đủ vốn nội bộ), Stress testing (kiểm tra sức chịu đựng của vốn trong các kịch bản bất lợi), cho phép các TCTD chủ động đo lường và kiểm soát rủi ro tập trung một</w:t>
            </w:r>
            <w:r w:rsidRPr="0059729F">
              <w:rPr>
                <w:spacing w:val="-6"/>
                <w:szCs w:val="24"/>
              </w:rPr>
              <w:t xml:space="preserve"> </w:t>
            </w:r>
            <w:r w:rsidRPr="00783EF9">
              <w:rPr>
                <w:spacing w:val="-6"/>
                <w:sz w:val="23"/>
                <w:szCs w:val="23"/>
              </w:rPr>
              <w:t>cách hiệu quả.</w:t>
            </w:r>
          </w:p>
        </w:tc>
        <w:tc>
          <w:tcPr>
            <w:tcW w:w="4252" w:type="dxa"/>
            <w:vMerge w:val="restart"/>
          </w:tcPr>
          <w:p w14:paraId="41E9A4BC" w14:textId="77777777" w:rsidR="00755E60" w:rsidRPr="0002360B" w:rsidRDefault="00755E60" w:rsidP="00B268EC">
            <w:pPr>
              <w:widowControl w:val="0"/>
              <w:tabs>
                <w:tab w:val="left" w:pos="5670"/>
              </w:tabs>
              <w:spacing w:before="0" w:after="0"/>
              <w:ind w:left="-41"/>
              <w:rPr>
                <w:b/>
                <w:bCs/>
                <w:szCs w:val="24"/>
              </w:rPr>
            </w:pPr>
            <w:r w:rsidRPr="0059729F">
              <w:rPr>
                <w:b/>
                <w:bCs/>
                <w:szCs w:val="24"/>
              </w:rPr>
              <w:t>Chưa tiếp thu</w:t>
            </w:r>
          </w:p>
          <w:p w14:paraId="3B619B56" w14:textId="6A9FA09A" w:rsidR="00755E60" w:rsidRPr="0002360B" w:rsidRDefault="00755E60" w:rsidP="00B268EC">
            <w:pPr>
              <w:widowControl w:val="0"/>
              <w:tabs>
                <w:tab w:val="left" w:pos="5670"/>
              </w:tabs>
              <w:spacing w:before="0" w:after="0"/>
              <w:ind w:left="-41"/>
              <w:rPr>
                <w:szCs w:val="24"/>
              </w:rPr>
            </w:pPr>
            <w:r w:rsidRPr="0059729F">
              <w:rPr>
                <w:szCs w:val="24"/>
              </w:rPr>
              <w:t>Tỷ lệ “Tổng dư nợ tín dụng đối với 100 khách hàng có dư nợ tín dụng lớn nhất so với dư nợ tín dụng đối với tổ chức kinh tế, cá nhân” là một trong các chỉ tiêu phản ánh Chất lượng tài sản của TCTD, chi nhánh ngân hàng nước ngoài. Chỉ tiêu được sử dụng để chấm điểm xếp hạng được lựa chọn trên cơ sở yêu cầu, định hướng quản lý nhà nước và xu hướng biến động của thị trường trong từng thời kỳ.</w:t>
            </w:r>
          </w:p>
          <w:p w14:paraId="2A910052" w14:textId="77777777" w:rsidR="008538C1" w:rsidRPr="0002360B" w:rsidRDefault="008538C1" w:rsidP="00B268EC">
            <w:pPr>
              <w:widowControl w:val="0"/>
              <w:tabs>
                <w:tab w:val="left" w:pos="5670"/>
              </w:tabs>
              <w:spacing w:before="0" w:after="0"/>
              <w:ind w:left="-41"/>
              <w:rPr>
                <w:szCs w:val="24"/>
                <w:lang w:val="pt-BR"/>
              </w:rPr>
            </w:pPr>
            <w:r w:rsidRPr="0059729F">
              <w:rPr>
                <w:szCs w:val="24"/>
              </w:rPr>
              <w:t xml:space="preserve">Trong điều kiện thị trường hiện tại, chỉ tiêu </w:t>
            </w:r>
            <w:r w:rsidRPr="0059729F">
              <w:rPr>
                <w:i/>
                <w:szCs w:val="24"/>
              </w:rPr>
              <w:t>“Tỷ lệ dư nợ tín dụng đối với 100 khách hàng có dư nợ tín dụng lớn nhất so với dư nợ tín dụng đối với tổ chức kinh tế, cá nhân”</w:t>
            </w:r>
            <w:r w:rsidRPr="0059729F">
              <w:rPr>
                <w:szCs w:val="24"/>
              </w:rPr>
              <w:t xml:space="preserve"> phản ánh mức độ rủi ro tập trung tín dụng tốt hơn chỉ tiêu </w:t>
            </w:r>
            <w:r w:rsidRPr="0059729F">
              <w:rPr>
                <w:i/>
                <w:szCs w:val="24"/>
              </w:rPr>
              <w:t>“Tỷ lệ dư nợ cấp tín dụng của các khách hàng có dư nợ cấp tín dụng lớn so với dư nợ cấp tín dụng đối với tổ chức kinh tế, cá nhân”</w:t>
            </w:r>
            <w:r w:rsidRPr="0059729F">
              <w:rPr>
                <w:szCs w:val="24"/>
              </w:rPr>
              <w:t>.</w:t>
            </w:r>
          </w:p>
        </w:tc>
      </w:tr>
      <w:tr w:rsidR="0002360B" w:rsidRPr="0002360B" w14:paraId="34FD6E0C" w14:textId="77777777" w:rsidTr="00776E98">
        <w:trPr>
          <w:cantSplit/>
        </w:trPr>
        <w:tc>
          <w:tcPr>
            <w:tcW w:w="3828" w:type="dxa"/>
            <w:vMerge/>
          </w:tcPr>
          <w:p w14:paraId="231E9988" w14:textId="77777777" w:rsidR="00755E60" w:rsidRPr="0002360B" w:rsidRDefault="00755E60" w:rsidP="00B268EC">
            <w:pPr>
              <w:widowControl w:val="0"/>
              <w:tabs>
                <w:tab w:val="left" w:pos="5670"/>
              </w:tabs>
              <w:spacing w:before="0" w:after="0"/>
              <w:rPr>
                <w:b/>
                <w:szCs w:val="24"/>
                <w:lang w:val="pt-BR"/>
              </w:rPr>
            </w:pPr>
          </w:p>
        </w:tc>
        <w:tc>
          <w:tcPr>
            <w:tcW w:w="1730" w:type="dxa"/>
            <w:tcBorders>
              <w:top w:val="nil"/>
              <w:left w:val="single" w:sz="4" w:space="0" w:color="auto"/>
              <w:bottom w:val="single" w:sz="4" w:space="0" w:color="auto"/>
              <w:right w:val="single" w:sz="4" w:space="0" w:color="auto"/>
            </w:tcBorders>
            <w:vAlign w:val="center"/>
          </w:tcPr>
          <w:p w14:paraId="67F4B02D" w14:textId="77777777" w:rsidR="00755E60" w:rsidRPr="0002360B" w:rsidRDefault="00755E60" w:rsidP="00B268EC">
            <w:pPr>
              <w:widowControl w:val="0"/>
              <w:tabs>
                <w:tab w:val="left" w:pos="5670"/>
              </w:tabs>
              <w:spacing w:before="0" w:after="0"/>
              <w:jc w:val="left"/>
              <w:rPr>
                <w:szCs w:val="24"/>
              </w:rPr>
            </w:pPr>
            <w:r w:rsidRPr="0059729F">
              <w:rPr>
                <w:szCs w:val="24"/>
              </w:rPr>
              <w:t>NHTMCP Bản Việt</w:t>
            </w:r>
          </w:p>
        </w:tc>
        <w:tc>
          <w:tcPr>
            <w:tcW w:w="5358" w:type="dxa"/>
            <w:tcBorders>
              <w:top w:val="nil"/>
              <w:left w:val="nil"/>
              <w:bottom w:val="single" w:sz="4" w:space="0" w:color="auto"/>
              <w:right w:val="single" w:sz="4" w:space="0" w:color="auto"/>
            </w:tcBorders>
            <w:vAlign w:val="center"/>
          </w:tcPr>
          <w:p w14:paraId="311789E9" w14:textId="77777777" w:rsidR="00755E60" w:rsidRPr="0002360B" w:rsidRDefault="00755E60" w:rsidP="00B268EC">
            <w:pPr>
              <w:widowControl w:val="0"/>
              <w:tabs>
                <w:tab w:val="left" w:pos="5670"/>
              </w:tabs>
              <w:spacing w:before="0" w:after="0"/>
              <w:rPr>
                <w:szCs w:val="24"/>
              </w:rPr>
            </w:pPr>
            <w:r w:rsidRPr="0059729F">
              <w:rPr>
                <w:szCs w:val="24"/>
              </w:rPr>
              <w:t>Việc bỏ tiêu chí xác định khách hàng lớn dựa vào vốn tự có, sẽ ảnh hưởng bất lợi đối với các ngân hàng có quy mô nhỏ và tập trung vào cho vay nhỏ lẻ. Vì vậy, đề xuất Ngân hàng Nhà nước bổ sung định nghĩa “Khách hàng lớn nhất” dựa trên quy mô dư nợ của khách hàng trên vốn tự có của TCTD.</w:t>
            </w:r>
          </w:p>
        </w:tc>
        <w:tc>
          <w:tcPr>
            <w:tcW w:w="4252" w:type="dxa"/>
            <w:vMerge/>
            <w:vAlign w:val="center"/>
          </w:tcPr>
          <w:p w14:paraId="6F128822"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18793B7B" w14:textId="77777777" w:rsidTr="00776E98">
        <w:trPr>
          <w:cantSplit/>
        </w:trPr>
        <w:tc>
          <w:tcPr>
            <w:tcW w:w="3828" w:type="dxa"/>
            <w:vMerge/>
          </w:tcPr>
          <w:p w14:paraId="79739933" w14:textId="77777777" w:rsidR="00755E60" w:rsidRPr="0002360B" w:rsidRDefault="00755E60" w:rsidP="00B268EC">
            <w:pPr>
              <w:widowControl w:val="0"/>
              <w:tabs>
                <w:tab w:val="left" w:pos="5670"/>
              </w:tabs>
              <w:spacing w:before="0" w:after="0"/>
              <w:rPr>
                <w:b/>
                <w:szCs w:val="24"/>
                <w:lang w:val="pt-BR"/>
              </w:rPr>
            </w:pPr>
          </w:p>
        </w:tc>
        <w:tc>
          <w:tcPr>
            <w:tcW w:w="1730" w:type="dxa"/>
            <w:tcBorders>
              <w:top w:val="nil"/>
              <w:left w:val="single" w:sz="4" w:space="0" w:color="auto"/>
              <w:bottom w:val="single" w:sz="4" w:space="0" w:color="auto"/>
              <w:right w:val="single" w:sz="4" w:space="0" w:color="auto"/>
            </w:tcBorders>
            <w:vAlign w:val="center"/>
          </w:tcPr>
          <w:p w14:paraId="62C9275F" w14:textId="78A5F7C3" w:rsidR="00755E60" w:rsidRPr="0002360B" w:rsidRDefault="00755E60" w:rsidP="00B268EC">
            <w:pPr>
              <w:widowControl w:val="0"/>
              <w:tabs>
                <w:tab w:val="left" w:pos="5670"/>
              </w:tabs>
              <w:spacing w:before="0" w:after="0"/>
              <w:jc w:val="left"/>
              <w:rPr>
                <w:szCs w:val="24"/>
              </w:rPr>
            </w:pPr>
            <w:r w:rsidRPr="0059729F">
              <w:rPr>
                <w:szCs w:val="24"/>
              </w:rPr>
              <w:t>NHTMCP Quốc Dân</w:t>
            </w:r>
            <w:r w:rsidR="00E73E25">
              <w:rPr>
                <w:szCs w:val="24"/>
              </w:rPr>
              <w:t>, Hiệp hội ngân hàng</w:t>
            </w:r>
          </w:p>
        </w:tc>
        <w:tc>
          <w:tcPr>
            <w:tcW w:w="5358" w:type="dxa"/>
            <w:tcBorders>
              <w:top w:val="nil"/>
              <w:left w:val="nil"/>
              <w:bottom w:val="single" w:sz="4" w:space="0" w:color="auto"/>
              <w:right w:val="single" w:sz="4" w:space="0" w:color="auto"/>
            </w:tcBorders>
            <w:vAlign w:val="center"/>
          </w:tcPr>
          <w:p w14:paraId="59F84C70" w14:textId="77777777" w:rsidR="00755E60" w:rsidRPr="0002360B" w:rsidRDefault="00755E60" w:rsidP="00B268EC">
            <w:pPr>
              <w:widowControl w:val="0"/>
              <w:tabs>
                <w:tab w:val="left" w:pos="5670"/>
              </w:tabs>
              <w:spacing w:before="0" w:after="0"/>
              <w:rPr>
                <w:szCs w:val="24"/>
              </w:rPr>
            </w:pPr>
            <w:r w:rsidRPr="0059729F">
              <w:rPr>
                <w:szCs w:val="24"/>
              </w:rPr>
              <w:t>Việc điều chỉnh theo hướng thay thế chỉ tiêu để phản ánh mức độ tập trung rủi ro tín dụng của TCTD, NCB đánh giá là hiện không đánh giá được đúng bản chất và tính chính xác của tỷ lệ khi chiến lược kinh doanh của từng ngân hàng không giống nhau về đối tượng khách hàng tập trung và đối với mỗi đối tượng sự phân hóa cũng mang nhiều khác biệt về mục đích, tính chất.</w:t>
            </w:r>
          </w:p>
          <w:p w14:paraId="2599583B" w14:textId="77777777" w:rsidR="00755E60" w:rsidRPr="0002360B" w:rsidRDefault="00755E60" w:rsidP="00B268EC">
            <w:pPr>
              <w:widowControl w:val="0"/>
              <w:tabs>
                <w:tab w:val="left" w:pos="5670"/>
              </w:tabs>
              <w:spacing w:before="0" w:after="0"/>
              <w:rPr>
                <w:szCs w:val="24"/>
              </w:rPr>
            </w:pPr>
            <w:r w:rsidRPr="0059729F">
              <w:rPr>
                <w:szCs w:val="24"/>
              </w:rPr>
              <w:t>NCB đề xuất NHNN:</w:t>
            </w:r>
          </w:p>
          <w:p w14:paraId="06DA865C" w14:textId="77777777" w:rsidR="00755E60" w:rsidRPr="0002360B" w:rsidRDefault="00755E60" w:rsidP="00B268EC">
            <w:pPr>
              <w:widowControl w:val="0"/>
              <w:tabs>
                <w:tab w:val="left" w:pos="5670"/>
              </w:tabs>
              <w:spacing w:before="0" w:after="0"/>
              <w:rPr>
                <w:szCs w:val="24"/>
              </w:rPr>
            </w:pPr>
            <w:r w:rsidRPr="0059729F">
              <w:rPr>
                <w:szCs w:val="24"/>
              </w:rPr>
              <w:t>- Việc lấy tiêu chí 100 khách hàng lớn nhất sẽ không phản ánh đúng chất lượng tài sản của TCTD. Do đó, đề xuất quy định cụ thể tiêu chí, phân nhóm (KHDN, KHCN) vì tùy theo quy mô, định hướng kinh doanh của từng TCTD khi xác định 100 khách hàng nhất.</w:t>
            </w:r>
          </w:p>
          <w:p w14:paraId="0861305F" w14:textId="77777777" w:rsidR="00755E60" w:rsidRPr="0002360B" w:rsidRDefault="00755E60" w:rsidP="00B268EC">
            <w:pPr>
              <w:widowControl w:val="0"/>
              <w:tabs>
                <w:tab w:val="left" w:pos="5670"/>
              </w:tabs>
              <w:spacing w:before="0" w:after="0"/>
              <w:rPr>
                <w:szCs w:val="24"/>
              </w:rPr>
            </w:pPr>
            <w:r w:rsidRPr="0059729F">
              <w:rPr>
                <w:szCs w:val="24"/>
              </w:rPr>
              <w:t xml:space="preserve">- Cân nhắc về việc sửa đổi, bổ sung tỷ lệ này vào tiêu chí định lượng khi đã có Thông tư 22/2019/TT-NHNN ngày 15/11/2019 của NHNN quy định các giới hạn, tỷ lệ bảo đảm an toàn trong hoạt động của ngân hàng, chi nhánh ngân hàng nước ngoài.  </w:t>
            </w:r>
          </w:p>
        </w:tc>
        <w:tc>
          <w:tcPr>
            <w:tcW w:w="4252" w:type="dxa"/>
            <w:vMerge/>
            <w:vAlign w:val="center"/>
          </w:tcPr>
          <w:p w14:paraId="138961CA"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210F96BA" w14:textId="77777777" w:rsidTr="00776E98">
        <w:trPr>
          <w:cantSplit/>
        </w:trPr>
        <w:tc>
          <w:tcPr>
            <w:tcW w:w="3828" w:type="dxa"/>
            <w:vMerge w:val="restart"/>
          </w:tcPr>
          <w:p w14:paraId="7DEBA0E4" w14:textId="77777777" w:rsidR="00755E60" w:rsidRPr="0002360B" w:rsidRDefault="00755E60" w:rsidP="00B268EC">
            <w:pPr>
              <w:widowControl w:val="0"/>
              <w:tabs>
                <w:tab w:val="left" w:pos="5670"/>
              </w:tabs>
              <w:spacing w:before="0" w:after="0"/>
              <w:ind w:right="34" w:hanging="1"/>
              <w:rPr>
                <w:b/>
                <w:szCs w:val="24"/>
                <w:lang w:val="pt-BR"/>
              </w:rPr>
            </w:pPr>
            <w:r w:rsidRPr="0059729F">
              <w:rPr>
                <w:b/>
                <w:szCs w:val="24"/>
                <w:lang w:val="pt-BR"/>
              </w:rPr>
              <w:t>Điểm b khoản 5 Điều 1 DTTT bổ sung điểm h, i khoản 1 Điều 8 Thông tư 52</w:t>
            </w:r>
          </w:p>
          <w:p w14:paraId="53884868" w14:textId="77777777" w:rsidR="00755E60" w:rsidRPr="0002360B" w:rsidRDefault="00755E60" w:rsidP="00B268EC">
            <w:pPr>
              <w:widowControl w:val="0"/>
              <w:tabs>
                <w:tab w:val="left" w:pos="5670"/>
              </w:tabs>
              <w:spacing w:before="0" w:after="0"/>
              <w:rPr>
                <w:i/>
                <w:szCs w:val="24"/>
              </w:rPr>
            </w:pPr>
            <w:r w:rsidRPr="0059729F">
              <w:rPr>
                <w:szCs w:val="24"/>
              </w:rPr>
              <w:t>“</w:t>
            </w:r>
            <w:r w:rsidRPr="0059729F">
              <w:rPr>
                <w:i/>
                <w:szCs w:val="24"/>
              </w:rPr>
              <w:t>h</w:t>
            </w:r>
            <w:r w:rsidRPr="0059729F">
              <w:rPr>
                <w:i/>
                <w:iCs/>
                <w:szCs w:val="24"/>
              </w:rPr>
              <w:t>) Tỷ lệ dự phòng cụ thể đã trích lập so với nợ nhóm 2 đến nhóm 5;</w:t>
            </w:r>
          </w:p>
          <w:p w14:paraId="2E4EA81B" w14:textId="77777777" w:rsidR="00755E60" w:rsidRPr="0002360B" w:rsidRDefault="00755E60" w:rsidP="00B268EC">
            <w:pPr>
              <w:widowControl w:val="0"/>
              <w:tabs>
                <w:tab w:val="left" w:pos="5670"/>
              </w:tabs>
              <w:spacing w:before="0" w:after="0"/>
              <w:rPr>
                <w:b/>
                <w:szCs w:val="24"/>
                <w:lang w:val="pt-BR"/>
              </w:rPr>
            </w:pPr>
            <w:r w:rsidRPr="0059729F">
              <w:rPr>
                <w:i/>
                <w:iCs/>
                <w:szCs w:val="24"/>
              </w:rPr>
              <w:t>i) Tỷ lệ tài sản có khác bình quân so với Tổng tài sản bình quân.</w:t>
            </w:r>
            <w:r w:rsidRPr="0059729F">
              <w:rPr>
                <w:i/>
                <w:szCs w:val="24"/>
              </w:rPr>
              <w:t>”</w:t>
            </w:r>
          </w:p>
        </w:tc>
        <w:tc>
          <w:tcPr>
            <w:tcW w:w="1730" w:type="dxa"/>
            <w:tcBorders>
              <w:top w:val="nil"/>
              <w:left w:val="single" w:sz="4" w:space="0" w:color="auto"/>
              <w:bottom w:val="single" w:sz="4" w:space="0" w:color="auto"/>
              <w:right w:val="single" w:sz="4" w:space="0" w:color="auto"/>
            </w:tcBorders>
            <w:vAlign w:val="center"/>
          </w:tcPr>
          <w:p w14:paraId="1A93E3FC" w14:textId="77777777" w:rsidR="00755E60" w:rsidRPr="0059729F" w:rsidRDefault="00755E60" w:rsidP="00B268EC">
            <w:pPr>
              <w:widowControl w:val="0"/>
              <w:tabs>
                <w:tab w:val="left" w:pos="5670"/>
              </w:tabs>
              <w:spacing w:before="0" w:after="0"/>
              <w:jc w:val="left"/>
              <w:rPr>
                <w:szCs w:val="24"/>
              </w:rPr>
            </w:pPr>
            <w:r w:rsidRPr="0059729F">
              <w:rPr>
                <w:szCs w:val="24"/>
              </w:rPr>
              <w:t>NHTMCP Á Châu</w:t>
            </w:r>
          </w:p>
        </w:tc>
        <w:tc>
          <w:tcPr>
            <w:tcW w:w="5358" w:type="dxa"/>
            <w:tcBorders>
              <w:top w:val="nil"/>
              <w:left w:val="nil"/>
              <w:bottom w:val="single" w:sz="4" w:space="0" w:color="auto"/>
              <w:right w:val="single" w:sz="4" w:space="0" w:color="auto"/>
            </w:tcBorders>
            <w:vAlign w:val="center"/>
          </w:tcPr>
          <w:p w14:paraId="369DFBA9" w14:textId="77777777" w:rsidR="00755E60" w:rsidRPr="0059729F" w:rsidRDefault="00755E60" w:rsidP="00B268EC">
            <w:pPr>
              <w:widowControl w:val="0"/>
              <w:tabs>
                <w:tab w:val="left" w:pos="5670"/>
              </w:tabs>
              <w:spacing w:before="0" w:after="0"/>
              <w:rPr>
                <w:szCs w:val="24"/>
              </w:rPr>
            </w:pPr>
            <w:r w:rsidRPr="0059729F">
              <w:rPr>
                <w:szCs w:val="24"/>
              </w:rPr>
              <w:t xml:space="preserve">Không bổ sung chỉ tiêu tại điểm h điều 8 của dự thảo. </w:t>
            </w:r>
            <w:r w:rsidRPr="0059729F">
              <w:rPr>
                <w:szCs w:val="24"/>
              </w:rPr>
              <w:br/>
              <w:t>Lý do: Theo nguyên tắc tính tỷ lệ thì số dư dự phòng cụ thể đã trích càng lớn so với dư nợ thì ngưỡng điểm đạt được sẽ càng cao. Tuy nhiên, đối với TCTD cấp tín dụng được đảm bảo bằng tài sản đảm bảo với tỷ lệ LTV thấp thì giá trị trích lập dự phòng cụ thể đối với các khoản này sẽ thấp do có giá trị tài sản đảm bảo khấu trừ lớn.</w:t>
            </w:r>
          </w:p>
        </w:tc>
        <w:tc>
          <w:tcPr>
            <w:tcW w:w="4252" w:type="dxa"/>
            <w:vMerge w:val="restart"/>
            <w:vAlign w:val="center"/>
          </w:tcPr>
          <w:p w14:paraId="65CC5650" w14:textId="77777777" w:rsidR="00755E60" w:rsidRPr="0059729F" w:rsidRDefault="00755E60" w:rsidP="00B268EC">
            <w:pPr>
              <w:widowControl w:val="0"/>
              <w:tabs>
                <w:tab w:val="left" w:pos="5670"/>
              </w:tabs>
              <w:spacing w:before="0" w:after="0"/>
              <w:ind w:left="-41"/>
              <w:rPr>
                <w:b/>
                <w:bCs/>
                <w:szCs w:val="24"/>
              </w:rPr>
            </w:pPr>
            <w:r w:rsidRPr="0059729F">
              <w:rPr>
                <w:b/>
                <w:bCs/>
                <w:szCs w:val="24"/>
              </w:rPr>
              <w:t>Chưa tiếp thu</w:t>
            </w:r>
          </w:p>
          <w:p w14:paraId="6B1825AF" w14:textId="674E04EB" w:rsidR="00755E60" w:rsidRPr="0059729F" w:rsidRDefault="00755E60" w:rsidP="00B268EC">
            <w:pPr>
              <w:widowControl w:val="0"/>
              <w:tabs>
                <w:tab w:val="left" w:pos="5670"/>
              </w:tabs>
              <w:spacing w:before="0" w:after="0"/>
              <w:ind w:left="-41"/>
              <w:rPr>
                <w:szCs w:val="24"/>
              </w:rPr>
            </w:pPr>
            <w:r w:rsidRPr="0059729F">
              <w:rPr>
                <w:szCs w:val="24"/>
              </w:rPr>
              <w:t>- Việc bổ sung, chỉnh sửa chỉ tiêu định lượng được thực hiện trên cơ sở yêu cầu, định hướng quản lý nhà nước và xu hướng biến động của thị trường trong từng thời kỳ.</w:t>
            </w:r>
            <w:r w:rsidRPr="0059729F">
              <w:rPr>
                <w:szCs w:val="24"/>
              </w:rPr>
              <w:br/>
              <w:t>Do đó, DTTT bổ sung chỉ tiêu “</w:t>
            </w:r>
            <w:r w:rsidRPr="0059729F">
              <w:rPr>
                <w:i/>
                <w:szCs w:val="24"/>
              </w:rPr>
              <w:t>Tỷ lệ dự phòng cụ thể đã trích lập so với nợ nhóm 2 đến nhóm 5”</w:t>
            </w:r>
            <w:r w:rsidRPr="0059729F">
              <w:rPr>
                <w:szCs w:val="24"/>
              </w:rPr>
              <w:t>, trong đó:</w:t>
            </w:r>
          </w:p>
          <w:p w14:paraId="186A96A0" w14:textId="77777777" w:rsidR="00755E60" w:rsidRPr="0059729F" w:rsidRDefault="00755E60" w:rsidP="00B268EC">
            <w:pPr>
              <w:widowControl w:val="0"/>
              <w:tabs>
                <w:tab w:val="left" w:pos="5670"/>
              </w:tabs>
              <w:spacing w:before="0" w:after="0"/>
              <w:ind w:left="-41"/>
              <w:rPr>
                <w:szCs w:val="24"/>
              </w:rPr>
            </w:pPr>
            <w:r w:rsidRPr="0059729F">
              <w:rPr>
                <w:szCs w:val="24"/>
              </w:rPr>
              <w:lastRenderedPageBreak/>
              <w:t>- Dự phòng cụ thể đã trích lập: là Số dự phòng rủi ro cụ thể đã trích lập theo quy định tại Nghị định 86/2024/NĐ-CP.</w:t>
            </w:r>
          </w:p>
          <w:p w14:paraId="4C2128E7" w14:textId="77777777" w:rsidR="00755E60" w:rsidRPr="0059729F" w:rsidRDefault="00755E60" w:rsidP="00B268EC">
            <w:pPr>
              <w:widowControl w:val="0"/>
              <w:tabs>
                <w:tab w:val="left" w:pos="5670"/>
              </w:tabs>
              <w:spacing w:before="0" w:after="0"/>
              <w:ind w:left="-41"/>
              <w:rPr>
                <w:szCs w:val="24"/>
              </w:rPr>
            </w:pPr>
            <w:r w:rsidRPr="0059729F">
              <w:rPr>
                <w:szCs w:val="24"/>
              </w:rPr>
              <w:t>- Nợ nhóm 2 đến nhóm 5: là Tổng nợ nhóm 2 đến nhóm 5 theo quy định tại Thông tư 31/2024/TT-NHNN.</w:t>
            </w:r>
          </w:p>
          <w:p w14:paraId="2F2B0946"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650A2520" w14:textId="77777777" w:rsidTr="00776E98">
        <w:trPr>
          <w:cantSplit/>
        </w:trPr>
        <w:tc>
          <w:tcPr>
            <w:tcW w:w="3828" w:type="dxa"/>
            <w:vMerge/>
          </w:tcPr>
          <w:p w14:paraId="6E161E4E" w14:textId="77777777" w:rsidR="00755E60" w:rsidRPr="0002360B" w:rsidRDefault="00755E60" w:rsidP="00B268EC">
            <w:pPr>
              <w:widowControl w:val="0"/>
              <w:tabs>
                <w:tab w:val="left" w:pos="5670"/>
              </w:tabs>
              <w:spacing w:before="0" w:after="0"/>
              <w:rPr>
                <w:b/>
                <w:szCs w:val="24"/>
                <w:lang w:val="pt-BR"/>
              </w:rPr>
            </w:pPr>
          </w:p>
        </w:tc>
        <w:tc>
          <w:tcPr>
            <w:tcW w:w="1730" w:type="dxa"/>
            <w:tcBorders>
              <w:top w:val="nil"/>
              <w:left w:val="single" w:sz="4" w:space="0" w:color="auto"/>
              <w:bottom w:val="single" w:sz="4" w:space="0" w:color="auto"/>
              <w:right w:val="single" w:sz="4" w:space="0" w:color="auto"/>
            </w:tcBorders>
            <w:vAlign w:val="center"/>
          </w:tcPr>
          <w:p w14:paraId="61959424" w14:textId="77777777" w:rsidR="00755E60" w:rsidRPr="0059729F" w:rsidRDefault="00755E60" w:rsidP="00B268EC">
            <w:pPr>
              <w:widowControl w:val="0"/>
              <w:tabs>
                <w:tab w:val="left" w:pos="5670"/>
              </w:tabs>
              <w:spacing w:before="0" w:after="0"/>
              <w:jc w:val="left"/>
              <w:rPr>
                <w:szCs w:val="24"/>
              </w:rPr>
            </w:pPr>
            <w:r w:rsidRPr="0059729F">
              <w:rPr>
                <w:szCs w:val="24"/>
              </w:rPr>
              <w:t>NHTMCP Kỹ Thương</w:t>
            </w:r>
          </w:p>
        </w:tc>
        <w:tc>
          <w:tcPr>
            <w:tcW w:w="5358" w:type="dxa"/>
            <w:tcBorders>
              <w:top w:val="nil"/>
              <w:left w:val="nil"/>
              <w:bottom w:val="single" w:sz="4" w:space="0" w:color="auto"/>
              <w:right w:val="single" w:sz="4" w:space="0" w:color="auto"/>
            </w:tcBorders>
            <w:vAlign w:val="center"/>
          </w:tcPr>
          <w:p w14:paraId="42610205" w14:textId="77777777" w:rsidR="00755E60" w:rsidRPr="0059729F" w:rsidRDefault="00755E60" w:rsidP="00B268EC">
            <w:pPr>
              <w:widowControl w:val="0"/>
              <w:tabs>
                <w:tab w:val="left" w:pos="5670"/>
              </w:tabs>
              <w:spacing w:before="0" w:after="0"/>
              <w:rPr>
                <w:szCs w:val="24"/>
              </w:rPr>
            </w:pPr>
            <w:r w:rsidRPr="0059729F">
              <w:rPr>
                <w:szCs w:val="24"/>
              </w:rPr>
              <w:t>Đề nghị Ngân hàng Nhà nước làm rõ:</w:t>
            </w:r>
          </w:p>
          <w:p w14:paraId="1E974499" w14:textId="77777777" w:rsidR="00755E60" w:rsidRPr="0059729F" w:rsidRDefault="00755E60" w:rsidP="00B268EC">
            <w:pPr>
              <w:widowControl w:val="0"/>
              <w:tabs>
                <w:tab w:val="left" w:pos="5670"/>
              </w:tabs>
              <w:spacing w:before="0" w:after="0"/>
              <w:rPr>
                <w:szCs w:val="24"/>
              </w:rPr>
            </w:pPr>
            <w:r w:rsidRPr="0059729F">
              <w:rPr>
                <w:szCs w:val="24"/>
              </w:rPr>
              <w:t>- Dự phòng cụ thể đã trích tại chỉ tiêu trên được hiểu là Số dự phòng phải trích theo quy định tại Nghị định 86/2024/NĐ-CP và bằng Chỉ tiêu (8) Số dự phòng cụ thể phải trích theo quy định trên biểu A2.007-TTGS – Báo cáo trích lập dự phòng để xử lý rủi ro.</w:t>
            </w:r>
          </w:p>
          <w:p w14:paraId="2C2F5FB3" w14:textId="77777777" w:rsidR="00755E60" w:rsidRPr="0059729F" w:rsidRDefault="00755E60" w:rsidP="00B268EC">
            <w:pPr>
              <w:widowControl w:val="0"/>
              <w:tabs>
                <w:tab w:val="left" w:pos="5670"/>
              </w:tabs>
              <w:spacing w:before="0" w:after="0"/>
              <w:rPr>
                <w:szCs w:val="24"/>
              </w:rPr>
            </w:pPr>
            <w:r w:rsidRPr="0059729F">
              <w:rPr>
                <w:szCs w:val="24"/>
              </w:rPr>
              <w:t>- Nợ nhóm 2,3,4,5: là Tổng nợ nhóm 2,3,4,5 theo kết quả phân loại nợ sau khi đã điều chỉnh theo CIC trên biểu A2.002-TTGS Báo cáo phân loại tài sản có và cam kết ngoại bảng.</w:t>
            </w:r>
          </w:p>
        </w:tc>
        <w:tc>
          <w:tcPr>
            <w:tcW w:w="4252" w:type="dxa"/>
            <w:vMerge/>
            <w:vAlign w:val="center"/>
          </w:tcPr>
          <w:p w14:paraId="30771FC2"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622DC9DC" w14:textId="77777777" w:rsidTr="00776E98">
        <w:trPr>
          <w:cantSplit/>
        </w:trPr>
        <w:tc>
          <w:tcPr>
            <w:tcW w:w="3828" w:type="dxa"/>
            <w:vMerge/>
          </w:tcPr>
          <w:p w14:paraId="513F19AF" w14:textId="77777777" w:rsidR="00755E60" w:rsidRPr="0002360B" w:rsidRDefault="00755E60" w:rsidP="00B268EC">
            <w:pPr>
              <w:widowControl w:val="0"/>
              <w:tabs>
                <w:tab w:val="left" w:pos="5670"/>
              </w:tabs>
              <w:spacing w:before="0" w:after="0"/>
              <w:rPr>
                <w:b/>
                <w:szCs w:val="24"/>
                <w:lang w:val="pt-BR"/>
              </w:rPr>
            </w:pPr>
          </w:p>
        </w:tc>
        <w:tc>
          <w:tcPr>
            <w:tcW w:w="1730" w:type="dxa"/>
            <w:tcBorders>
              <w:top w:val="nil"/>
              <w:left w:val="single" w:sz="4" w:space="0" w:color="auto"/>
              <w:bottom w:val="single" w:sz="4" w:space="0" w:color="auto"/>
              <w:right w:val="single" w:sz="4" w:space="0" w:color="auto"/>
            </w:tcBorders>
            <w:vAlign w:val="center"/>
          </w:tcPr>
          <w:p w14:paraId="7CC93F57" w14:textId="77777777" w:rsidR="00755E60" w:rsidRPr="0059729F" w:rsidRDefault="00755E60" w:rsidP="00B268EC">
            <w:pPr>
              <w:widowControl w:val="0"/>
              <w:tabs>
                <w:tab w:val="left" w:pos="5670"/>
              </w:tabs>
              <w:spacing w:before="0" w:after="0"/>
              <w:jc w:val="left"/>
              <w:rPr>
                <w:szCs w:val="24"/>
              </w:rPr>
            </w:pPr>
            <w:r w:rsidRPr="0059729F">
              <w:rPr>
                <w:szCs w:val="24"/>
              </w:rPr>
              <w:t>NHTMCP Quân Đội</w:t>
            </w:r>
          </w:p>
        </w:tc>
        <w:tc>
          <w:tcPr>
            <w:tcW w:w="5358" w:type="dxa"/>
            <w:tcBorders>
              <w:top w:val="nil"/>
              <w:left w:val="nil"/>
              <w:bottom w:val="single" w:sz="4" w:space="0" w:color="auto"/>
              <w:right w:val="single" w:sz="4" w:space="0" w:color="auto"/>
            </w:tcBorders>
            <w:vAlign w:val="center"/>
          </w:tcPr>
          <w:p w14:paraId="4F8FD49B" w14:textId="77777777" w:rsidR="00755E60" w:rsidRPr="0059729F" w:rsidRDefault="00755E60" w:rsidP="00B268EC">
            <w:pPr>
              <w:widowControl w:val="0"/>
              <w:tabs>
                <w:tab w:val="left" w:pos="5670"/>
              </w:tabs>
              <w:spacing w:before="0" w:after="0"/>
              <w:rPr>
                <w:szCs w:val="24"/>
              </w:rPr>
            </w:pPr>
            <w:r w:rsidRPr="0059729F">
              <w:rPr>
                <w:szCs w:val="24"/>
              </w:rPr>
              <w:t>MB kiến nghị NHNN điều chỉnh tỷ lệ dự phòng cụ thể đã trích lập so với nợ nhóm 2 đến 5 thành:</w:t>
            </w:r>
          </w:p>
          <w:p w14:paraId="5BDC1CA4" w14:textId="77777777" w:rsidR="00755E60" w:rsidRPr="0059729F" w:rsidRDefault="00755E60" w:rsidP="00B268EC">
            <w:pPr>
              <w:widowControl w:val="0"/>
              <w:tabs>
                <w:tab w:val="left" w:pos="5670"/>
              </w:tabs>
              <w:spacing w:before="0" w:after="0"/>
              <w:rPr>
                <w:szCs w:val="24"/>
              </w:rPr>
            </w:pPr>
            <w:r w:rsidRPr="0059729F">
              <w:rPr>
                <w:szCs w:val="24"/>
              </w:rPr>
              <w:t xml:space="preserve">+ Tỷ lệ dự phòng bao phủ nợ xấu (nhóm 3 đến 5) nhằm phản ánh sát thực tế hơn mức độ sẵn sàng xử lý rủi ro tín dụng, phù hợp với thông lệ quốc tế. </w:t>
            </w:r>
          </w:p>
          <w:p w14:paraId="2643B3B8" w14:textId="77777777" w:rsidR="00755E60" w:rsidRPr="0059729F" w:rsidRDefault="00755E60" w:rsidP="00B268EC">
            <w:pPr>
              <w:widowControl w:val="0"/>
              <w:tabs>
                <w:tab w:val="left" w:pos="5670"/>
              </w:tabs>
              <w:spacing w:before="0" w:after="0"/>
              <w:rPr>
                <w:szCs w:val="24"/>
              </w:rPr>
            </w:pPr>
            <w:r w:rsidRPr="0059729F">
              <w:rPr>
                <w:szCs w:val="24"/>
              </w:rPr>
              <w:t>MB nhận thấy chỉ tiêu tỷ lệ dự phòng so với nhóm 2–5 cần được xem xét điều chỉnh sang tỷ lệ dự phòng bao phủ nợ xấu (nhóm 3–5) nhằm phản ánh sát thực hơn mức độ sẵn sàng xử lý rủi ro tín dụng, phù hợp thông lệ quốc tế, đồng thời khuyến khích các TCTD quản trị tín dụng tốt hơn do nợ nhóm 2 mới là “nợ cần chú ý” và có thể về nhóm trong trường hợp các TCTD quản trị tốt rủi ro tín dụng.</w:t>
            </w:r>
          </w:p>
          <w:p w14:paraId="0E526227" w14:textId="77777777" w:rsidR="00755E60" w:rsidRPr="0059729F" w:rsidRDefault="00755E60" w:rsidP="00B268EC">
            <w:pPr>
              <w:widowControl w:val="0"/>
              <w:tabs>
                <w:tab w:val="left" w:pos="5670"/>
              </w:tabs>
              <w:spacing w:before="0" w:after="0"/>
              <w:rPr>
                <w:szCs w:val="24"/>
              </w:rPr>
            </w:pPr>
            <w:r w:rsidRPr="0059729F">
              <w:rPr>
                <w:szCs w:val="24"/>
              </w:rPr>
              <w:t>Ngoài ra, các tổ chức xếp hạng tín nhiệm (Fitch, Moody’s, S&amp;P…) thường sử dụng chỉ tiêu “Loan Loss Reserves / Non-performing Loans (LLR/NPL)” – Tỷ lệ bao phủ nợ xấu để đánh giá mức độ sẵn sàng ứng phó rủi ro tín dụng của các TCTD. Và đây cũng là chỉ tiêu phổ biến trong các báo cáo giám sát của IMF, World Bank, Basel.</w:t>
            </w:r>
          </w:p>
        </w:tc>
        <w:tc>
          <w:tcPr>
            <w:tcW w:w="4252" w:type="dxa"/>
            <w:vMerge/>
            <w:vAlign w:val="center"/>
          </w:tcPr>
          <w:p w14:paraId="098C3083"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4FE7C467" w14:textId="77777777" w:rsidTr="00776E98">
        <w:trPr>
          <w:cantSplit/>
        </w:trPr>
        <w:tc>
          <w:tcPr>
            <w:tcW w:w="3828" w:type="dxa"/>
            <w:vMerge/>
          </w:tcPr>
          <w:p w14:paraId="11A5E693" w14:textId="77777777" w:rsidR="00755E60" w:rsidRPr="0002360B" w:rsidRDefault="00755E60" w:rsidP="00B268EC">
            <w:pPr>
              <w:widowControl w:val="0"/>
              <w:tabs>
                <w:tab w:val="left" w:pos="5670"/>
              </w:tabs>
              <w:spacing w:before="0" w:after="0"/>
              <w:rPr>
                <w:b/>
                <w:szCs w:val="24"/>
                <w:lang w:val="pt-BR"/>
              </w:rPr>
            </w:pPr>
          </w:p>
        </w:tc>
        <w:tc>
          <w:tcPr>
            <w:tcW w:w="1730" w:type="dxa"/>
            <w:tcBorders>
              <w:top w:val="nil"/>
              <w:left w:val="single" w:sz="4" w:space="0" w:color="auto"/>
              <w:bottom w:val="single" w:sz="4" w:space="0" w:color="auto"/>
              <w:right w:val="single" w:sz="4" w:space="0" w:color="auto"/>
            </w:tcBorders>
            <w:vAlign w:val="center"/>
          </w:tcPr>
          <w:p w14:paraId="248B4D3A" w14:textId="77777777" w:rsidR="00755E60" w:rsidRPr="0059729F" w:rsidRDefault="00755E60" w:rsidP="00B268EC">
            <w:pPr>
              <w:widowControl w:val="0"/>
              <w:tabs>
                <w:tab w:val="left" w:pos="5670"/>
              </w:tabs>
              <w:spacing w:before="0" w:after="0"/>
              <w:jc w:val="left"/>
              <w:rPr>
                <w:szCs w:val="24"/>
              </w:rPr>
            </w:pPr>
            <w:r w:rsidRPr="0059729F">
              <w:rPr>
                <w:szCs w:val="24"/>
              </w:rPr>
              <w:t>NHTMCP Tiên Phong</w:t>
            </w:r>
          </w:p>
        </w:tc>
        <w:tc>
          <w:tcPr>
            <w:tcW w:w="5358" w:type="dxa"/>
            <w:tcBorders>
              <w:top w:val="nil"/>
              <w:left w:val="nil"/>
              <w:bottom w:val="single" w:sz="4" w:space="0" w:color="auto"/>
              <w:right w:val="single" w:sz="4" w:space="0" w:color="auto"/>
            </w:tcBorders>
            <w:vAlign w:val="center"/>
          </w:tcPr>
          <w:p w14:paraId="0F1E69EA" w14:textId="77777777" w:rsidR="00755E60" w:rsidRPr="0059729F" w:rsidRDefault="00755E60" w:rsidP="00B268EC">
            <w:pPr>
              <w:widowControl w:val="0"/>
              <w:tabs>
                <w:tab w:val="left" w:pos="5670"/>
              </w:tabs>
              <w:spacing w:before="0" w:after="0"/>
              <w:rPr>
                <w:szCs w:val="24"/>
              </w:rPr>
            </w:pPr>
            <w:r w:rsidRPr="0059729F">
              <w:rPr>
                <w:szCs w:val="24"/>
              </w:rPr>
              <w:t>Đề xuất: (i) không bổ sung quy định tại điểm h khoản 1 Điều 8 Thông tư số 52/2018/TT-NHNN như tại Dự thảo; hoặc (ii) sửa đổi quy định tại điểm h này theo hướng đánh giá khả năng bao phủ nợ xấu của Ngân hàng thương mại (NHTM) bao gồm cả dự phòng chung cho vay, đồng thời nợ xấu chỉ gồm nhóm 3-5 vì:</w:t>
            </w:r>
          </w:p>
          <w:p w14:paraId="1CD1E032" w14:textId="77777777" w:rsidR="00755E60" w:rsidRPr="0059729F" w:rsidRDefault="00755E60" w:rsidP="00B268EC">
            <w:pPr>
              <w:widowControl w:val="0"/>
              <w:tabs>
                <w:tab w:val="left" w:pos="5670"/>
              </w:tabs>
              <w:spacing w:before="0" w:after="0"/>
              <w:rPr>
                <w:szCs w:val="24"/>
              </w:rPr>
            </w:pPr>
            <w:r w:rsidRPr="0059729F">
              <w:rPr>
                <w:szCs w:val="24"/>
              </w:rPr>
              <w:t>1. Theo Thông lệ của các tổ chức quốc tế như Moody's: đánh giá khả năng bao phủ nợ xấu của NHTM bao gồm cả dự phòng chung cho vay. Ngoài ra, theo quy định tại Thông tư số 31/2024/TT-NHNN quy định về phân loại tài sản có trong hoạt động của ngân hàng thương mại, tổ chức tín dụng phi ngân hàng, chi nhánh ngân hàng nước ngoài, nợ xấu chỉ bao gồm các khoản nợ thuộc các nhóm 3, 4, 5.</w:t>
            </w:r>
          </w:p>
          <w:p w14:paraId="3A929BC1" w14:textId="77777777" w:rsidR="00755E60" w:rsidRPr="0059729F" w:rsidRDefault="00755E60" w:rsidP="00B268EC">
            <w:pPr>
              <w:widowControl w:val="0"/>
              <w:tabs>
                <w:tab w:val="left" w:pos="5670"/>
              </w:tabs>
              <w:spacing w:before="0" w:after="0"/>
              <w:rPr>
                <w:szCs w:val="24"/>
              </w:rPr>
            </w:pPr>
            <w:r w:rsidRPr="0059729F">
              <w:rPr>
                <w:szCs w:val="24"/>
              </w:rPr>
              <w:t>2. Tỷ lệ dự phòng cụ thể/Tổng dư nợ nhóm 2-5 cao hơn chưa phản ánh chất lượng tài sản tốt hơn vì:</w:t>
            </w:r>
          </w:p>
          <w:p w14:paraId="256E20CB" w14:textId="77777777" w:rsidR="00755E60" w:rsidRPr="0059729F" w:rsidRDefault="00755E60" w:rsidP="00B268EC">
            <w:pPr>
              <w:widowControl w:val="0"/>
              <w:tabs>
                <w:tab w:val="left" w:pos="5670"/>
              </w:tabs>
              <w:spacing w:before="0" w:after="0"/>
              <w:rPr>
                <w:szCs w:val="24"/>
              </w:rPr>
            </w:pPr>
            <w:r w:rsidRPr="0059729F">
              <w:rPr>
                <w:szCs w:val="24"/>
              </w:rPr>
              <w:t>- Tỷ lệ trích lập dự phòng cụ thể và tỷ lệ khấu trừ có tài sản bảo đảm là cố định theo từng nhóm nợ/từng loại có tài sản bảo đảm theo quy định. Do đó, đối với các khoản vay quá hạn nhưng có tài sản bảo đảm an toàn, tỷ lệ khấu trừ cao thì mức trích lập dự phòng cụ thể thấp hơn so với các khoản vay tín chấp hoặc tài sản bảo đảm kém an toàn (có khả năng thu hồi thấp), dẫn đến dự phòng cụ thể đối với các khoản vay có tài sản bảo đảm tốt thấp hơn dự phòng cụ thể đối với các khoản vay tín chấp hoặc có tài sản bảo đảm kém an toàn hơn.</w:t>
            </w:r>
          </w:p>
          <w:p w14:paraId="0CECD1E2" w14:textId="77777777" w:rsidR="00755E60" w:rsidRPr="0059729F" w:rsidRDefault="00755E60" w:rsidP="00B268EC">
            <w:pPr>
              <w:widowControl w:val="0"/>
              <w:tabs>
                <w:tab w:val="left" w:pos="5670"/>
              </w:tabs>
              <w:spacing w:before="0" w:after="0"/>
              <w:rPr>
                <w:szCs w:val="24"/>
              </w:rPr>
            </w:pPr>
            <w:r w:rsidRPr="0059729F">
              <w:rPr>
                <w:szCs w:val="24"/>
              </w:rPr>
              <w:t>- Bên cạnh đó, NHTM thực hiện trích lập dự phòng rủi ro theo đúng quy định NHNN, rất khó có thể trích dự phòng cao hơn mức quy định do cơ quan thuế sẽ nghi ngờ về việc tăng trích lập dự phòng để phục vụ hành vi trốn thuế.</w:t>
            </w:r>
          </w:p>
        </w:tc>
        <w:tc>
          <w:tcPr>
            <w:tcW w:w="4252" w:type="dxa"/>
            <w:vMerge/>
            <w:vAlign w:val="center"/>
          </w:tcPr>
          <w:p w14:paraId="743C7F2D"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754028BE" w14:textId="77777777" w:rsidTr="00776E98">
        <w:trPr>
          <w:cantSplit/>
        </w:trPr>
        <w:tc>
          <w:tcPr>
            <w:tcW w:w="3828" w:type="dxa"/>
            <w:vMerge/>
          </w:tcPr>
          <w:p w14:paraId="0966825B" w14:textId="77777777" w:rsidR="00755E60" w:rsidRPr="0002360B" w:rsidRDefault="00755E60" w:rsidP="00B268EC">
            <w:pPr>
              <w:widowControl w:val="0"/>
              <w:tabs>
                <w:tab w:val="left" w:pos="5670"/>
              </w:tabs>
              <w:spacing w:before="0" w:after="0"/>
              <w:rPr>
                <w:b/>
                <w:szCs w:val="24"/>
                <w:lang w:val="pt-BR"/>
              </w:rPr>
            </w:pPr>
          </w:p>
        </w:tc>
        <w:tc>
          <w:tcPr>
            <w:tcW w:w="1730" w:type="dxa"/>
            <w:tcBorders>
              <w:top w:val="nil"/>
              <w:left w:val="single" w:sz="4" w:space="0" w:color="auto"/>
              <w:bottom w:val="single" w:sz="4" w:space="0" w:color="auto"/>
              <w:right w:val="single" w:sz="4" w:space="0" w:color="auto"/>
            </w:tcBorders>
            <w:vAlign w:val="center"/>
          </w:tcPr>
          <w:p w14:paraId="3CA395DB" w14:textId="77777777" w:rsidR="00755E60" w:rsidRPr="0059729F" w:rsidRDefault="00755E60" w:rsidP="00B268EC">
            <w:pPr>
              <w:widowControl w:val="0"/>
              <w:tabs>
                <w:tab w:val="left" w:pos="5670"/>
              </w:tabs>
              <w:spacing w:before="0" w:after="0"/>
              <w:jc w:val="left"/>
              <w:rPr>
                <w:szCs w:val="24"/>
              </w:rPr>
            </w:pPr>
            <w:r w:rsidRPr="0059729F">
              <w:rPr>
                <w:szCs w:val="24"/>
              </w:rPr>
              <w:t>NHTMCP Đại chúng</w:t>
            </w:r>
          </w:p>
        </w:tc>
        <w:tc>
          <w:tcPr>
            <w:tcW w:w="5358" w:type="dxa"/>
            <w:tcBorders>
              <w:top w:val="nil"/>
              <w:left w:val="nil"/>
              <w:bottom w:val="single" w:sz="4" w:space="0" w:color="auto"/>
              <w:right w:val="single" w:sz="4" w:space="0" w:color="auto"/>
            </w:tcBorders>
            <w:vAlign w:val="center"/>
          </w:tcPr>
          <w:p w14:paraId="6AB8C042" w14:textId="77777777" w:rsidR="00755E60" w:rsidRPr="0059729F" w:rsidRDefault="00755E60" w:rsidP="00B268EC">
            <w:pPr>
              <w:widowControl w:val="0"/>
              <w:tabs>
                <w:tab w:val="left" w:pos="5670"/>
              </w:tabs>
              <w:spacing w:before="0" w:after="0"/>
              <w:rPr>
                <w:szCs w:val="24"/>
              </w:rPr>
            </w:pPr>
            <w:r w:rsidRPr="0059729F">
              <w:rPr>
                <w:szCs w:val="24"/>
              </w:rPr>
              <w:t>TSBĐ là một trong những yếu tố quan trọng để ngân hàng cấp tín dụng cho khách hàng, khi khách hàng phát sinh nợ quá hạn, giá trị TSBĐ lớn thì ngân hàng không cần phải trích lập dự phòng.</w:t>
            </w:r>
          </w:p>
          <w:p w14:paraId="4CB48BAD" w14:textId="77777777" w:rsidR="00755E60" w:rsidRPr="0059729F" w:rsidRDefault="00755E60" w:rsidP="00B268EC">
            <w:pPr>
              <w:widowControl w:val="0"/>
              <w:tabs>
                <w:tab w:val="left" w:pos="5670"/>
              </w:tabs>
              <w:spacing w:before="0" w:after="0"/>
              <w:rPr>
                <w:szCs w:val="24"/>
              </w:rPr>
            </w:pPr>
            <w:r w:rsidRPr="0059729F">
              <w:rPr>
                <w:szCs w:val="24"/>
              </w:rPr>
              <w:t>Chính vì vậy chỉ tiêu này áp dụng để chấm điểm TCTD là không phù hợp.</w:t>
            </w:r>
          </w:p>
        </w:tc>
        <w:tc>
          <w:tcPr>
            <w:tcW w:w="4252" w:type="dxa"/>
            <w:vMerge/>
            <w:vAlign w:val="center"/>
          </w:tcPr>
          <w:p w14:paraId="455F54AC"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4CEBE2A9" w14:textId="77777777" w:rsidTr="00776E98">
        <w:trPr>
          <w:cantSplit/>
        </w:trPr>
        <w:tc>
          <w:tcPr>
            <w:tcW w:w="3828" w:type="dxa"/>
            <w:vMerge/>
          </w:tcPr>
          <w:p w14:paraId="3967EE32" w14:textId="77777777" w:rsidR="00755E60" w:rsidRPr="0002360B" w:rsidRDefault="00755E60" w:rsidP="00B268EC">
            <w:pPr>
              <w:widowControl w:val="0"/>
              <w:tabs>
                <w:tab w:val="left" w:pos="5670"/>
              </w:tabs>
              <w:spacing w:before="0" w:after="0"/>
              <w:rPr>
                <w:b/>
                <w:szCs w:val="24"/>
                <w:lang w:val="pt-BR"/>
              </w:rPr>
            </w:pPr>
          </w:p>
        </w:tc>
        <w:tc>
          <w:tcPr>
            <w:tcW w:w="1730" w:type="dxa"/>
            <w:tcBorders>
              <w:top w:val="nil"/>
              <w:left w:val="single" w:sz="4" w:space="0" w:color="auto"/>
              <w:bottom w:val="single" w:sz="4" w:space="0" w:color="auto"/>
              <w:right w:val="single" w:sz="4" w:space="0" w:color="auto"/>
            </w:tcBorders>
            <w:vAlign w:val="center"/>
          </w:tcPr>
          <w:p w14:paraId="6329C0AA" w14:textId="086C71A3" w:rsidR="00755E60" w:rsidRPr="0059729F" w:rsidRDefault="00755E60" w:rsidP="00B268EC">
            <w:pPr>
              <w:widowControl w:val="0"/>
              <w:tabs>
                <w:tab w:val="left" w:pos="5670"/>
              </w:tabs>
              <w:spacing w:before="0" w:after="0"/>
              <w:jc w:val="left"/>
              <w:rPr>
                <w:szCs w:val="24"/>
              </w:rPr>
            </w:pPr>
            <w:r w:rsidRPr="0059729F">
              <w:rPr>
                <w:szCs w:val="24"/>
              </w:rPr>
              <w:t>NHTMCP Quốc Dân</w:t>
            </w:r>
            <w:r w:rsidR="00C35981">
              <w:rPr>
                <w:szCs w:val="24"/>
              </w:rPr>
              <w:t>, Hiệp hội ngân hàng Việt Nam</w:t>
            </w:r>
          </w:p>
        </w:tc>
        <w:tc>
          <w:tcPr>
            <w:tcW w:w="5358" w:type="dxa"/>
            <w:tcBorders>
              <w:top w:val="nil"/>
              <w:left w:val="nil"/>
              <w:bottom w:val="single" w:sz="4" w:space="0" w:color="auto"/>
              <w:right w:val="single" w:sz="4" w:space="0" w:color="auto"/>
            </w:tcBorders>
            <w:vAlign w:val="center"/>
          </w:tcPr>
          <w:p w14:paraId="53D1250E" w14:textId="77777777" w:rsidR="00755E60" w:rsidRPr="0059729F" w:rsidRDefault="00755E60" w:rsidP="00B268EC">
            <w:pPr>
              <w:widowControl w:val="0"/>
              <w:tabs>
                <w:tab w:val="left" w:pos="5670"/>
              </w:tabs>
              <w:spacing w:before="0" w:after="0"/>
              <w:rPr>
                <w:szCs w:val="24"/>
              </w:rPr>
            </w:pPr>
            <w:r w:rsidRPr="0059729F">
              <w:rPr>
                <w:szCs w:val="24"/>
              </w:rPr>
              <w:t>- Việc bổ sung quy định tỷ lệ về tài sản có bình quân với tổng tài sản bình quân gia tăng áp lực kiểm soát tài sản không sinh lời cho TCTD; phát sinh chi phí vận hành, báo cáo; hệ thống kế toán phải chặt chẽ, chi tiết hơn. Đặc biệt, quy định này gây khó khăn đối với các TCTD nhỏ, mới chuyển đổi.</w:t>
            </w:r>
          </w:p>
          <w:p w14:paraId="19876820" w14:textId="77777777" w:rsidR="00755E60" w:rsidRPr="0059729F" w:rsidRDefault="00755E60" w:rsidP="00B268EC">
            <w:pPr>
              <w:widowControl w:val="0"/>
              <w:tabs>
                <w:tab w:val="left" w:pos="5670"/>
              </w:tabs>
              <w:spacing w:before="0" w:after="0"/>
              <w:rPr>
                <w:szCs w:val="24"/>
              </w:rPr>
            </w:pPr>
            <w:r w:rsidRPr="0059729F">
              <w:rPr>
                <w:szCs w:val="24"/>
              </w:rPr>
              <w:t>- NCB đề xuất NHNN xem xét: Điều chỉnh lại quy định linh hoạt hơn để phù hợp với quy mô của các TCTD.</w:t>
            </w:r>
          </w:p>
        </w:tc>
        <w:tc>
          <w:tcPr>
            <w:tcW w:w="4252" w:type="dxa"/>
            <w:vAlign w:val="center"/>
          </w:tcPr>
          <w:p w14:paraId="7AB24586" w14:textId="77777777" w:rsidR="00755E60" w:rsidRPr="0059729F" w:rsidRDefault="00755E60" w:rsidP="00B268EC">
            <w:pPr>
              <w:widowControl w:val="0"/>
              <w:tabs>
                <w:tab w:val="left" w:pos="5670"/>
              </w:tabs>
              <w:spacing w:before="0" w:after="0"/>
              <w:ind w:left="-41"/>
              <w:rPr>
                <w:b/>
                <w:bCs/>
                <w:szCs w:val="24"/>
              </w:rPr>
            </w:pPr>
            <w:r w:rsidRPr="0059729F">
              <w:rPr>
                <w:b/>
                <w:bCs/>
                <w:szCs w:val="24"/>
              </w:rPr>
              <w:t>Chưa tiếp thu</w:t>
            </w:r>
          </w:p>
          <w:p w14:paraId="242224D6" w14:textId="77777777" w:rsidR="00755E60" w:rsidRPr="0002360B" w:rsidRDefault="00755E60" w:rsidP="00B268EC">
            <w:pPr>
              <w:widowControl w:val="0"/>
              <w:tabs>
                <w:tab w:val="left" w:pos="5670"/>
              </w:tabs>
              <w:spacing w:before="0" w:after="0"/>
              <w:ind w:left="-41"/>
              <w:rPr>
                <w:szCs w:val="24"/>
                <w:lang w:val="pt-BR"/>
              </w:rPr>
            </w:pPr>
            <w:r w:rsidRPr="0059729F">
              <w:rPr>
                <w:szCs w:val="24"/>
              </w:rPr>
              <w:t>Việc bổ sung Tỷ lệ tài sản có khác bình quân so với Tổng tài sản bình quân nhằm đánh giá đầy đủ hơn các khoản mục thuộc cấu phần Chất lượng tài sản. Việc xây dựng ngưỡng tính điểm của chỉ tiêu được xây dựng theo nguyên tắc thống nhất, trên cơ sở dữ liệu lịch sử của từng nhóm đồng hạng, trong đó nhóm đồng hạng của NHTM đã được phân nhóm theo quy mô tổng tài sản của NHTM.</w:t>
            </w:r>
          </w:p>
        </w:tc>
      </w:tr>
      <w:tr w:rsidR="0002360B" w:rsidRPr="0002360B" w14:paraId="5DA7522D" w14:textId="77777777" w:rsidTr="00776E98">
        <w:trPr>
          <w:cantSplit/>
        </w:trPr>
        <w:tc>
          <w:tcPr>
            <w:tcW w:w="3828" w:type="dxa"/>
            <w:vMerge/>
          </w:tcPr>
          <w:p w14:paraId="10633AB9" w14:textId="77777777" w:rsidR="00755E60" w:rsidRPr="0002360B" w:rsidRDefault="00755E60" w:rsidP="00B268EC">
            <w:pPr>
              <w:widowControl w:val="0"/>
              <w:tabs>
                <w:tab w:val="left" w:pos="5670"/>
              </w:tabs>
              <w:spacing w:before="0" w:after="0"/>
              <w:rPr>
                <w:b/>
                <w:szCs w:val="24"/>
                <w:lang w:val="pt-BR"/>
              </w:rPr>
            </w:pPr>
          </w:p>
        </w:tc>
        <w:tc>
          <w:tcPr>
            <w:tcW w:w="1730" w:type="dxa"/>
            <w:tcBorders>
              <w:top w:val="nil"/>
              <w:left w:val="single" w:sz="4" w:space="0" w:color="auto"/>
              <w:bottom w:val="single" w:sz="4" w:space="0" w:color="auto"/>
              <w:right w:val="single" w:sz="4" w:space="0" w:color="auto"/>
            </w:tcBorders>
            <w:vAlign w:val="center"/>
          </w:tcPr>
          <w:p w14:paraId="49D09011" w14:textId="77777777" w:rsidR="00755E60" w:rsidRPr="0059729F" w:rsidRDefault="00755E60" w:rsidP="00B268EC">
            <w:pPr>
              <w:widowControl w:val="0"/>
              <w:tabs>
                <w:tab w:val="left" w:pos="5670"/>
              </w:tabs>
              <w:spacing w:before="0" w:after="0"/>
              <w:jc w:val="left"/>
              <w:rPr>
                <w:szCs w:val="24"/>
              </w:rPr>
            </w:pPr>
            <w:r w:rsidRPr="0059729F">
              <w:rPr>
                <w:szCs w:val="24"/>
              </w:rPr>
              <w:t>NHTMCP Tiên Phong</w:t>
            </w:r>
          </w:p>
        </w:tc>
        <w:tc>
          <w:tcPr>
            <w:tcW w:w="5358" w:type="dxa"/>
            <w:tcBorders>
              <w:top w:val="nil"/>
              <w:left w:val="nil"/>
              <w:bottom w:val="single" w:sz="4" w:space="0" w:color="auto"/>
              <w:right w:val="single" w:sz="4" w:space="0" w:color="auto"/>
            </w:tcBorders>
            <w:vAlign w:val="center"/>
          </w:tcPr>
          <w:p w14:paraId="6133B33E" w14:textId="77777777" w:rsidR="00755E60" w:rsidRPr="0059729F" w:rsidRDefault="00755E60" w:rsidP="00B268EC">
            <w:pPr>
              <w:widowControl w:val="0"/>
              <w:tabs>
                <w:tab w:val="left" w:pos="5670"/>
              </w:tabs>
              <w:spacing w:before="0" w:after="0"/>
              <w:rPr>
                <w:szCs w:val="24"/>
              </w:rPr>
            </w:pPr>
            <w:r w:rsidRPr="0059729F">
              <w:rPr>
                <w:szCs w:val="24"/>
              </w:rPr>
              <w:t>Đề nghị xem xét có yếu tố loại trừ “Các khoản phải thu từ tài trợ thương mại khỏi Tài sản có” nhằm định hướng hỗ trợ hoạt động tài trợ thương mại, giúp ngân hàng gia tăng thu phí, đồng thời giảm tác động tiêu cực lên các thống kê Loan/Deposit - của Moody's hoặc dư nợ tín dụng/GDP của toàn hệ thống.</w:t>
            </w:r>
          </w:p>
        </w:tc>
        <w:tc>
          <w:tcPr>
            <w:tcW w:w="4252" w:type="dxa"/>
            <w:vAlign w:val="center"/>
          </w:tcPr>
          <w:p w14:paraId="17702DEA" w14:textId="77777777" w:rsidR="00755E60" w:rsidRPr="0059729F" w:rsidRDefault="00755E60" w:rsidP="00B268EC">
            <w:pPr>
              <w:widowControl w:val="0"/>
              <w:tabs>
                <w:tab w:val="left" w:pos="5670"/>
              </w:tabs>
              <w:spacing w:before="0" w:after="0"/>
              <w:ind w:left="-41"/>
              <w:rPr>
                <w:b/>
                <w:bCs/>
                <w:szCs w:val="24"/>
              </w:rPr>
            </w:pPr>
            <w:r w:rsidRPr="0059729F">
              <w:rPr>
                <w:b/>
                <w:bCs/>
                <w:szCs w:val="24"/>
              </w:rPr>
              <w:t>Chưa tiếp thu</w:t>
            </w:r>
          </w:p>
          <w:p w14:paraId="459E1C0F" w14:textId="77777777" w:rsidR="00755E60" w:rsidRPr="0002360B" w:rsidRDefault="00755E60" w:rsidP="00B268EC">
            <w:pPr>
              <w:widowControl w:val="0"/>
              <w:tabs>
                <w:tab w:val="left" w:pos="5670"/>
              </w:tabs>
              <w:spacing w:before="0" w:after="0"/>
              <w:ind w:left="-41"/>
              <w:rPr>
                <w:szCs w:val="24"/>
                <w:lang w:val="pt-BR"/>
              </w:rPr>
            </w:pPr>
            <w:r w:rsidRPr="0059729F">
              <w:rPr>
                <w:szCs w:val="24"/>
              </w:rPr>
              <w:t>Phạm vi “Tài sản có khác bình quân” đã được định nghĩa tại khoản 18 Điều 3 DTTT.</w:t>
            </w:r>
          </w:p>
        </w:tc>
      </w:tr>
      <w:tr w:rsidR="0002360B" w:rsidRPr="0002360B" w14:paraId="25263D6A" w14:textId="77777777" w:rsidTr="00776E98">
        <w:trPr>
          <w:cantSplit/>
        </w:trPr>
        <w:tc>
          <w:tcPr>
            <w:tcW w:w="3828" w:type="dxa"/>
          </w:tcPr>
          <w:p w14:paraId="7708634F" w14:textId="77777777" w:rsidR="00755E60" w:rsidRPr="0002360B" w:rsidRDefault="00755E60" w:rsidP="00B268EC">
            <w:pPr>
              <w:widowControl w:val="0"/>
              <w:tabs>
                <w:tab w:val="left" w:pos="5670"/>
              </w:tabs>
              <w:spacing w:before="0" w:after="0"/>
              <w:rPr>
                <w:b/>
                <w:bCs/>
                <w:szCs w:val="24"/>
                <w:lang w:val="nl-NL"/>
              </w:rPr>
            </w:pPr>
            <w:r w:rsidRPr="0059729F">
              <w:rPr>
                <w:b/>
                <w:bCs/>
                <w:szCs w:val="24"/>
                <w:lang w:val="nl-NL"/>
              </w:rPr>
              <w:lastRenderedPageBreak/>
              <w:t>Khoản 6 Điều 1 DTTT sửa đổi, bổ sung Khoản 2 Điều 9 Thông tư 52 (liên quan đến điểm g)</w:t>
            </w:r>
          </w:p>
          <w:p w14:paraId="17D6BB2C" w14:textId="77777777" w:rsidR="00755E60" w:rsidRPr="0002360B" w:rsidRDefault="00755E60" w:rsidP="00B268EC">
            <w:pPr>
              <w:widowControl w:val="0"/>
              <w:tabs>
                <w:tab w:val="left" w:pos="5670"/>
              </w:tabs>
              <w:spacing w:before="0" w:after="0"/>
              <w:ind w:hanging="1"/>
              <w:rPr>
                <w:b/>
                <w:szCs w:val="24"/>
                <w:lang w:val="pt-BR"/>
              </w:rPr>
            </w:pPr>
            <w:r w:rsidRPr="0059729F">
              <w:rPr>
                <w:bCs/>
                <w:szCs w:val="24"/>
                <w:lang w:val="nl-NL"/>
              </w:rPr>
              <w:t xml:space="preserve">g) </w:t>
            </w:r>
            <w:r w:rsidRPr="0059729F">
              <w:rPr>
                <w:bCs/>
                <w:szCs w:val="24"/>
                <w:u w:val="single"/>
                <w:lang w:val="nl-NL"/>
              </w:rPr>
              <w:t>Tuân thủ các quy định pháp luật về ban hành, rà soát, sửa đổi, bổ sung và báo cáo quy định nội bộ</w:t>
            </w:r>
            <w:r w:rsidRPr="0059729F">
              <w:rPr>
                <w:szCs w:val="24"/>
                <w:lang w:val="nl-NL"/>
              </w:rPr>
              <w:t>;</w:t>
            </w:r>
          </w:p>
        </w:tc>
        <w:tc>
          <w:tcPr>
            <w:tcW w:w="1730" w:type="dxa"/>
            <w:vAlign w:val="center"/>
          </w:tcPr>
          <w:p w14:paraId="23D74900" w14:textId="77777777" w:rsidR="00755E60" w:rsidRPr="0002360B" w:rsidRDefault="00755E60" w:rsidP="00B268EC">
            <w:pPr>
              <w:widowControl w:val="0"/>
              <w:tabs>
                <w:tab w:val="left" w:pos="5670"/>
              </w:tabs>
              <w:spacing w:before="0" w:after="0"/>
              <w:ind w:hanging="1"/>
              <w:jc w:val="left"/>
              <w:rPr>
                <w:szCs w:val="24"/>
                <w:lang w:val="pt-BR"/>
              </w:rPr>
            </w:pPr>
            <w:r w:rsidRPr="0059729F">
              <w:rPr>
                <w:szCs w:val="24"/>
                <w:lang w:val="pt-BR"/>
              </w:rPr>
              <w:t>NHTMCP Quân đội</w:t>
            </w:r>
          </w:p>
        </w:tc>
        <w:tc>
          <w:tcPr>
            <w:tcW w:w="5358" w:type="dxa"/>
          </w:tcPr>
          <w:p w14:paraId="15183974" w14:textId="77777777" w:rsidR="00755E60" w:rsidRPr="0002360B" w:rsidRDefault="00755E60" w:rsidP="00B268EC">
            <w:pPr>
              <w:widowControl w:val="0"/>
              <w:tabs>
                <w:tab w:val="left" w:pos="5670"/>
              </w:tabs>
              <w:spacing w:before="0" w:after="0"/>
              <w:ind w:left="107" w:right="82"/>
              <w:rPr>
                <w:szCs w:val="24"/>
              </w:rPr>
            </w:pPr>
            <w:r w:rsidRPr="0059729F">
              <w:rPr>
                <w:szCs w:val="24"/>
              </w:rPr>
              <w:t>Đề xuất sửa đổi Điểm g Khoản 2 Điều 9 Dự thảo theo hướng: “</w:t>
            </w:r>
            <w:r w:rsidRPr="0059729F">
              <w:rPr>
                <w:b/>
                <w:szCs w:val="24"/>
                <w:u w:val="single"/>
              </w:rPr>
              <w:t>Tuân thủ quy định về ban hành các quy định nội bộ theo Điều 101 Luật Các Tổ chức tín dụng</w:t>
            </w:r>
            <w:r w:rsidRPr="0059729F">
              <w:rPr>
                <w:szCs w:val="24"/>
              </w:rPr>
              <w:t>”.</w:t>
            </w:r>
          </w:p>
          <w:p w14:paraId="5D60D04F" w14:textId="77777777" w:rsidR="00755E60" w:rsidRPr="0002360B" w:rsidRDefault="00755E60" w:rsidP="00B268EC">
            <w:pPr>
              <w:widowControl w:val="0"/>
              <w:shd w:val="clear" w:color="auto" w:fill="FFFFFF"/>
              <w:tabs>
                <w:tab w:val="left" w:pos="5670"/>
              </w:tabs>
              <w:spacing w:before="0" w:after="0"/>
              <w:rPr>
                <w:szCs w:val="24"/>
              </w:rPr>
            </w:pPr>
            <w:r w:rsidRPr="0059729F">
              <w:rPr>
                <w:szCs w:val="24"/>
              </w:rPr>
              <w:t>- Hiện tại, pháp luật chưa có có quy định về khái niệm “quy định nội bộ”, và mỗi Tổ chức tín dụng cũng có quy định khác nhau về hệ thống văn bản nội bộ (quy chế, quy trình, hướng dẫn, mẫu biểu …) của TCTD đó.</w:t>
            </w:r>
          </w:p>
          <w:p w14:paraId="6624573D" w14:textId="77777777" w:rsidR="00755E60" w:rsidRPr="0002360B" w:rsidRDefault="00755E60" w:rsidP="00B268EC">
            <w:pPr>
              <w:widowControl w:val="0"/>
              <w:shd w:val="clear" w:color="auto" w:fill="FFFFFF"/>
              <w:tabs>
                <w:tab w:val="left" w:pos="5670"/>
              </w:tabs>
              <w:spacing w:before="0" w:after="0"/>
              <w:rPr>
                <w:szCs w:val="24"/>
              </w:rPr>
            </w:pPr>
            <w:r w:rsidRPr="0059729F">
              <w:rPr>
                <w:szCs w:val="24"/>
              </w:rPr>
              <w:t>Vì vậy, chỉ tiêu tuân thủ các quy định pháp luật về ban hành, rà soát, sửa đổi, bổ sung quy định nội bộ như quy định tại Dự thảo là quá rộng, và sẽ khó khăn cho các Tổ chức tín dụng khi triển khai thực hiện.</w:t>
            </w:r>
          </w:p>
          <w:p w14:paraId="1B33B89F" w14:textId="77777777" w:rsidR="00755E60" w:rsidRPr="0002360B" w:rsidRDefault="00755E60" w:rsidP="00B268EC">
            <w:pPr>
              <w:widowControl w:val="0"/>
              <w:tabs>
                <w:tab w:val="left" w:pos="5670"/>
              </w:tabs>
              <w:spacing w:before="0" w:after="0"/>
              <w:rPr>
                <w:szCs w:val="24"/>
                <w:lang w:val="pt-BR"/>
              </w:rPr>
            </w:pPr>
            <w:r w:rsidRPr="0059729F">
              <w:rPr>
                <w:szCs w:val="24"/>
              </w:rPr>
              <w:t>- Điều 101 Luật Các Tổ chức tín dụng có quy định cụ thể các nội dung mà Tổ chức tín dụng phải ban hành quy định nội bộ. Do đó, để các TCTD có cơ sở thực hiện thống nhất.</w:t>
            </w:r>
          </w:p>
        </w:tc>
        <w:tc>
          <w:tcPr>
            <w:tcW w:w="4252" w:type="dxa"/>
          </w:tcPr>
          <w:p w14:paraId="2A3E7019" w14:textId="77777777" w:rsidR="00755E60" w:rsidRPr="0002360B" w:rsidRDefault="00755E60" w:rsidP="00B268EC">
            <w:pPr>
              <w:widowControl w:val="0"/>
              <w:tabs>
                <w:tab w:val="left" w:pos="5670"/>
              </w:tabs>
              <w:spacing w:before="0" w:after="0"/>
              <w:rPr>
                <w:b/>
                <w:szCs w:val="24"/>
                <w:lang w:val="pt-BR"/>
              </w:rPr>
            </w:pPr>
            <w:r w:rsidRPr="0059729F">
              <w:rPr>
                <w:b/>
                <w:szCs w:val="24"/>
                <w:lang w:val="pt-BR"/>
              </w:rPr>
              <w:t>Chưa tiếp thu</w:t>
            </w:r>
          </w:p>
          <w:p w14:paraId="385F3BBC" w14:textId="77777777" w:rsidR="00755E60" w:rsidRPr="00B674B7" w:rsidRDefault="00755E60" w:rsidP="00B268EC">
            <w:pPr>
              <w:widowControl w:val="0"/>
              <w:tabs>
                <w:tab w:val="left" w:pos="5670"/>
              </w:tabs>
              <w:spacing w:before="0" w:after="0"/>
              <w:rPr>
                <w:szCs w:val="24"/>
                <w:lang w:val="pt-BR"/>
              </w:rPr>
            </w:pPr>
            <w:r w:rsidRPr="0059729F">
              <w:rPr>
                <w:szCs w:val="24"/>
                <w:lang w:val="pt-BR"/>
              </w:rPr>
              <w:t>Liên quan đến quy định nội bộ: Ngoài Luật Các TCTD (Điều 101) còn có các văn bản dưới Luật (ví dụ Thông tư 13/2018/TT-NHNN ngày 18/5/2018 quy định về hệ thống kiểm soát nội bộ của ngân hàng thương mại, chi nhánh ngân hàng nước ngoài, Thông tư 31/2024/TT-NHNN ngày 30/6/2024 quy định về phân loại tài sản có trong hoạt động của ngân hàng thương mại, tổ chức tín dụng phi ngân hàng, chi nhánh ngân hàng nước ngoài). Theo đó, ngoài việc TCTD phải tuân thủ quy định liên quan đến quy định nội bộ tại Luật Các TCTD, tại các văn bản này đều có quy định cụ thể, chi tiết hơn yêu cầu TCTD phải tuân thủ (ví dụ: được đánh giá định kỳ, sửa đổi, bổ sung</w:t>
            </w:r>
            <w:r w:rsidR="001175CA" w:rsidRPr="0059729F">
              <w:rPr>
                <w:szCs w:val="24"/>
                <w:lang w:val="pt-BR"/>
              </w:rPr>
              <w:t>...</w:t>
            </w:r>
            <w:r w:rsidRPr="0059729F">
              <w:rPr>
                <w:szCs w:val="24"/>
                <w:lang w:val="pt-BR"/>
              </w:rPr>
              <w:t>).</w:t>
            </w:r>
          </w:p>
          <w:p w14:paraId="38836E2B" w14:textId="77777777" w:rsidR="00755E60" w:rsidRPr="0002360B" w:rsidRDefault="00755E60" w:rsidP="00B268EC">
            <w:pPr>
              <w:widowControl w:val="0"/>
              <w:tabs>
                <w:tab w:val="left" w:pos="5670"/>
              </w:tabs>
              <w:spacing w:before="0" w:after="0"/>
              <w:rPr>
                <w:b/>
                <w:szCs w:val="24"/>
                <w:lang w:val="pt-BR"/>
              </w:rPr>
            </w:pPr>
            <w:r w:rsidRPr="0059729F">
              <w:rPr>
                <w:szCs w:val="24"/>
                <w:lang w:val="pt-BR"/>
              </w:rPr>
              <w:t>Điểm của nhóm chỉ tiêu định tính trong kết quả xếp hạng được xác định trên cơ sở đánh giá mức độ tuân thủ quy định pháp luật. Do đó nội dung quy định như tại DTTT là cần thiết nhằm bao quát hết các quy định pháp luật liên quan đến quy định nội bộ TCTD cần tuân thủ.</w:t>
            </w:r>
            <w:r w:rsidRPr="0059729F">
              <w:rPr>
                <w:b/>
                <w:szCs w:val="24"/>
                <w:lang w:val="pt-BR"/>
              </w:rPr>
              <w:t xml:space="preserve"> </w:t>
            </w:r>
          </w:p>
        </w:tc>
      </w:tr>
      <w:tr w:rsidR="0002360B" w:rsidRPr="0002360B" w14:paraId="7FF87C3C" w14:textId="77777777" w:rsidTr="00776E98">
        <w:trPr>
          <w:cantSplit/>
        </w:trPr>
        <w:tc>
          <w:tcPr>
            <w:tcW w:w="3828" w:type="dxa"/>
          </w:tcPr>
          <w:p w14:paraId="470EE486" w14:textId="77777777" w:rsidR="00755E60" w:rsidRPr="0002360B" w:rsidRDefault="00755E60" w:rsidP="00B268EC">
            <w:pPr>
              <w:widowControl w:val="0"/>
              <w:tabs>
                <w:tab w:val="left" w:pos="5670"/>
              </w:tabs>
              <w:spacing w:before="0" w:after="0"/>
              <w:rPr>
                <w:b/>
                <w:bCs/>
                <w:szCs w:val="24"/>
                <w:lang w:val="nl-NL"/>
              </w:rPr>
            </w:pPr>
          </w:p>
        </w:tc>
        <w:tc>
          <w:tcPr>
            <w:tcW w:w="1730" w:type="dxa"/>
            <w:vAlign w:val="center"/>
          </w:tcPr>
          <w:p w14:paraId="2161BA6E" w14:textId="77777777" w:rsidR="00755E60" w:rsidRPr="0002360B" w:rsidRDefault="00755E60" w:rsidP="00B268EC">
            <w:pPr>
              <w:widowControl w:val="0"/>
              <w:tabs>
                <w:tab w:val="left" w:pos="5670"/>
              </w:tabs>
              <w:spacing w:before="0" w:after="0"/>
              <w:ind w:hanging="1"/>
              <w:jc w:val="left"/>
              <w:rPr>
                <w:szCs w:val="24"/>
                <w:lang w:val="pt-BR"/>
              </w:rPr>
            </w:pPr>
            <w:r w:rsidRPr="0059729F">
              <w:rPr>
                <w:szCs w:val="24"/>
                <w:lang w:val="pt-BR"/>
              </w:rPr>
              <w:t>NHTMCP Hàng hải</w:t>
            </w:r>
          </w:p>
        </w:tc>
        <w:tc>
          <w:tcPr>
            <w:tcW w:w="5358" w:type="dxa"/>
          </w:tcPr>
          <w:p w14:paraId="3D39C7F5" w14:textId="77777777" w:rsidR="00755E60" w:rsidRPr="0059729F" w:rsidRDefault="00755E60" w:rsidP="00B268EC">
            <w:pPr>
              <w:pStyle w:val="TableParagraph"/>
              <w:tabs>
                <w:tab w:val="left" w:pos="5670"/>
              </w:tabs>
              <w:ind w:left="0"/>
              <w:rPr>
                <w:sz w:val="24"/>
                <w:szCs w:val="24"/>
              </w:rPr>
            </w:pPr>
            <w:r w:rsidRPr="0059729F">
              <w:rPr>
                <w:sz w:val="24"/>
                <w:szCs w:val="24"/>
              </w:rPr>
              <w:t>Đề</w:t>
            </w:r>
            <w:r w:rsidRPr="0059729F">
              <w:rPr>
                <w:spacing w:val="7"/>
                <w:sz w:val="24"/>
                <w:szCs w:val="24"/>
              </w:rPr>
              <w:t xml:space="preserve"> </w:t>
            </w:r>
            <w:r w:rsidRPr="0059729F">
              <w:rPr>
                <w:sz w:val="24"/>
                <w:szCs w:val="24"/>
              </w:rPr>
              <w:t>nghị</w:t>
            </w:r>
            <w:r w:rsidRPr="0059729F">
              <w:rPr>
                <w:spacing w:val="7"/>
                <w:sz w:val="24"/>
                <w:szCs w:val="24"/>
              </w:rPr>
              <w:t xml:space="preserve"> </w:t>
            </w:r>
            <w:r w:rsidRPr="0059729F">
              <w:rPr>
                <w:sz w:val="24"/>
                <w:szCs w:val="24"/>
              </w:rPr>
              <w:t>Cơ</w:t>
            </w:r>
            <w:r w:rsidRPr="0059729F">
              <w:rPr>
                <w:spacing w:val="7"/>
                <w:sz w:val="24"/>
                <w:szCs w:val="24"/>
              </w:rPr>
              <w:t xml:space="preserve"> </w:t>
            </w:r>
            <w:r w:rsidRPr="0059729F">
              <w:rPr>
                <w:sz w:val="24"/>
                <w:szCs w:val="24"/>
              </w:rPr>
              <w:t>quan</w:t>
            </w:r>
            <w:r w:rsidRPr="0059729F">
              <w:rPr>
                <w:spacing w:val="8"/>
                <w:sz w:val="24"/>
                <w:szCs w:val="24"/>
              </w:rPr>
              <w:t xml:space="preserve"> </w:t>
            </w:r>
            <w:r w:rsidRPr="0059729F">
              <w:rPr>
                <w:sz w:val="24"/>
                <w:szCs w:val="24"/>
              </w:rPr>
              <w:t>soạn</w:t>
            </w:r>
            <w:r w:rsidRPr="0059729F">
              <w:rPr>
                <w:spacing w:val="8"/>
                <w:sz w:val="24"/>
                <w:szCs w:val="24"/>
              </w:rPr>
              <w:t xml:space="preserve"> </w:t>
            </w:r>
            <w:r w:rsidRPr="0059729F">
              <w:rPr>
                <w:sz w:val="24"/>
                <w:szCs w:val="24"/>
              </w:rPr>
              <w:t>thảo</w:t>
            </w:r>
            <w:r w:rsidRPr="0059729F">
              <w:rPr>
                <w:spacing w:val="8"/>
                <w:sz w:val="24"/>
                <w:szCs w:val="24"/>
              </w:rPr>
              <w:t xml:space="preserve"> </w:t>
            </w:r>
            <w:r w:rsidRPr="0059729F">
              <w:rPr>
                <w:sz w:val="24"/>
                <w:szCs w:val="24"/>
              </w:rPr>
              <w:t>quy</w:t>
            </w:r>
            <w:r w:rsidRPr="0059729F">
              <w:rPr>
                <w:spacing w:val="7"/>
                <w:sz w:val="24"/>
                <w:szCs w:val="24"/>
              </w:rPr>
              <w:t xml:space="preserve"> </w:t>
            </w:r>
            <w:r w:rsidRPr="0059729F">
              <w:rPr>
                <w:spacing w:val="-4"/>
                <w:sz w:val="24"/>
                <w:szCs w:val="24"/>
              </w:rPr>
              <w:t>định</w:t>
            </w:r>
            <w:r w:rsidRPr="0059729F">
              <w:rPr>
                <w:spacing w:val="-4"/>
                <w:sz w:val="24"/>
                <w:szCs w:val="24"/>
                <w:lang w:val="en-US"/>
              </w:rPr>
              <w:t xml:space="preserve"> </w:t>
            </w:r>
            <w:r w:rsidRPr="0059729F">
              <w:rPr>
                <w:sz w:val="24"/>
                <w:szCs w:val="24"/>
              </w:rPr>
              <w:t>rõ</w:t>
            </w:r>
            <w:r w:rsidRPr="0059729F">
              <w:rPr>
                <w:spacing w:val="49"/>
                <w:sz w:val="24"/>
                <w:szCs w:val="24"/>
              </w:rPr>
              <w:t xml:space="preserve"> </w:t>
            </w:r>
            <w:r w:rsidRPr="0059729F">
              <w:rPr>
                <w:sz w:val="24"/>
                <w:szCs w:val="24"/>
              </w:rPr>
              <w:t>là</w:t>
            </w:r>
            <w:r w:rsidRPr="0059729F">
              <w:rPr>
                <w:spacing w:val="50"/>
                <w:sz w:val="24"/>
                <w:szCs w:val="24"/>
              </w:rPr>
              <w:t xml:space="preserve"> </w:t>
            </w:r>
            <w:r w:rsidRPr="0059729F">
              <w:rPr>
                <w:i/>
                <w:spacing w:val="50"/>
                <w:sz w:val="24"/>
                <w:szCs w:val="24"/>
              </w:rPr>
              <w:t>“</w:t>
            </w:r>
            <w:r w:rsidRPr="0059729F">
              <w:rPr>
                <w:i/>
                <w:sz w:val="24"/>
                <w:szCs w:val="24"/>
              </w:rPr>
              <w:t>tuân</w:t>
            </w:r>
            <w:r w:rsidRPr="0059729F">
              <w:rPr>
                <w:i/>
                <w:spacing w:val="50"/>
                <w:sz w:val="24"/>
                <w:szCs w:val="24"/>
              </w:rPr>
              <w:t xml:space="preserve"> </w:t>
            </w:r>
            <w:r w:rsidRPr="0059729F">
              <w:rPr>
                <w:i/>
                <w:sz w:val="24"/>
                <w:szCs w:val="24"/>
              </w:rPr>
              <w:t>thủ</w:t>
            </w:r>
            <w:r w:rsidRPr="0059729F">
              <w:rPr>
                <w:i/>
                <w:spacing w:val="50"/>
                <w:sz w:val="24"/>
                <w:szCs w:val="24"/>
              </w:rPr>
              <w:t xml:space="preserve"> </w:t>
            </w:r>
            <w:r w:rsidRPr="0059729F">
              <w:rPr>
                <w:i/>
                <w:sz w:val="24"/>
                <w:szCs w:val="24"/>
              </w:rPr>
              <w:t>các</w:t>
            </w:r>
            <w:r w:rsidRPr="0059729F">
              <w:rPr>
                <w:i/>
                <w:spacing w:val="50"/>
                <w:sz w:val="24"/>
                <w:szCs w:val="24"/>
              </w:rPr>
              <w:t xml:space="preserve"> </w:t>
            </w:r>
            <w:r w:rsidRPr="0059729F">
              <w:rPr>
                <w:i/>
                <w:sz w:val="24"/>
                <w:szCs w:val="24"/>
              </w:rPr>
              <w:t>quy</w:t>
            </w:r>
            <w:r w:rsidRPr="0059729F">
              <w:rPr>
                <w:i/>
                <w:spacing w:val="50"/>
                <w:sz w:val="24"/>
                <w:szCs w:val="24"/>
              </w:rPr>
              <w:t xml:space="preserve"> </w:t>
            </w:r>
            <w:r w:rsidRPr="0059729F">
              <w:rPr>
                <w:i/>
                <w:sz w:val="24"/>
                <w:szCs w:val="24"/>
              </w:rPr>
              <w:t>định</w:t>
            </w:r>
            <w:r w:rsidRPr="0059729F">
              <w:rPr>
                <w:i/>
                <w:spacing w:val="50"/>
                <w:sz w:val="24"/>
                <w:szCs w:val="24"/>
              </w:rPr>
              <w:t xml:space="preserve"> </w:t>
            </w:r>
            <w:r w:rsidRPr="0059729F">
              <w:rPr>
                <w:i/>
                <w:spacing w:val="-4"/>
                <w:sz w:val="24"/>
                <w:szCs w:val="24"/>
              </w:rPr>
              <w:t>pháp</w:t>
            </w:r>
            <w:r w:rsidRPr="0059729F">
              <w:rPr>
                <w:i/>
                <w:sz w:val="24"/>
                <w:szCs w:val="24"/>
              </w:rPr>
              <w:t xml:space="preserve"> luật về ban hành, rà soát, sửa đổi,</w:t>
            </w:r>
            <w:r w:rsidRPr="0059729F">
              <w:rPr>
                <w:i/>
                <w:spacing w:val="40"/>
                <w:sz w:val="24"/>
                <w:szCs w:val="24"/>
              </w:rPr>
              <w:t xml:space="preserve"> </w:t>
            </w:r>
            <w:r w:rsidRPr="0059729F">
              <w:rPr>
                <w:i/>
                <w:sz w:val="24"/>
                <w:szCs w:val="24"/>
              </w:rPr>
              <w:t xml:space="preserve">bổ sung và </w:t>
            </w:r>
            <w:r w:rsidRPr="0059729F">
              <w:rPr>
                <w:b/>
                <w:i/>
                <w:sz w:val="24"/>
                <w:szCs w:val="24"/>
              </w:rPr>
              <w:t xml:space="preserve">gửi </w:t>
            </w:r>
            <w:r w:rsidRPr="0059729F">
              <w:rPr>
                <w:i/>
                <w:sz w:val="24"/>
                <w:szCs w:val="24"/>
              </w:rPr>
              <w:t xml:space="preserve">quy định nội bộ theo quy định của pháp luật” </w:t>
            </w:r>
            <w:r w:rsidRPr="0059729F">
              <w:rPr>
                <w:sz w:val="24"/>
                <w:szCs w:val="24"/>
              </w:rPr>
              <w:t>vì tại Điều 101 Luật Các Tổ chức tín dụng và Điều 5 Thông tư số 09/2023/TT- NHNN đều ghi rõ là “gửi”.</w:t>
            </w:r>
          </w:p>
        </w:tc>
        <w:tc>
          <w:tcPr>
            <w:tcW w:w="4252" w:type="dxa"/>
          </w:tcPr>
          <w:p w14:paraId="6CB8CC1B" w14:textId="77777777" w:rsidR="00755E60" w:rsidRPr="0002360B" w:rsidRDefault="00755E60" w:rsidP="00B268EC">
            <w:pPr>
              <w:widowControl w:val="0"/>
              <w:tabs>
                <w:tab w:val="left" w:pos="5670"/>
              </w:tabs>
              <w:spacing w:before="0" w:after="0"/>
              <w:rPr>
                <w:b/>
                <w:szCs w:val="24"/>
                <w:lang w:val="pt-BR"/>
              </w:rPr>
            </w:pPr>
            <w:r w:rsidRPr="0059729F">
              <w:rPr>
                <w:b/>
                <w:szCs w:val="24"/>
                <w:lang w:val="pt-BR"/>
              </w:rPr>
              <w:t>Chưa tiếp thu</w:t>
            </w:r>
          </w:p>
          <w:p w14:paraId="087B1A4E" w14:textId="77777777" w:rsidR="00755E60" w:rsidRPr="0002360B" w:rsidRDefault="00755E60" w:rsidP="00B268EC">
            <w:pPr>
              <w:widowControl w:val="0"/>
              <w:tabs>
                <w:tab w:val="left" w:pos="5670"/>
              </w:tabs>
              <w:spacing w:before="0" w:after="0"/>
              <w:rPr>
                <w:szCs w:val="24"/>
                <w:lang w:val="pt-BR"/>
              </w:rPr>
            </w:pPr>
            <w:r w:rsidRPr="0059729F">
              <w:rPr>
                <w:szCs w:val="24"/>
                <w:lang w:val="pt-BR"/>
              </w:rPr>
              <w:t>Hiện nay, ngoài Luật Các TCTD (Điều 101) còn có các văn bản dưới Luật (ví dụ: Thông tư 31/2024/TT-NHNN ngày 30/6/2024 quy định về phân loại tài sản có trong hoạt động của ngân hàng thương mại, tổ chức tín dụng phi ngân hàng, chi nhánh ngân hàng nước ngoài).  Tại các Thông tư này có quy định cụ thể về việc TCTD phải báo cáo NHNN về quy định nội bộ. Trong trường hợp TCTD thực hiện sửa đổi, bổ sung quy định nội bộ, thì nội dung TCTD phải thực hiện báo cáo NHNN ngoài bản quy định nội bộ mới sửa đổi, bổ sung còn có văn bản báo cáo về việc sửa đổi, bổ sung quy định nội bộ, trong đó báo cáo rõ về lý do sửa đổi, bổ sung.</w:t>
            </w:r>
          </w:p>
          <w:p w14:paraId="75ACC46D" w14:textId="18BA0239" w:rsidR="00755E60" w:rsidRPr="0002360B" w:rsidRDefault="00755E60">
            <w:pPr>
              <w:widowControl w:val="0"/>
              <w:tabs>
                <w:tab w:val="left" w:pos="5670"/>
              </w:tabs>
              <w:spacing w:before="0" w:after="0"/>
              <w:rPr>
                <w:b/>
                <w:szCs w:val="24"/>
                <w:lang w:val="pt-BR"/>
              </w:rPr>
            </w:pPr>
            <w:r w:rsidRPr="0059729F">
              <w:rPr>
                <w:szCs w:val="24"/>
                <w:lang w:val="pt-BR"/>
              </w:rPr>
              <w:t xml:space="preserve">Như vậy DTTT sử dụng cụm từ “báo cáo” </w:t>
            </w:r>
            <w:r w:rsidR="001175CA" w:rsidRPr="0059729F">
              <w:rPr>
                <w:szCs w:val="24"/>
                <w:lang w:val="pt-BR"/>
              </w:rPr>
              <w:t xml:space="preserve">nhằm </w:t>
            </w:r>
            <w:r w:rsidRPr="0059729F">
              <w:rPr>
                <w:szCs w:val="24"/>
                <w:lang w:val="pt-BR"/>
              </w:rPr>
              <w:t>bao quát hết được các quy định pháp luật liên quan đến quy định nội bộ TCTD cần tuân thủ.</w:t>
            </w:r>
          </w:p>
        </w:tc>
      </w:tr>
      <w:tr w:rsidR="0002360B" w:rsidRPr="0002360B" w14:paraId="78CF49D9" w14:textId="77777777" w:rsidTr="00776E98">
        <w:trPr>
          <w:cantSplit/>
        </w:trPr>
        <w:tc>
          <w:tcPr>
            <w:tcW w:w="3828" w:type="dxa"/>
          </w:tcPr>
          <w:p w14:paraId="7AC306B3" w14:textId="77777777" w:rsidR="00755E60" w:rsidRPr="0002360B" w:rsidRDefault="00755E60" w:rsidP="00B268EC">
            <w:pPr>
              <w:widowControl w:val="0"/>
              <w:tabs>
                <w:tab w:val="left" w:pos="5670"/>
              </w:tabs>
              <w:spacing w:before="0" w:after="0"/>
              <w:rPr>
                <w:b/>
                <w:bCs/>
                <w:szCs w:val="24"/>
                <w:lang w:val="nl-NL"/>
              </w:rPr>
            </w:pPr>
          </w:p>
        </w:tc>
        <w:tc>
          <w:tcPr>
            <w:tcW w:w="1730" w:type="dxa"/>
            <w:vAlign w:val="center"/>
          </w:tcPr>
          <w:p w14:paraId="26E4F970" w14:textId="77777777" w:rsidR="00755E60" w:rsidRPr="0002360B" w:rsidRDefault="00755E60" w:rsidP="00B268EC">
            <w:pPr>
              <w:widowControl w:val="0"/>
              <w:tabs>
                <w:tab w:val="left" w:pos="5670"/>
              </w:tabs>
              <w:spacing w:before="0" w:after="0"/>
              <w:ind w:hanging="1"/>
              <w:jc w:val="left"/>
              <w:rPr>
                <w:szCs w:val="24"/>
                <w:lang w:val="pt-BR"/>
              </w:rPr>
            </w:pPr>
            <w:r w:rsidRPr="0059729F">
              <w:rPr>
                <w:szCs w:val="24"/>
                <w:lang w:val="pt-BR"/>
              </w:rPr>
              <w:t>NHTMCP Lộc Phát</w:t>
            </w:r>
          </w:p>
        </w:tc>
        <w:tc>
          <w:tcPr>
            <w:tcW w:w="5358" w:type="dxa"/>
          </w:tcPr>
          <w:p w14:paraId="394213A2" w14:textId="77777777" w:rsidR="00755E60" w:rsidRPr="0002360B" w:rsidRDefault="00755E60" w:rsidP="00B268EC">
            <w:pPr>
              <w:widowControl w:val="0"/>
              <w:shd w:val="clear" w:color="auto" w:fill="FFFFFF"/>
              <w:tabs>
                <w:tab w:val="left" w:pos="5670"/>
              </w:tabs>
              <w:spacing w:before="0" w:after="0"/>
              <w:rPr>
                <w:rFonts w:eastAsia="Calibri"/>
                <w:szCs w:val="24"/>
              </w:rPr>
            </w:pPr>
            <w:r w:rsidRPr="0059729F">
              <w:rPr>
                <w:rFonts w:eastAsia="Calibri"/>
                <w:szCs w:val="24"/>
              </w:rPr>
              <w:t xml:space="preserve">Điểm g Khoản 1 Điều 8 Dự thảo Thông tư ghi nhận tuân thủ các quy định pháp luật về ban hành, rà soát, sửa đổi, bổ sung và báo cáo quy định nội bộ là một trong các chỉ tiêu thuộc nhóm chỉ tiêu định tính. </w:t>
            </w:r>
          </w:p>
          <w:p w14:paraId="36F7EE71" w14:textId="77777777" w:rsidR="00755E60" w:rsidRPr="0002360B" w:rsidRDefault="00755E60" w:rsidP="00B268EC">
            <w:pPr>
              <w:widowControl w:val="0"/>
              <w:shd w:val="clear" w:color="auto" w:fill="FFFFFF"/>
              <w:tabs>
                <w:tab w:val="left" w:pos="5670"/>
              </w:tabs>
              <w:spacing w:before="0" w:after="0"/>
              <w:rPr>
                <w:rFonts w:eastAsia="Calibri"/>
                <w:szCs w:val="24"/>
              </w:rPr>
            </w:pPr>
            <w:r w:rsidRPr="0059729F">
              <w:rPr>
                <w:rFonts w:eastAsia="Calibri"/>
                <w:szCs w:val="24"/>
              </w:rPr>
              <w:t>Trên cơ sở quy định pháp luật, cũng như định hướng phát triển của mình, các TCTD đưa ra những quy định nội bộ phục vụ mục đích riêng của TCTD, không có giá trị áp dụng với các tổ chức, cá nhân khác. Vì vậy, LPBank kính đề nghị lược bỏ nội dung này (Điểm g Khoản 1 Điều 8) trong nhóm chỉ tiêu định tính, không đưa vào đây để đánh giá và trừ điểm của các TCTD.</w:t>
            </w:r>
          </w:p>
          <w:p w14:paraId="60832E8E" w14:textId="77777777" w:rsidR="00755E60" w:rsidRPr="0059729F" w:rsidRDefault="00755E60" w:rsidP="00B268EC">
            <w:pPr>
              <w:pStyle w:val="TableParagraph"/>
              <w:tabs>
                <w:tab w:val="left" w:pos="5670"/>
              </w:tabs>
              <w:ind w:left="0"/>
              <w:rPr>
                <w:sz w:val="24"/>
                <w:szCs w:val="24"/>
              </w:rPr>
            </w:pPr>
          </w:p>
        </w:tc>
        <w:tc>
          <w:tcPr>
            <w:tcW w:w="4252" w:type="dxa"/>
          </w:tcPr>
          <w:p w14:paraId="239DDEB2" w14:textId="77777777" w:rsidR="00755E60" w:rsidRPr="0002360B" w:rsidRDefault="00755E60" w:rsidP="00B268EC">
            <w:pPr>
              <w:widowControl w:val="0"/>
              <w:tabs>
                <w:tab w:val="left" w:pos="5670"/>
              </w:tabs>
              <w:spacing w:before="0" w:after="0"/>
              <w:rPr>
                <w:b/>
                <w:szCs w:val="24"/>
                <w:lang w:val="pt-BR"/>
              </w:rPr>
            </w:pPr>
            <w:r w:rsidRPr="0059729F">
              <w:rPr>
                <w:b/>
                <w:szCs w:val="24"/>
                <w:lang w:val="pt-BR"/>
              </w:rPr>
              <w:t>Chưa tiếp thu</w:t>
            </w:r>
          </w:p>
          <w:p w14:paraId="7A7515B9" w14:textId="77777777" w:rsidR="00755E60" w:rsidRPr="0002360B" w:rsidRDefault="00755E60" w:rsidP="00B268EC">
            <w:pPr>
              <w:widowControl w:val="0"/>
              <w:tabs>
                <w:tab w:val="left" w:pos="5670"/>
              </w:tabs>
              <w:spacing w:before="0" w:after="0"/>
              <w:rPr>
                <w:szCs w:val="24"/>
                <w:lang w:val="pt-BR"/>
              </w:rPr>
            </w:pPr>
            <w:r w:rsidRPr="0059729F">
              <w:rPr>
                <w:szCs w:val="24"/>
                <w:lang w:val="pt-BR"/>
              </w:rPr>
              <w:t xml:space="preserve">Việc đánh giá tính tuân thủ các quy định pháp luật về ban hành, rà soát, sửa đổi, bổ sung và báo cáo quy định nội bộ là cần thiết do tại Luật Các TCTD và các văn bản dưới Luật đều có các quy định chi tiết liên quan đến quy định nội bộ yêu cầu TCTD phải tuân thủ </w:t>
            </w:r>
          </w:p>
        </w:tc>
      </w:tr>
      <w:tr w:rsidR="0002360B" w:rsidRPr="0002360B" w14:paraId="625E8523" w14:textId="77777777" w:rsidTr="00776E98">
        <w:trPr>
          <w:cantSplit/>
        </w:trPr>
        <w:tc>
          <w:tcPr>
            <w:tcW w:w="3828" w:type="dxa"/>
          </w:tcPr>
          <w:p w14:paraId="4350FC8C" w14:textId="77777777" w:rsidR="00755E60" w:rsidRPr="0002360B" w:rsidRDefault="00755E60" w:rsidP="00B268EC">
            <w:pPr>
              <w:widowControl w:val="0"/>
              <w:tabs>
                <w:tab w:val="left" w:pos="5670"/>
              </w:tabs>
              <w:spacing w:before="0" w:after="0"/>
              <w:rPr>
                <w:b/>
                <w:bCs/>
                <w:szCs w:val="24"/>
                <w:lang w:val="nl-NL"/>
              </w:rPr>
            </w:pPr>
          </w:p>
        </w:tc>
        <w:tc>
          <w:tcPr>
            <w:tcW w:w="1730" w:type="dxa"/>
            <w:vAlign w:val="center"/>
          </w:tcPr>
          <w:p w14:paraId="14F5644C" w14:textId="77777777" w:rsidR="00755E60" w:rsidRPr="0002360B" w:rsidRDefault="00755E60" w:rsidP="00B268EC">
            <w:pPr>
              <w:widowControl w:val="0"/>
              <w:tabs>
                <w:tab w:val="left" w:pos="5670"/>
              </w:tabs>
              <w:spacing w:before="0" w:after="0"/>
              <w:ind w:hanging="1"/>
              <w:jc w:val="left"/>
              <w:rPr>
                <w:szCs w:val="24"/>
                <w:lang w:val="pt-BR"/>
              </w:rPr>
            </w:pPr>
            <w:r w:rsidRPr="0059729F">
              <w:rPr>
                <w:szCs w:val="24"/>
                <w:lang w:val="pt-BR"/>
              </w:rPr>
              <w:t>NHTMCP Quốc dân</w:t>
            </w:r>
          </w:p>
        </w:tc>
        <w:tc>
          <w:tcPr>
            <w:tcW w:w="5358" w:type="dxa"/>
          </w:tcPr>
          <w:p w14:paraId="25157E7E"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Đối với Tiêu chí Quản trị Điều hành, nội dung sửa đổi, bổ sung thêm các tiêu chí tuân thủ về ban hành quy định nội bộ và tăng % trọng số sẽ tăng tính chặt chẽ, nâng cao chất lượng quản trị điều hành của TCTD. Tuy nhiên, chính điều này đã giảm đi tính linh hoạt trong các quy trình tuân thủ, phát sinh các vấn đề về nhân lực, vận hành, đào tạo, chi phí, báo cáo,…gây nên sự khó khăn trong tối ưu hóa lợi nhuận, triển khai các chiến lược kinh doanh đang phù hợp với đặc tính riêng của từng TCTD.</w:t>
            </w:r>
          </w:p>
          <w:p w14:paraId="44A27B2B" w14:textId="77777777" w:rsidR="00755E60" w:rsidRPr="0059729F" w:rsidRDefault="00755E60" w:rsidP="00B268EC">
            <w:pPr>
              <w:pStyle w:val="ListParagraph"/>
              <w:widowControl w:val="0"/>
              <w:tabs>
                <w:tab w:val="left" w:pos="5670"/>
              </w:tabs>
              <w:ind w:left="0"/>
              <w:contextualSpacing w:val="0"/>
              <w:rPr>
                <w:sz w:val="24"/>
              </w:rPr>
            </w:pPr>
            <w:r w:rsidRPr="0059729F">
              <w:rPr>
                <w:b/>
                <w:sz w:val="24"/>
                <w:u w:val="single"/>
              </w:rPr>
              <w:t>NCB đề xuất:</w:t>
            </w:r>
            <w:r w:rsidRPr="0059729F">
              <w:rPr>
                <w:sz w:val="24"/>
              </w:rPr>
              <w:t xml:space="preserve"> Cân nhắc, đánh giá, xem xét chuyển đổi chỉ tiêu phù hợp, tránh việc quá tải áp lực tới các TCTD, đặc biệt là các TCTD nhỏ, mới chuyển đổi, để các TCTD đảm bảo được tình hình kinh doanh và lợi nhuận.</w:t>
            </w:r>
          </w:p>
        </w:tc>
        <w:tc>
          <w:tcPr>
            <w:tcW w:w="4252" w:type="dxa"/>
          </w:tcPr>
          <w:p w14:paraId="285C00D5" w14:textId="77777777" w:rsidR="00755E60" w:rsidRPr="0002360B" w:rsidRDefault="00755E60" w:rsidP="00B268EC">
            <w:pPr>
              <w:widowControl w:val="0"/>
              <w:tabs>
                <w:tab w:val="left" w:pos="5670"/>
              </w:tabs>
              <w:spacing w:before="0" w:after="0"/>
              <w:rPr>
                <w:b/>
                <w:szCs w:val="24"/>
                <w:lang w:val="pt-BR"/>
              </w:rPr>
            </w:pPr>
            <w:r w:rsidRPr="0059729F">
              <w:rPr>
                <w:b/>
                <w:szCs w:val="24"/>
                <w:lang w:val="pt-BR"/>
              </w:rPr>
              <w:t>Chưa tiếp thu</w:t>
            </w:r>
          </w:p>
          <w:p w14:paraId="6C98A78B" w14:textId="77777777" w:rsidR="00755E60" w:rsidRPr="0002360B" w:rsidRDefault="00755E60" w:rsidP="00B268EC">
            <w:pPr>
              <w:widowControl w:val="0"/>
              <w:tabs>
                <w:tab w:val="left" w:pos="5670"/>
              </w:tabs>
              <w:spacing w:before="0" w:after="0"/>
              <w:rPr>
                <w:szCs w:val="24"/>
                <w:lang w:val="pt-BR"/>
              </w:rPr>
            </w:pPr>
            <w:r w:rsidRPr="0059729F">
              <w:rPr>
                <w:szCs w:val="24"/>
                <w:lang w:val="pt-BR"/>
              </w:rPr>
              <w:t xml:space="preserve">Trước đây, chỉ tiêu tuân thủ về việc ban hành, rà soát, sửa đổi, bổ sung quy định nội bộ được phân bổ ở các tiêu chí theo CAMELS căn cứ vào nội dung của quy định nội bộ. Theo đó, nội dung tuân thủ về ban hành, rà soát, sửa đổi, bổ sung các quy định nội bộ (ngoài các quy định nội bộ được liệt kê tại Điều 7, Điều 8, Điều 11 Thông tư 52) đã nằm ở điểm g khoản 2 Điều 9 Thông tư 52. </w:t>
            </w:r>
          </w:p>
          <w:p w14:paraId="37607A3B" w14:textId="77777777" w:rsidR="00755E60" w:rsidRPr="0002360B" w:rsidRDefault="00755E60" w:rsidP="00B268EC">
            <w:pPr>
              <w:widowControl w:val="0"/>
              <w:tabs>
                <w:tab w:val="left" w:pos="5670"/>
              </w:tabs>
              <w:spacing w:before="0" w:after="0"/>
              <w:rPr>
                <w:szCs w:val="24"/>
                <w:lang w:val="pt-BR"/>
              </w:rPr>
            </w:pPr>
            <w:r w:rsidRPr="0059729F">
              <w:rPr>
                <w:szCs w:val="24"/>
                <w:lang w:val="pt-BR"/>
              </w:rPr>
              <w:t>Hiện nay, DTTT sửa đổi theo hướng đưa chỉ tiêu tuân thủ về việc ban hành, rà soát, sửa đổi, bổ sung quy định nội bộ về tiêu chí Quản trị điều hành nhằm phù hợp với quy định tại Nghị định 88/2019/NĐ-CP. Do đó, việc đưa tiêu chí tuân thủ về ban hành quy định nội bộ về tiêu chí Quản trị điều hành thực chất không phải là bổ sung chỉ tiêu mới.</w:t>
            </w:r>
          </w:p>
          <w:p w14:paraId="0B3DF14B" w14:textId="479357B2" w:rsidR="00755E60" w:rsidRPr="0002360B" w:rsidRDefault="00755E60">
            <w:pPr>
              <w:widowControl w:val="0"/>
              <w:tabs>
                <w:tab w:val="left" w:pos="5670"/>
              </w:tabs>
              <w:spacing w:before="0" w:after="0"/>
              <w:rPr>
                <w:szCs w:val="24"/>
                <w:lang w:val="pt-BR"/>
              </w:rPr>
            </w:pPr>
            <w:r w:rsidRPr="0059729F">
              <w:rPr>
                <w:szCs w:val="24"/>
                <w:lang w:val="pt-BR"/>
              </w:rPr>
              <w:t>Ngoài ra, định hướng của NHNN là ưu tiên yêu cầu các TCTD nâng cao tiêu chuẩn quản trị, điều hành nhằm đẩy mạnh quản lý rủi ro trong bối cảnh thị trường hiện nay</w:t>
            </w:r>
            <w:r w:rsidR="005C5C2E" w:rsidRPr="0059729F">
              <w:rPr>
                <w:szCs w:val="24"/>
                <w:lang w:val="pt-BR"/>
              </w:rPr>
              <w:t>.</w:t>
            </w:r>
          </w:p>
        </w:tc>
      </w:tr>
      <w:tr w:rsidR="0002360B" w:rsidRPr="0002360B" w14:paraId="25595F26" w14:textId="77777777" w:rsidTr="00776E98">
        <w:trPr>
          <w:cantSplit/>
        </w:trPr>
        <w:tc>
          <w:tcPr>
            <w:tcW w:w="3828" w:type="dxa"/>
            <w:vAlign w:val="center"/>
          </w:tcPr>
          <w:p w14:paraId="5F268713" w14:textId="77777777" w:rsidR="00755E60" w:rsidRPr="0002360B" w:rsidRDefault="00755E60" w:rsidP="00B268EC">
            <w:pPr>
              <w:widowControl w:val="0"/>
              <w:tabs>
                <w:tab w:val="left" w:pos="5670"/>
              </w:tabs>
              <w:spacing w:before="0" w:after="0"/>
              <w:ind w:right="33" w:hanging="1"/>
              <w:rPr>
                <w:b/>
                <w:szCs w:val="24"/>
                <w:lang w:val="pt-BR"/>
              </w:rPr>
            </w:pPr>
            <w:r w:rsidRPr="0059729F">
              <w:rPr>
                <w:b/>
                <w:szCs w:val="24"/>
                <w:lang w:val="pt-BR"/>
              </w:rPr>
              <w:lastRenderedPageBreak/>
              <w:t>Điểm d khoản 1 Điều 11 Thông tư 52 (chưa có nội dung sửa đổi tại DTTT)</w:t>
            </w:r>
          </w:p>
          <w:p w14:paraId="6418CB4D" w14:textId="77777777" w:rsidR="00755E60" w:rsidRPr="0002360B" w:rsidRDefault="00755E60" w:rsidP="00B268EC">
            <w:pPr>
              <w:widowControl w:val="0"/>
              <w:tabs>
                <w:tab w:val="left" w:pos="5670"/>
              </w:tabs>
              <w:spacing w:before="0" w:after="0"/>
              <w:rPr>
                <w:szCs w:val="24"/>
              </w:rPr>
            </w:pPr>
            <w:r w:rsidRPr="0059729F">
              <w:rPr>
                <w:szCs w:val="24"/>
              </w:rPr>
              <w:t>“Điều 11. Khả năng thanh khoản</w:t>
            </w:r>
          </w:p>
          <w:p w14:paraId="263C3C4A" w14:textId="77777777" w:rsidR="00755E60" w:rsidRPr="0002360B" w:rsidRDefault="00755E60" w:rsidP="00B268EC">
            <w:pPr>
              <w:widowControl w:val="0"/>
              <w:tabs>
                <w:tab w:val="left" w:pos="5670"/>
              </w:tabs>
              <w:spacing w:before="0" w:after="0"/>
              <w:rPr>
                <w:b/>
                <w:bCs/>
                <w:szCs w:val="24"/>
                <w:lang w:val="nl-NL"/>
              </w:rPr>
            </w:pPr>
            <w:r w:rsidRPr="0059729F">
              <w:rPr>
                <w:szCs w:val="24"/>
              </w:rPr>
              <w:t>…d) Tỷ lệ tiền gửi của khách hàng có số dư tiền gửi lớn so với tổng tiền gửi.”</w:t>
            </w:r>
          </w:p>
        </w:tc>
        <w:tc>
          <w:tcPr>
            <w:tcW w:w="1730" w:type="dxa"/>
            <w:vAlign w:val="center"/>
          </w:tcPr>
          <w:p w14:paraId="6FE1AB43" w14:textId="77777777" w:rsidR="00755E60" w:rsidRPr="0002360B" w:rsidRDefault="00755E60" w:rsidP="00B268EC">
            <w:pPr>
              <w:widowControl w:val="0"/>
              <w:tabs>
                <w:tab w:val="left" w:pos="5670"/>
              </w:tabs>
              <w:spacing w:before="0" w:after="0"/>
              <w:ind w:hanging="1"/>
              <w:jc w:val="left"/>
              <w:rPr>
                <w:szCs w:val="24"/>
                <w:lang w:val="pt-BR"/>
              </w:rPr>
            </w:pPr>
            <w:r w:rsidRPr="0059729F">
              <w:rPr>
                <w:szCs w:val="24"/>
              </w:rPr>
              <w:t>NHTMCP Đại chúng</w:t>
            </w:r>
          </w:p>
        </w:tc>
        <w:tc>
          <w:tcPr>
            <w:tcW w:w="5358" w:type="dxa"/>
            <w:vAlign w:val="center"/>
          </w:tcPr>
          <w:p w14:paraId="3F741503"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Theo quy định của NHNN hiện nay, Tổng tiền gửi trong công thức tính Tỷ lệ dư nợ cho vay so với tổng tiền gửi bao gồm Tiền huy động từ phát hành kỳ phiếu, tín phiếu, chứng chỉ tiền gửi, trái phiếu.</w:t>
            </w:r>
          </w:p>
          <w:p w14:paraId="6356EEAD"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Tuy nhiên đối với Tỷ lệ tiền gửi của khách hàng có số dư tiền gửi lớn so với tổng tiền gửi, Tổng tiền gửi được xác định là Tổng số dư tiền gửi của khách hàng cá nhân, tổ chức (không bao gồm tổ chức tín dụng, chi nhánh ngân hàng nước ngoài).</w:t>
            </w:r>
          </w:p>
          <w:p w14:paraId="190F53D8"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Theo đó kính đề nghị NHNN bổ sung tiền huy động từ phát hành kỳ phiếu, tín phiếu, chứng chỉ tiền gửi, trái phiếu thuộc số dư Tổng tiền gửi trong công thức tính toán tỷ lệ này.</w:t>
            </w:r>
          </w:p>
        </w:tc>
        <w:tc>
          <w:tcPr>
            <w:tcW w:w="4252" w:type="dxa"/>
            <w:vAlign w:val="center"/>
          </w:tcPr>
          <w:p w14:paraId="7C1035A5" w14:textId="77777777" w:rsidR="00755E60" w:rsidRPr="0002360B" w:rsidRDefault="00755E60" w:rsidP="00B268EC">
            <w:pPr>
              <w:widowControl w:val="0"/>
              <w:tabs>
                <w:tab w:val="left" w:pos="5670"/>
              </w:tabs>
              <w:spacing w:before="0" w:after="0"/>
              <w:rPr>
                <w:b/>
                <w:bCs/>
                <w:szCs w:val="24"/>
              </w:rPr>
            </w:pPr>
            <w:r w:rsidRPr="0059729F">
              <w:rPr>
                <w:b/>
                <w:bCs/>
                <w:szCs w:val="24"/>
              </w:rPr>
              <w:t>Chưa tiếp thu</w:t>
            </w:r>
          </w:p>
          <w:p w14:paraId="14E6F347" w14:textId="77777777" w:rsidR="00755E60" w:rsidRPr="0002360B" w:rsidRDefault="00755E60" w:rsidP="00B268EC">
            <w:pPr>
              <w:widowControl w:val="0"/>
              <w:tabs>
                <w:tab w:val="left" w:pos="5670"/>
              </w:tabs>
              <w:spacing w:before="0" w:after="0"/>
              <w:rPr>
                <w:szCs w:val="24"/>
              </w:rPr>
            </w:pPr>
            <w:r w:rsidRPr="0059729F">
              <w:rPr>
                <w:szCs w:val="24"/>
              </w:rPr>
              <w:t>- Tỷ lệ tiền gửi của khách hàng có số dư tiền gửi lớn so với tổng tiền gửi là chỉ tiêu đánh giá mức độ tập trung tiền gửi của 10 khách hàng lớn nhất.</w:t>
            </w:r>
          </w:p>
          <w:p w14:paraId="7B0FB9D7" w14:textId="39F0DC09" w:rsidR="00755E60" w:rsidRPr="0002360B" w:rsidRDefault="00755E60">
            <w:pPr>
              <w:widowControl w:val="0"/>
              <w:tabs>
                <w:tab w:val="left" w:pos="5670"/>
              </w:tabs>
              <w:spacing w:before="0" w:after="0"/>
              <w:rPr>
                <w:b/>
                <w:szCs w:val="24"/>
                <w:lang w:val="pt-BR"/>
              </w:rPr>
            </w:pPr>
            <w:r w:rsidRPr="0059729F">
              <w:rPr>
                <w:szCs w:val="24"/>
              </w:rPr>
              <w:t xml:space="preserve">- Mức độ tác động, ảnh hưởng của khoản mục </w:t>
            </w:r>
            <w:r w:rsidR="005C5C2E" w:rsidRPr="0059729F">
              <w:rPr>
                <w:szCs w:val="24"/>
              </w:rPr>
              <w:t>như</w:t>
            </w:r>
            <w:r w:rsidRPr="0059729F">
              <w:rPr>
                <w:szCs w:val="24"/>
              </w:rPr>
              <w:t xml:space="preserve"> phát hành kỳ phiếu, tín phiếu, chứng chỉ tiền gửi, trái phiếu đến khả năng thanh khoản của TCTD đã được phản ánh tại Tỷ lệ cho vay so với tổng tiền gửi. Do đó, DTTT không sửa đổi, bổ sung chỉ tiêu này.</w:t>
            </w:r>
          </w:p>
        </w:tc>
      </w:tr>
      <w:tr w:rsidR="0002360B" w:rsidRPr="0002360B" w14:paraId="717D2E0F" w14:textId="77777777" w:rsidTr="00776E98">
        <w:trPr>
          <w:cantSplit/>
        </w:trPr>
        <w:tc>
          <w:tcPr>
            <w:tcW w:w="3828" w:type="dxa"/>
            <w:vAlign w:val="center"/>
          </w:tcPr>
          <w:p w14:paraId="70A3F9F6" w14:textId="77777777" w:rsidR="00755E60" w:rsidRPr="0002360B" w:rsidRDefault="00755E60" w:rsidP="00B268EC">
            <w:pPr>
              <w:widowControl w:val="0"/>
              <w:tabs>
                <w:tab w:val="left" w:pos="5670"/>
              </w:tabs>
              <w:spacing w:before="0" w:after="0"/>
              <w:ind w:right="33" w:hanging="1"/>
              <w:rPr>
                <w:b/>
                <w:szCs w:val="24"/>
                <w:lang w:val="pt-BR"/>
              </w:rPr>
            </w:pPr>
          </w:p>
        </w:tc>
        <w:tc>
          <w:tcPr>
            <w:tcW w:w="1730" w:type="dxa"/>
            <w:vAlign w:val="center"/>
          </w:tcPr>
          <w:p w14:paraId="5DB9454E" w14:textId="77777777" w:rsidR="00755E60" w:rsidRPr="0059729F" w:rsidRDefault="00755E60" w:rsidP="00B268EC">
            <w:pPr>
              <w:widowControl w:val="0"/>
              <w:tabs>
                <w:tab w:val="left" w:pos="5670"/>
              </w:tabs>
              <w:spacing w:before="0" w:after="0"/>
              <w:ind w:hanging="1"/>
              <w:jc w:val="left"/>
              <w:rPr>
                <w:szCs w:val="24"/>
              </w:rPr>
            </w:pPr>
            <w:r w:rsidRPr="0059729F">
              <w:rPr>
                <w:szCs w:val="24"/>
              </w:rPr>
              <w:t>NHTMCP Hàng Hải</w:t>
            </w:r>
          </w:p>
        </w:tc>
        <w:tc>
          <w:tcPr>
            <w:tcW w:w="5358" w:type="dxa"/>
            <w:vAlign w:val="center"/>
          </w:tcPr>
          <w:p w14:paraId="27A4B3C1"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Tại Điểm d Khoản 1 Điều 11 Thông tư số 52/2018/TT-NHNN, đề nghị Cơ quan soạn thảo cân nhắc xem xét “Tỷ lệ tiền gửi của khách hàng có số dư tiền gửi lớn so với tổng tiền gửi” khi mẫu số là Tổng tiền gửi.</w:t>
            </w:r>
            <w:r w:rsidRPr="0059729F">
              <w:rPr>
                <w:sz w:val="24"/>
              </w:rPr>
              <w:br/>
              <w:t>Hiện nay các ngân hàng đang đa dang hóa việc huy động vốn sang các hình thức huy động khác nhau (phát hành trái phiếu; chứng chỉ tiền gửi…), theo đó việc chỉ đánh giá rủi ro tập trung trong phạm vi Tiền gửi sẽ không phản ánh đúng tình hình rủi ro tập trung thực tế tại các ngân hàng.</w:t>
            </w:r>
          </w:p>
        </w:tc>
        <w:tc>
          <w:tcPr>
            <w:tcW w:w="4252" w:type="dxa"/>
            <w:vAlign w:val="center"/>
          </w:tcPr>
          <w:p w14:paraId="7490B499" w14:textId="77777777" w:rsidR="00755E60" w:rsidRPr="0059729F" w:rsidRDefault="00755E60" w:rsidP="00B268EC">
            <w:pPr>
              <w:widowControl w:val="0"/>
              <w:tabs>
                <w:tab w:val="left" w:pos="5670"/>
              </w:tabs>
              <w:spacing w:before="0" w:after="0"/>
              <w:rPr>
                <w:szCs w:val="24"/>
              </w:rPr>
            </w:pPr>
            <w:r w:rsidRPr="0059729F">
              <w:rPr>
                <w:szCs w:val="24"/>
              </w:rPr>
              <w:t>Theo quy định tại Thông tư 52/2018/TT-NHNN:</w:t>
            </w:r>
            <w:r w:rsidRPr="0059729F">
              <w:rPr>
                <w:szCs w:val="24"/>
              </w:rPr>
              <w:br/>
              <w:t>- “Tỷ lệ tiền gửi của khách hàng có số dư tiền gửi lớn so với tổng tiền gửi” nhằm đánh giá mức độ tập trung tiền gửi vào 10 khách hàng lớn nhất.</w:t>
            </w:r>
          </w:p>
          <w:p w14:paraId="6E6D4857" w14:textId="683615D1" w:rsidR="00755E60" w:rsidRPr="0059729F" w:rsidRDefault="00755E60">
            <w:pPr>
              <w:widowControl w:val="0"/>
              <w:tabs>
                <w:tab w:val="left" w:pos="5670"/>
              </w:tabs>
              <w:spacing w:before="0" w:after="0"/>
              <w:rPr>
                <w:b/>
                <w:bCs/>
                <w:szCs w:val="24"/>
              </w:rPr>
            </w:pPr>
            <w:r w:rsidRPr="0059729F">
              <w:rPr>
                <w:szCs w:val="24"/>
              </w:rPr>
              <w:t xml:space="preserve">- Mức độ tác động, ảnh hưởng của khoản mục từ phát hành kỳ phiếu, tín phiếu, chứng chỉ tiền gửi, trái phiếu đến khả năng thanh khoản của TCTD đã được phản ánh tại Tỷ lệ cho vay so với tổng tiền gửi. Do đó, DTTT </w:t>
            </w:r>
            <w:r w:rsidR="00F063F5" w:rsidRPr="0059729F">
              <w:rPr>
                <w:szCs w:val="24"/>
              </w:rPr>
              <w:t>chưa xem xét</w:t>
            </w:r>
            <w:r w:rsidRPr="0059729F">
              <w:rPr>
                <w:szCs w:val="24"/>
              </w:rPr>
              <w:t xml:space="preserve"> sửa đổi, bổ sung chỉ tiêu này.</w:t>
            </w:r>
          </w:p>
        </w:tc>
      </w:tr>
      <w:tr w:rsidR="0002360B" w:rsidRPr="0002360B" w14:paraId="1025A0C8" w14:textId="77777777" w:rsidTr="00776E98">
        <w:trPr>
          <w:cantSplit/>
          <w:trHeight w:val="2034"/>
        </w:trPr>
        <w:tc>
          <w:tcPr>
            <w:tcW w:w="3828" w:type="dxa"/>
            <w:vAlign w:val="center"/>
          </w:tcPr>
          <w:p w14:paraId="6A5CEA69" w14:textId="77777777" w:rsidR="00755E60" w:rsidRPr="0002360B" w:rsidRDefault="00755E60" w:rsidP="00B268EC">
            <w:pPr>
              <w:widowControl w:val="0"/>
              <w:tabs>
                <w:tab w:val="left" w:pos="5670"/>
              </w:tabs>
              <w:spacing w:before="0" w:after="0"/>
              <w:ind w:right="33" w:hanging="1"/>
              <w:rPr>
                <w:b/>
                <w:szCs w:val="24"/>
                <w:lang w:val="pt-BR"/>
              </w:rPr>
            </w:pPr>
            <w:r w:rsidRPr="0059729F">
              <w:rPr>
                <w:b/>
                <w:szCs w:val="24"/>
                <w:lang w:val="pt-BR"/>
              </w:rPr>
              <w:lastRenderedPageBreak/>
              <w:t>Điểm d khoản 1 Điều 12 Thông tư 52 (chưa có nội dung sửa đổi tại DTTT)</w:t>
            </w:r>
          </w:p>
          <w:p w14:paraId="0999ACD1" w14:textId="77777777" w:rsidR="00755E60" w:rsidRPr="0002360B" w:rsidRDefault="00755E60" w:rsidP="00B268EC">
            <w:pPr>
              <w:widowControl w:val="0"/>
              <w:tabs>
                <w:tab w:val="left" w:pos="5670"/>
              </w:tabs>
              <w:spacing w:before="0" w:after="0"/>
              <w:rPr>
                <w:szCs w:val="24"/>
              </w:rPr>
            </w:pPr>
            <w:r w:rsidRPr="0059729F">
              <w:rPr>
                <w:szCs w:val="24"/>
              </w:rPr>
              <w:t>“Điều 12. Mức độ nhạy cảm đối với rủi ro thị trường</w:t>
            </w:r>
          </w:p>
          <w:p w14:paraId="67878C44" w14:textId="77777777" w:rsidR="00755E60" w:rsidRPr="0002360B" w:rsidRDefault="00755E60" w:rsidP="00B268EC">
            <w:pPr>
              <w:widowControl w:val="0"/>
              <w:tabs>
                <w:tab w:val="left" w:pos="5670"/>
              </w:tabs>
              <w:spacing w:before="0" w:after="0"/>
              <w:rPr>
                <w:b/>
                <w:szCs w:val="24"/>
                <w:lang w:val="pt-BR"/>
              </w:rPr>
            </w:pPr>
            <w:r w:rsidRPr="0059729F">
              <w:rPr>
                <w:szCs w:val="24"/>
              </w:rPr>
              <w:t>…b) Tỷ lệ chênh lệch giữa tài sản nhạy cảm lãi suất và nợ phải trả nhạy cảm lãi suất so với Vốn chủ sở hữu.</w:t>
            </w:r>
          </w:p>
        </w:tc>
        <w:tc>
          <w:tcPr>
            <w:tcW w:w="1730" w:type="dxa"/>
            <w:vAlign w:val="center"/>
          </w:tcPr>
          <w:p w14:paraId="561CEB56" w14:textId="77777777" w:rsidR="00755E60" w:rsidRPr="0002360B" w:rsidRDefault="00755E60" w:rsidP="00B268EC">
            <w:pPr>
              <w:widowControl w:val="0"/>
              <w:tabs>
                <w:tab w:val="left" w:pos="5670"/>
              </w:tabs>
              <w:spacing w:before="0" w:after="0"/>
              <w:ind w:hanging="1"/>
              <w:jc w:val="left"/>
              <w:rPr>
                <w:szCs w:val="24"/>
              </w:rPr>
            </w:pPr>
            <w:r w:rsidRPr="0059729F">
              <w:rPr>
                <w:szCs w:val="24"/>
              </w:rPr>
              <w:t>NHTMCP Ngoại Thương</w:t>
            </w:r>
          </w:p>
        </w:tc>
        <w:tc>
          <w:tcPr>
            <w:tcW w:w="5358" w:type="dxa"/>
            <w:vAlign w:val="center"/>
          </w:tcPr>
          <w:p w14:paraId="2E7D2BE4"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Đối với chỉ tiêu Tỷ lệ chênh lệch giữa tài sản nhạy cảm lãi suất và nợ phải trả nhạy cảm lãi suất so với Vốn chủ sở hữu, xem xét sửa đổi cách thức xác định mức độ rủi ro lãi suất trên sổ ngân hàng như sau:</w:t>
            </w:r>
          </w:p>
          <w:p w14:paraId="1309A804"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“b) Thay đổi thu nhập lãi thuần và/hoặc Thay đổi giá trị kinh tế của vốn chủ sở hữu”</w:t>
            </w:r>
          </w:p>
          <w:p w14:paraId="747F614A"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Tương ứng với nội dung thay đổi trên đề nghị NHNN bổ sung các ngưỡng xác định điểm tính điểm cho các chỉ số nêu trên tại điều 14 mục 6.2 để đảm bảo phù hợp với thông lệ và quy định về đo lường rủi ro lãi suất trên sổ ngân hàng tại Việt Nam.</w:t>
            </w:r>
          </w:p>
        </w:tc>
        <w:tc>
          <w:tcPr>
            <w:tcW w:w="4252" w:type="dxa"/>
            <w:vAlign w:val="center"/>
          </w:tcPr>
          <w:p w14:paraId="55C44ACB" w14:textId="77777777" w:rsidR="00755E60" w:rsidRPr="0059729F" w:rsidRDefault="00755E60" w:rsidP="00B268EC">
            <w:pPr>
              <w:widowControl w:val="0"/>
              <w:tabs>
                <w:tab w:val="left" w:pos="5670"/>
              </w:tabs>
              <w:spacing w:before="0" w:after="0"/>
              <w:rPr>
                <w:b/>
                <w:bCs/>
                <w:szCs w:val="24"/>
              </w:rPr>
            </w:pPr>
            <w:r w:rsidRPr="0059729F">
              <w:rPr>
                <w:b/>
                <w:bCs/>
                <w:szCs w:val="24"/>
              </w:rPr>
              <w:t>Chưa tiếp thu</w:t>
            </w:r>
          </w:p>
          <w:p w14:paraId="5F606593" w14:textId="00C60BAC" w:rsidR="00755E60" w:rsidRPr="0002360B" w:rsidRDefault="005C5C2E">
            <w:pPr>
              <w:widowControl w:val="0"/>
              <w:tabs>
                <w:tab w:val="left" w:pos="5670"/>
              </w:tabs>
              <w:spacing w:before="0" w:after="0"/>
              <w:rPr>
                <w:szCs w:val="24"/>
              </w:rPr>
            </w:pPr>
            <w:r w:rsidRPr="0059729F">
              <w:rPr>
                <w:szCs w:val="24"/>
              </w:rPr>
              <w:t>- Chỉ tiêu Tỷ lệ chênh lệch tài sản nhạy cảm lãi suất và nợ phải trả nhạy cảm lãi suất so vốn chủ sỡ hữu phù hợp để đánh giá rủi ro lãi suất trong năm xếp hạng, đảm bảo phù hợp với yêu cầu quản lý nhà nước trong điều kiện thị trường hiện tại.</w:t>
            </w:r>
          </w:p>
        </w:tc>
      </w:tr>
      <w:tr w:rsidR="0002360B" w:rsidRPr="0002360B" w14:paraId="0704E039" w14:textId="77777777" w:rsidTr="00776E98">
        <w:trPr>
          <w:cantSplit/>
        </w:trPr>
        <w:tc>
          <w:tcPr>
            <w:tcW w:w="3828" w:type="dxa"/>
            <w:vMerge w:val="restart"/>
          </w:tcPr>
          <w:p w14:paraId="0E95CD1C" w14:textId="77777777" w:rsidR="00755E60" w:rsidRPr="0002360B" w:rsidRDefault="00755E60" w:rsidP="00B268EC">
            <w:pPr>
              <w:widowControl w:val="0"/>
              <w:tabs>
                <w:tab w:val="left" w:pos="5670"/>
              </w:tabs>
              <w:spacing w:before="0" w:after="0"/>
              <w:rPr>
                <w:b/>
                <w:spacing w:val="-4"/>
                <w:szCs w:val="24"/>
                <w:lang w:val="pt-BR"/>
              </w:rPr>
            </w:pPr>
            <w:r w:rsidRPr="0059729F">
              <w:rPr>
                <w:b/>
                <w:spacing w:val="-4"/>
                <w:szCs w:val="24"/>
                <w:lang w:val="pt-BR"/>
              </w:rPr>
              <w:t>Điểm b khoản 7 Điều 1 DTTT bổ sung khoản 3 Điều 13 Thông tư 52:</w:t>
            </w:r>
          </w:p>
          <w:p w14:paraId="23EA6458" w14:textId="77777777" w:rsidR="00755E60" w:rsidRPr="0002360B" w:rsidRDefault="00755E60" w:rsidP="00B268EC">
            <w:pPr>
              <w:widowControl w:val="0"/>
              <w:tabs>
                <w:tab w:val="left" w:pos="5670"/>
              </w:tabs>
              <w:spacing w:before="0" w:after="0"/>
              <w:rPr>
                <w:b/>
                <w:spacing w:val="-4"/>
                <w:szCs w:val="24"/>
                <w:lang w:val="pt-BR"/>
              </w:rPr>
            </w:pPr>
            <w:r w:rsidRPr="0059729F">
              <w:rPr>
                <w:szCs w:val="24"/>
                <w:lang w:val="nl-NL"/>
              </w:rPr>
              <w:t>“3. Đối với các chỉ tiêu định lượng tại điểm a khoản 1 Điều 7 Thông tư này, trường hợp ngân hàng thương mại, chi nhánh ngân hàng nước ngoài thực hiện tỷ lệ an toàn vốn theo phương pháp tiêu chuẩn quy định tại Thông tư số ..../2025/TT-NHNN</w:t>
            </w:r>
            <w:r w:rsidRPr="0059729F">
              <w:rPr>
                <w:szCs w:val="24"/>
              </w:rPr>
              <w:t xml:space="preserve"> trước thời điểm 01/01/2030 </w:t>
            </w:r>
            <w:r w:rsidRPr="0059729F">
              <w:rPr>
                <w:szCs w:val="24"/>
                <w:lang w:val="nl-NL"/>
              </w:rPr>
              <w:t>hoặc phương pháp xếp hạng tín dụng nội bộ quy định tại Thông tư số ..../2025/TT-NHNN</w:t>
            </w:r>
            <w:r w:rsidRPr="0059729F">
              <w:rPr>
                <w:szCs w:val="24"/>
              </w:rPr>
              <w:t xml:space="preserve">, điểm của chỉ tiêu định lượng quy định tại </w:t>
            </w:r>
            <w:r w:rsidRPr="0059729F">
              <w:rPr>
                <w:szCs w:val="24"/>
                <w:lang w:val="nl-NL"/>
              </w:rPr>
              <w:t>điểm a khoản 1 Điều 7 Thông tư này sẽ được cộng thêm một điểm sau khi đã được xác định theo quy định tại điểm a, d khoản 1 Điều này và đảm bảo điểm của chỉ tiêu định lượng này tối đa bằng 5.”</w:t>
            </w:r>
          </w:p>
        </w:tc>
        <w:tc>
          <w:tcPr>
            <w:tcW w:w="1730" w:type="dxa"/>
            <w:vAlign w:val="center"/>
          </w:tcPr>
          <w:p w14:paraId="72184E25" w14:textId="77777777" w:rsidR="00755E60" w:rsidRPr="0002360B" w:rsidRDefault="00755E60" w:rsidP="00B268EC">
            <w:pPr>
              <w:widowControl w:val="0"/>
              <w:tabs>
                <w:tab w:val="left" w:pos="5670"/>
              </w:tabs>
              <w:spacing w:before="0" w:after="0"/>
              <w:ind w:right="34" w:hanging="1"/>
              <w:jc w:val="left"/>
              <w:rPr>
                <w:szCs w:val="24"/>
                <w:lang w:val="pt-BR"/>
              </w:rPr>
            </w:pPr>
            <w:r w:rsidRPr="0059729F">
              <w:rPr>
                <w:szCs w:val="24"/>
                <w:lang w:val="pt-BR"/>
              </w:rPr>
              <w:t>NHTMCP Á Châu</w:t>
            </w:r>
          </w:p>
        </w:tc>
        <w:tc>
          <w:tcPr>
            <w:tcW w:w="5358" w:type="dxa"/>
          </w:tcPr>
          <w:p w14:paraId="297ADAE7" w14:textId="77777777" w:rsidR="00755E60" w:rsidRPr="0002360B" w:rsidRDefault="00755E60" w:rsidP="00B268EC">
            <w:pPr>
              <w:widowControl w:val="0"/>
              <w:tabs>
                <w:tab w:val="left" w:pos="5670"/>
              </w:tabs>
              <w:spacing w:before="0" w:after="0"/>
              <w:rPr>
                <w:szCs w:val="24"/>
              </w:rPr>
            </w:pPr>
            <w:r w:rsidRPr="0059729F">
              <w:rPr>
                <w:szCs w:val="24"/>
              </w:rPr>
              <w:t>Thắc mắc đối với DTTT</w:t>
            </w:r>
          </w:p>
          <w:p w14:paraId="692C9453" w14:textId="77777777" w:rsidR="00755E60" w:rsidRPr="0002360B" w:rsidRDefault="00755E60" w:rsidP="00B268EC">
            <w:pPr>
              <w:widowControl w:val="0"/>
              <w:tabs>
                <w:tab w:val="left" w:pos="5670"/>
              </w:tabs>
              <w:spacing w:before="0" w:after="0"/>
              <w:rPr>
                <w:szCs w:val="24"/>
              </w:rPr>
            </w:pPr>
            <w:r w:rsidRPr="0059729F">
              <w:rPr>
                <w:szCs w:val="24"/>
              </w:rPr>
              <w:t>- Điểm cộng (1 điểm) sẽ được cộng vào trước hay sau khi tính trọng số?</w:t>
            </w:r>
          </w:p>
          <w:p w14:paraId="6E432E22" w14:textId="77777777" w:rsidR="00755E60" w:rsidRPr="0002360B" w:rsidRDefault="00755E60" w:rsidP="00B268EC">
            <w:pPr>
              <w:widowControl w:val="0"/>
              <w:tabs>
                <w:tab w:val="left" w:pos="5670"/>
              </w:tabs>
              <w:spacing w:before="0" w:after="0"/>
              <w:rPr>
                <w:szCs w:val="24"/>
              </w:rPr>
            </w:pPr>
            <w:r w:rsidRPr="0059729F">
              <w:rPr>
                <w:szCs w:val="24"/>
              </w:rPr>
              <w:t>- Trong trường hợp Ngân hàng đã nộp hồ sơ thí điểm thực hiện phương pháp xếp hạng tín dụng nội bộ thì Ngân hàng có được cộng điểm hay không? Hay Ngân hàng phải được phê duyệt mới được cộng điểm?</w:t>
            </w:r>
          </w:p>
          <w:p w14:paraId="224DC377" w14:textId="77777777" w:rsidR="00755E60" w:rsidRPr="0002360B" w:rsidRDefault="00755E60" w:rsidP="00B268EC">
            <w:pPr>
              <w:widowControl w:val="0"/>
              <w:tabs>
                <w:tab w:val="left" w:pos="851"/>
                <w:tab w:val="left" w:pos="1418"/>
                <w:tab w:val="left" w:pos="2977"/>
                <w:tab w:val="left" w:pos="5670"/>
              </w:tabs>
              <w:spacing w:before="0" w:after="0"/>
              <w:rPr>
                <w:noProof/>
                <w:szCs w:val="24"/>
                <w:lang w:val="pl-PL"/>
              </w:rPr>
            </w:pPr>
            <w:r w:rsidRPr="0059729F">
              <w:rPr>
                <w:szCs w:val="24"/>
              </w:rPr>
              <w:t>- Trong trường hợp phương pháp tiêu chuẩn mới, Ngân hàng chỉ cần nộp hồ sơ để thực hiện sớm hay phải chờ được phê duyệt?</w:t>
            </w:r>
          </w:p>
        </w:tc>
        <w:tc>
          <w:tcPr>
            <w:tcW w:w="4252" w:type="dxa"/>
            <w:vMerge w:val="restart"/>
          </w:tcPr>
          <w:p w14:paraId="1C50827A" w14:textId="77777777" w:rsidR="00755E60" w:rsidRPr="0059729F" w:rsidRDefault="00755E60" w:rsidP="00B268EC">
            <w:pPr>
              <w:widowControl w:val="0"/>
              <w:tabs>
                <w:tab w:val="left" w:pos="5670"/>
              </w:tabs>
              <w:spacing w:before="0" w:after="0"/>
              <w:ind w:left="-41"/>
              <w:rPr>
                <w:b/>
                <w:bCs/>
                <w:szCs w:val="24"/>
              </w:rPr>
            </w:pPr>
            <w:r w:rsidRPr="0059729F">
              <w:rPr>
                <w:b/>
                <w:bCs/>
                <w:szCs w:val="24"/>
              </w:rPr>
              <w:t>Chưa tiếp thu, bổ sung làm rõ:</w:t>
            </w:r>
          </w:p>
          <w:p w14:paraId="57AA386B" w14:textId="77777777" w:rsidR="00755E60" w:rsidRPr="0002360B" w:rsidRDefault="00755E60" w:rsidP="00B268EC">
            <w:pPr>
              <w:widowControl w:val="0"/>
              <w:tabs>
                <w:tab w:val="left" w:pos="5670"/>
              </w:tabs>
              <w:spacing w:before="0" w:after="0"/>
              <w:ind w:left="-41"/>
              <w:rPr>
                <w:szCs w:val="24"/>
                <w:lang w:val="pt-BR"/>
              </w:rPr>
            </w:pPr>
            <w:r w:rsidRPr="0059729F">
              <w:rPr>
                <w:szCs w:val="24"/>
                <w:lang w:val="pt-BR"/>
              </w:rPr>
              <w:t>- Điểm cộng (1 điểm) sẽ được cộng vào trước khi nhân trọng số.</w:t>
            </w:r>
          </w:p>
          <w:p w14:paraId="38434041" w14:textId="77777777" w:rsidR="00755E60" w:rsidRPr="0002360B" w:rsidRDefault="00755E60" w:rsidP="00B268EC">
            <w:pPr>
              <w:widowControl w:val="0"/>
              <w:tabs>
                <w:tab w:val="left" w:pos="5670"/>
              </w:tabs>
              <w:spacing w:before="0" w:after="0"/>
              <w:ind w:left="-41"/>
              <w:rPr>
                <w:szCs w:val="24"/>
                <w:lang w:val="pt-BR"/>
              </w:rPr>
            </w:pPr>
            <w:r w:rsidRPr="0059729F">
              <w:rPr>
                <w:szCs w:val="24"/>
                <w:lang w:val="pt-BR"/>
              </w:rPr>
              <w:t>- Việc áp dụng tính điểm chỉ tiêu về Vốn theo quy định tại khoản 3 Điều 13 DTTT được thực hiện trên cơ sở quy định tại Điều 7. Áp dụng quy định về tỷ lệ an toàn vốn của Thông tư số 14/2025/TT-NHNN ngày 30/6/2025 quy định tỷ lệ bảo đảm an toàn đối với NHTM, CNNHNNg.</w:t>
            </w:r>
          </w:p>
        </w:tc>
      </w:tr>
      <w:tr w:rsidR="0002360B" w:rsidRPr="0002360B" w14:paraId="66A52F72" w14:textId="77777777" w:rsidTr="00776E98">
        <w:trPr>
          <w:cantSplit/>
        </w:trPr>
        <w:tc>
          <w:tcPr>
            <w:tcW w:w="3828" w:type="dxa"/>
            <w:vMerge/>
          </w:tcPr>
          <w:p w14:paraId="611A9FAE"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556CC029" w14:textId="10FE305B" w:rsidR="00755E60" w:rsidRPr="0002360B" w:rsidRDefault="00755E60" w:rsidP="00B268EC">
            <w:pPr>
              <w:widowControl w:val="0"/>
              <w:tabs>
                <w:tab w:val="left" w:pos="5670"/>
              </w:tabs>
              <w:spacing w:before="0" w:after="0"/>
              <w:ind w:right="34" w:hanging="1"/>
              <w:jc w:val="left"/>
              <w:rPr>
                <w:szCs w:val="24"/>
                <w:lang w:val="pt-BR"/>
              </w:rPr>
            </w:pPr>
            <w:r w:rsidRPr="0059729F">
              <w:rPr>
                <w:szCs w:val="24"/>
              </w:rPr>
              <w:t>NHTMCP Đầu Tư và PTVN</w:t>
            </w:r>
            <w:r w:rsidR="00C35981">
              <w:rPr>
                <w:szCs w:val="24"/>
              </w:rPr>
              <w:t>, Hiệp hội ngân hàng Việt Nam</w:t>
            </w:r>
          </w:p>
        </w:tc>
        <w:tc>
          <w:tcPr>
            <w:tcW w:w="5358" w:type="dxa"/>
            <w:vAlign w:val="center"/>
          </w:tcPr>
          <w:p w14:paraId="4814B897" w14:textId="77777777" w:rsidR="00755E60" w:rsidRPr="0002360B" w:rsidRDefault="00755E60" w:rsidP="00B268EC">
            <w:pPr>
              <w:widowControl w:val="0"/>
              <w:tabs>
                <w:tab w:val="left" w:pos="5670"/>
              </w:tabs>
              <w:spacing w:before="0" w:after="0"/>
              <w:rPr>
                <w:szCs w:val="24"/>
              </w:rPr>
            </w:pPr>
            <w:r w:rsidRPr="0059729F">
              <w:rPr>
                <w:szCs w:val="24"/>
              </w:rPr>
              <w:t>BIDV đề nghị NHNN bổ sung quy định cụ thể đối với nội dung liên quan đến thời điểm bắt đầu tính điểm chỉ tiêu về vốn khi NHNN chính thức phê duyệt cho TCTD áp dụng tính tỷ lệ an toàn vốn theo phương pháp mới: BIDV đề xuất là thời điểm TCTD nộp hồ sơ gửi NHNN phê duyệt (nếu theo phương pháp IRB) hoặc thời điểm TCTD nộp báo cáo tình hình thực hiện tỷ lệ (nếu áp dụng theo phương pháp tiêu chuẩn).</w:t>
            </w:r>
          </w:p>
        </w:tc>
        <w:tc>
          <w:tcPr>
            <w:tcW w:w="4252" w:type="dxa"/>
            <w:vMerge/>
            <w:vAlign w:val="center"/>
          </w:tcPr>
          <w:p w14:paraId="5DFA4E92"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70760C81" w14:textId="77777777" w:rsidTr="00776E98">
        <w:trPr>
          <w:cantSplit/>
        </w:trPr>
        <w:tc>
          <w:tcPr>
            <w:tcW w:w="3828" w:type="dxa"/>
            <w:vMerge/>
          </w:tcPr>
          <w:p w14:paraId="6A1A24A5"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07FCADEE" w14:textId="77777777" w:rsidR="00755E60" w:rsidRPr="0059729F" w:rsidRDefault="00755E60" w:rsidP="00B268EC">
            <w:pPr>
              <w:widowControl w:val="0"/>
              <w:tabs>
                <w:tab w:val="left" w:pos="5670"/>
              </w:tabs>
              <w:spacing w:before="0" w:after="0"/>
              <w:ind w:right="34" w:hanging="1"/>
              <w:jc w:val="left"/>
              <w:rPr>
                <w:szCs w:val="24"/>
              </w:rPr>
            </w:pPr>
            <w:r w:rsidRPr="0059729F">
              <w:rPr>
                <w:szCs w:val="24"/>
              </w:rPr>
              <w:t>NHTMCP Phát triển TP HCM</w:t>
            </w:r>
          </w:p>
        </w:tc>
        <w:tc>
          <w:tcPr>
            <w:tcW w:w="5358" w:type="dxa"/>
            <w:vAlign w:val="center"/>
          </w:tcPr>
          <w:p w14:paraId="03A92ABA" w14:textId="77777777" w:rsidR="001175CA" w:rsidRPr="0059729F" w:rsidRDefault="00755E60" w:rsidP="00B268EC">
            <w:pPr>
              <w:widowControl w:val="0"/>
              <w:tabs>
                <w:tab w:val="left" w:pos="5670"/>
              </w:tabs>
              <w:spacing w:before="0" w:after="0"/>
              <w:rPr>
                <w:szCs w:val="24"/>
              </w:rPr>
            </w:pPr>
            <w:r w:rsidRPr="0059729F">
              <w:rPr>
                <w:szCs w:val="24"/>
              </w:rPr>
              <w:t>- Xem xét việc áp dụng đồng bộ đối với điểm b khoản 1 Điều 7 khi thực hiện tỷ lệ an toàn vốn theo Thông tư số ..../2025/TT-NHNN?</w:t>
            </w:r>
          </w:p>
          <w:p w14:paraId="0BD8DBF1" w14:textId="48BA70DE" w:rsidR="00755E60" w:rsidRPr="0059729F" w:rsidRDefault="00755E60" w:rsidP="00B268EC">
            <w:pPr>
              <w:widowControl w:val="0"/>
              <w:tabs>
                <w:tab w:val="left" w:pos="5670"/>
              </w:tabs>
              <w:spacing w:before="0" w:after="0"/>
              <w:rPr>
                <w:szCs w:val="24"/>
              </w:rPr>
            </w:pPr>
            <w:r w:rsidRPr="0059729F">
              <w:rPr>
                <w:szCs w:val="24"/>
              </w:rPr>
              <w:t>Lý do:</w:t>
            </w:r>
          </w:p>
          <w:p w14:paraId="197A7323" w14:textId="77777777" w:rsidR="00755E60" w:rsidRPr="0059729F" w:rsidRDefault="00755E60" w:rsidP="00B268EC">
            <w:pPr>
              <w:widowControl w:val="0"/>
              <w:tabs>
                <w:tab w:val="left" w:pos="5670"/>
              </w:tabs>
              <w:spacing w:before="0" w:after="0"/>
              <w:rPr>
                <w:szCs w:val="24"/>
              </w:rPr>
            </w:pPr>
            <w:r w:rsidRPr="0059729F">
              <w:rPr>
                <w:szCs w:val="24"/>
              </w:rPr>
              <w:t>- Cả 02 chỉ tiêu tại khoản 1 Điều 7 nên được xem xét áp dụng đồng bộ vì mức độ quan trọng trong mô hình xếp hạng là như nhau.</w:t>
            </w:r>
          </w:p>
        </w:tc>
        <w:tc>
          <w:tcPr>
            <w:tcW w:w="4252" w:type="dxa"/>
            <w:vMerge w:val="restart"/>
            <w:vAlign w:val="center"/>
          </w:tcPr>
          <w:p w14:paraId="099FBD3E" w14:textId="77777777" w:rsidR="00755E60" w:rsidRPr="0059729F" w:rsidRDefault="00755E60" w:rsidP="00B268EC">
            <w:pPr>
              <w:widowControl w:val="0"/>
              <w:tabs>
                <w:tab w:val="left" w:pos="5670"/>
              </w:tabs>
              <w:spacing w:before="0" w:after="0"/>
              <w:ind w:left="-41"/>
              <w:rPr>
                <w:b/>
                <w:bCs/>
                <w:szCs w:val="24"/>
              </w:rPr>
            </w:pPr>
            <w:r w:rsidRPr="0059729F">
              <w:rPr>
                <w:b/>
                <w:bCs/>
                <w:szCs w:val="24"/>
              </w:rPr>
              <w:t>Chưa tiếp thu</w:t>
            </w:r>
          </w:p>
          <w:p w14:paraId="502B977D" w14:textId="77777777" w:rsidR="00755E60" w:rsidRPr="0002360B" w:rsidRDefault="00755E60" w:rsidP="00B268EC">
            <w:pPr>
              <w:widowControl w:val="0"/>
              <w:tabs>
                <w:tab w:val="left" w:pos="5670"/>
              </w:tabs>
              <w:spacing w:before="0" w:after="0"/>
              <w:ind w:left="-41"/>
              <w:rPr>
                <w:szCs w:val="24"/>
                <w:lang w:val="pt-BR"/>
              </w:rPr>
            </w:pPr>
            <w:r w:rsidRPr="0059729F">
              <w:rPr>
                <w:szCs w:val="24"/>
              </w:rPr>
              <w:t xml:space="preserve">- </w:t>
            </w:r>
            <w:r w:rsidRPr="0059729F">
              <w:rPr>
                <w:szCs w:val="24"/>
                <w:lang w:val="pt-BR"/>
              </w:rPr>
              <w:t>Việc cộng điểm theo quy định tại khoản 3 Điều 13 nhằm khuyến khích các TCTD áp dụng, thực hiện tỷ lệ an toàn vốn của Thông tư số 14/2025/TT-NHNN ngày 30/6/2025, trong đó nội hàm của Vốn tự có đã bao gồm Vốn cấp 1. Do đó quy định tại khoản 3 Điều 13 đã phản ánh việc khuyến khích cộng điểm của NHNN khi TCTD thực hiện theo quy định tại Thông tư số 14/2025/TT-NHNN.</w:t>
            </w:r>
          </w:p>
          <w:p w14:paraId="335F7772" w14:textId="729C6B2D" w:rsidR="00755E60" w:rsidRPr="0002360B" w:rsidRDefault="00755E60" w:rsidP="00B268EC">
            <w:pPr>
              <w:widowControl w:val="0"/>
              <w:tabs>
                <w:tab w:val="left" w:pos="5670"/>
              </w:tabs>
              <w:spacing w:before="0" w:after="0"/>
              <w:ind w:left="-41"/>
              <w:rPr>
                <w:szCs w:val="24"/>
                <w:lang w:val="pt-BR"/>
              </w:rPr>
            </w:pPr>
          </w:p>
        </w:tc>
      </w:tr>
      <w:tr w:rsidR="0002360B" w:rsidRPr="0002360B" w14:paraId="143622D9" w14:textId="77777777" w:rsidTr="00776E98">
        <w:trPr>
          <w:cantSplit/>
        </w:trPr>
        <w:tc>
          <w:tcPr>
            <w:tcW w:w="3828" w:type="dxa"/>
            <w:vMerge/>
          </w:tcPr>
          <w:p w14:paraId="7BCAA4A0"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281A8064" w14:textId="77777777" w:rsidR="00755E60" w:rsidRPr="0059729F" w:rsidRDefault="00755E60" w:rsidP="00B268EC">
            <w:pPr>
              <w:widowControl w:val="0"/>
              <w:tabs>
                <w:tab w:val="left" w:pos="5670"/>
              </w:tabs>
              <w:spacing w:before="0" w:after="0"/>
              <w:ind w:right="34" w:hanging="1"/>
              <w:jc w:val="left"/>
              <w:rPr>
                <w:szCs w:val="24"/>
              </w:rPr>
            </w:pPr>
            <w:r w:rsidRPr="0059729F">
              <w:rPr>
                <w:szCs w:val="24"/>
              </w:rPr>
              <w:t>NH Shinhan VN</w:t>
            </w:r>
          </w:p>
        </w:tc>
        <w:tc>
          <w:tcPr>
            <w:tcW w:w="5358" w:type="dxa"/>
            <w:vAlign w:val="center"/>
          </w:tcPr>
          <w:p w14:paraId="1BBC5652" w14:textId="77777777" w:rsidR="00755E60" w:rsidRPr="0059729F" w:rsidRDefault="00755E60" w:rsidP="00B268EC">
            <w:pPr>
              <w:widowControl w:val="0"/>
              <w:tabs>
                <w:tab w:val="left" w:pos="5670"/>
              </w:tabs>
              <w:spacing w:before="0" w:after="0"/>
              <w:rPr>
                <w:szCs w:val="24"/>
              </w:rPr>
            </w:pPr>
            <w:r w:rsidRPr="0059729F">
              <w:rPr>
                <w:szCs w:val="24"/>
              </w:rPr>
              <w:t>Đề nghị NHNN điều chỉnh nội dung như sau: “3….., điểm của tiêu chí Vốn sẽ dược cộng thêm một điểm sau khi đã được xác định theo quy định tại Điều 19”.</w:t>
            </w:r>
          </w:p>
          <w:p w14:paraId="23484109" w14:textId="77777777" w:rsidR="00755E60" w:rsidRPr="0059729F" w:rsidRDefault="00755E60" w:rsidP="00B268EC">
            <w:pPr>
              <w:widowControl w:val="0"/>
              <w:tabs>
                <w:tab w:val="left" w:pos="5670"/>
              </w:tabs>
              <w:spacing w:before="0" w:after="0"/>
              <w:rPr>
                <w:szCs w:val="24"/>
              </w:rPr>
            </w:pPr>
            <w:r w:rsidRPr="0059729F">
              <w:rPr>
                <w:szCs w:val="24"/>
              </w:rPr>
              <w:t xml:space="preserve">  Trong thực tế, các Ngân hàng có tình hình tài chính lành mạnh, chính sách quản lý rủi ro chặt chẽ có thể đạt được điểm tối đa về nhóm chỉ tiêu định lượng đối với tiêu chí Vốn. Do đó, để khuyến khích các Ngân hàng trong việc áp dụng sớm các quy định mới của NHNN về tỷ lệ an toàn vốn, kính đề nghị NHNN cân nhắc cho phép cộng một điểm vào tổng điểm của tiêu chí Vốn.</w:t>
            </w:r>
          </w:p>
        </w:tc>
        <w:tc>
          <w:tcPr>
            <w:tcW w:w="4252" w:type="dxa"/>
            <w:vMerge/>
            <w:vAlign w:val="center"/>
          </w:tcPr>
          <w:p w14:paraId="25F3C76B" w14:textId="77777777" w:rsidR="00755E60" w:rsidRPr="0059729F" w:rsidRDefault="00755E60" w:rsidP="00B268EC">
            <w:pPr>
              <w:widowControl w:val="0"/>
              <w:tabs>
                <w:tab w:val="left" w:pos="5670"/>
              </w:tabs>
              <w:spacing w:before="0" w:after="0"/>
              <w:ind w:left="-41"/>
              <w:rPr>
                <w:b/>
                <w:bCs/>
                <w:szCs w:val="24"/>
              </w:rPr>
            </w:pPr>
          </w:p>
        </w:tc>
      </w:tr>
      <w:tr w:rsidR="0002360B" w:rsidRPr="0002360B" w14:paraId="22DE0911" w14:textId="77777777" w:rsidTr="00776E98">
        <w:trPr>
          <w:cantSplit/>
        </w:trPr>
        <w:tc>
          <w:tcPr>
            <w:tcW w:w="3828" w:type="dxa"/>
            <w:vMerge/>
          </w:tcPr>
          <w:p w14:paraId="7BE3A38A"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6705D4A0" w14:textId="77777777" w:rsidR="00755E60" w:rsidRPr="0059729F" w:rsidRDefault="00755E60" w:rsidP="00B268EC">
            <w:pPr>
              <w:widowControl w:val="0"/>
              <w:tabs>
                <w:tab w:val="left" w:pos="5670"/>
              </w:tabs>
              <w:spacing w:before="0" w:after="0"/>
              <w:ind w:right="34" w:hanging="1"/>
              <w:jc w:val="left"/>
              <w:rPr>
                <w:szCs w:val="24"/>
              </w:rPr>
            </w:pPr>
            <w:r w:rsidRPr="0059729F">
              <w:rPr>
                <w:szCs w:val="24"/>
              </w:rPr>
              <w:t>NHTMCP Phát triển TP HCM</w:t>
            </w:r>
          </w:p>
        </w:tc>
        <w:tc>
          <w:tcPr>
            <w:tcW w:w="5358" w:type="dxa"/>
            <w:vAlign w:val="center"/>
          </w:tcPr>
          <w:p w14:paraId="65BAE2C0" w14:textId="77777777" w:rsidR="00755E60" w:rsidRPr="0059729F" w:rsidRDefault="00755E60" w:rsidP="00B268EC">
            <w:pPr>
              <w:widowControl w:val="0"/>
              <w:tabs>
                <w:tab w:val="left" w:pos="5670"/>
              </w:tabs>
              <w:spacing w:before="0" w:after="0"/>
              <w:rPr>
                <w:szCs w:val="24"/>
              </w:rPr>
            </w:pPr>
            <w:r w:rsidRPr="0059729F">
              <w:rPr>
                <w:szCs w:val="24"/>
              </w:rPr>
              <w:t>- Đề nghị làm rõ và/hoặc bổ sung dự thảo để rõ hơn nội dung: Các ngưỡng nào tại Điều 14 sẽ áp dụng nếu thực hiện tỷ lệ an toàn vốn theo Thông tư số ..../2025/TT-NHNN, áp dụng ngưỡng tương tự “Tỷ lệ an toàn vốn (thực hiện theo quy định tại Thông tư số 41/2016/TT-NHNN)”?</w:t>
            </w:r>
            <w:r w:rsidRPr="0059729F">
              <w:rPr>
                <w:szCs w:val="24"/>
              </w:rPr>
              <w:br/>
              <w:t>Lý do: Nội dung này chưa được đề cập cụ thể trong dự thảo.</w:t>
            </w:r>
          </w:p>
        </w:tc>
        <w:tc>
          <w:tcPr>
            <w:tcW w:w="4252" w:type="dxa"/>
            <w:vAlign w:val="center"/>
          </w:tcPr>
          <w:p w14:paraId="4D99DDC7" w14:textId="77777777" w:rsidR="00755E60" w:rsidRPr="0059729F" w:rsidRDefault="00755E60" w:rsidP="00B268EC">
            <w:pPr>
              <w:widowControl w:val="0"/>
              <w:tabs>
                <w:tab w:val="left" w:pos="5670"/>
              </w:tabs>
              <w:spacing w:before="0" w:after="0"/>
              <w:ind w:left="-41"/>
              <w:rPr>
                <w:b/>
                <w:bCs/>
                <w:szCs w:val="24"/>
              </w:rPr>
            </w:pPr>
            <w:r w:rsidRPr="0059729F">
              <w:rPr>
                <w:b/>
                <w:szCs w:val="24"/>
              </w:rPr>
              <w:t>Tiếp thu:</w:t>
            </w:r>
            <w:r w:rsidRPr="0059729F">
              <w:rPr>
                <w:szCs w:val="24"/>
              </w:rPr>
              <w:t xml:space="preserve"> TCTD, CNNHNNg tham chiếu với ngưỡng của chỉ tiêu về vốn theo quy định về tỷ lệ an toàn vốn trước khi thực hiện Thông tư 14/2025/TT-NHNN. DTTT đã chỉnh sửa quy định liên quan để làm rõ hơn nội dung này.</w:t>
            </w:r>
          </w:p>
        </w:tc>
      </w:tr>
      <w:tr w:rsidR="0002360B" w:rsidRPr="0002360B" w14:paraId="374CDA53" w14:textId="77777777" w:rsidTr="00776E98">
        <w:trPr>
          <w:cantSplit/>
          <w:trHeight w:val="6044"/>
        </w:trPr>
        <w:tc>
          <w:tcPr>
            <w:tcW w:w="3828" w:type="dxa"/>
            <w:vMerge/>
          </w:tcPr>
          <w:p w14:paraId="3B0E88A0"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379C257D" w14:textId="77777777" w:rsidR="00755E60" w:rsidRPr="0002360B" w:rsidRDefault="00755E60" w:rsidP="00B268EC">
            <w:pPr>
              <w:widowControl w:val="0"/>
              <w:tabs>
                <w:tab w:val="left" w:pos="5670"/>
              </w:tabs>
              <w:spacing w:before="0" w:after="0"/>
              <w:ind w:right="34" w:hanging="1"/>
              <w:jc w:val="left"/>
              <w:rPr>
                <w:szCs w:val="24"/>
                <w:lang w:val="pt-BR"/>
              </w:rPr>
            </w:pPr>
            <w:r w:rsidRPr="0059729F">
              <w:rPr>
                <w:szCs w:val="24"/>
              </w:rPr>
              <w:t>NHTMCP Quân Đội</w:t>
            </w:r>
          </w:p>
        </w:tc>
        <w:tc>
          <w:tcPr>
            <w:tcW w:w="5358" w:type="dxa"/>
            <w:vAlign w:val="center"/>
          </w:tcPr>
          <w:p w14:paraId="7C56EB32" w14:textId="77777777" w:rsidR="00755E60" w:rsidRPr="0059729F" w:rsidRDefault="00755E60" w:rsidP="00B268EC">
            <w:pPr>
              <w:widowControl w:val="0"/>
              <w:tabs>
                <w:tab w:val="left" w:pos="5670"/>
              </w:tabs>
              <w:spacing w:before="0" w:after="0"/>
              <w:rPr>
                <w:szCs w:val="24"/>
              </w:rPr>
            </w:pPr>
            <w:r w:rsidRPr="0059729F">
              <w:rPr>
                <w:szCs w:val="24"/>
              </w:rPr>
              <w:t>Về chỉ tiêu Vốn: TCTD nhận thấy việc điều chỉnh chỉ tiêu về vốn là phù hợp với thực tiễn triển khai, theo hướng song hành với các điều chỉnh của Ngân hàng Nhà nước, góp phần phản ánh sát hơn năng lực tài chính thực chất của TCTD. Đây là chỉ tiêu có ý nghĩa quản trị tốt, cần được duy trì và khuyến khích áp dụng rộng rãi.</w:t>
            </w:r>
          </w:p>
          <w:p w14:paraId="2D89E59C" w14:textId="77777777" w:rsidR="00755E60" w:rsidRPr="0059729F" w:rsidRDefault="00755E60" w:rsidP="00B268EC">
            <w:pPr>
              <w:widowControl w:val="0"/>
              <w:tabs>
                <w:tab w:val="left" w:pos="5670"/>
              </w:tabs>
              <w:spacing w:before="0" w:after="0"/>
              <w:rPr>
                <w:szCs w:val="24"/>
              </w:rPr>
            </w:pPr>
            <w:r w:rsidRPr="0059729F">
              <w:rPr>
                <w:szCs w:val="24"/>
              </w:rPr>
              <w:t xml:space="preserve">Về chỉ tiêu Khả năng thanh khoản: </w:t>
            </w:r>
          </w:p>
          <w:p w14:paraId="1E3A62AC" w14:textId="77777777" w:rsidR="00755E60" w:rsidRPr="0059729F" w:rsidRDefault="00755E60" w:rsidP="00B268EC">
            <w:pPr>
              <w:widowControl w:val="0"/>
              <w:tabs>
                <w:tab w:val="left" w:pos="5670"/>
              </w:tabs>
              <w:spacing w:before="0" w:after="0"/>
              <w:rPr>
                <w:szCs w:val="24"/>
              </w:rPr>
            </w:pPr>
            <w:r w:rsidRPr="0059729F">
              <w:rPr>
                <w:szCs w:val="24"/>
              </w:rPr>
              <w:t xml:space="preserve">Với mục tiêu dài hạn hướng tới thông lệ quốc tế, đề xuất xem xét xây dựng cơ chế tính điểm cộng đối với các TCTD đáp ứng: Chỉ tiêu thanh khoản theo Basel III gồm: LCR (Liquidity Coverage Ratio) – Tỷ lệ đảm bảo thanh khoản; NSFR (Net Stable Funding Ratio) - Tỷ lệ nguồn vốn ổn định ròng. Như đối với chỉ tiêu về Vốn. </w:t>
            </w:r>
          </w:p>
          <w:p w14:paraId="40E82186" w14:textId="77777777" w:rsidR="00755E60" w:rsidRPr="0059729F" w:rsidRDefault="00755E60" w:rsidP="00B268EC">
            <w:pPr>
              <w:widowControl w:val="0"/>
              <w:tabs>
                <w:tab w:val="left" w:pos="5670"/>
              </w:tabs>
              <w:spacing w:before="0" w:after="0"/>
              <w:rPr>
                <w:szCs w:val="24"/>
              </w:rPr>
            </w:pPr>
            <w:r w:rsidRPr="0059729F">
              <w:rPr>
                <w:szCs w:val="24"/>
              </w:rPr>
              <w:t>Lý do: Việc áp dụng cơ chế tính điểm tương tự như đối với nhóm chỉ tiêu về vốn sẽ tạo động lực cho các TCTD chủ động triển khai các chuẩn mực Basel III, đồng thời từng bước thay thế các chỉ tiêu quản lý dựa trên tỷ lệ danh nghĩa hiện nay (như tỷ lệ dư nợ/vốn huy động, tỷ lệ sử dụng vốn ngắn hạn cho vay trung dài hạn, v.v.).. Qua đó, nâng cao hiệu quả giám sát, khả năng chống chịu rủi ro và tính bền vững của hệ thống các TCTD trong bối cảnh thị trường tài chính ngày càng hội nhập.</w:t>
            </w:r>
          </w:p>
        </w:tc>
        <w:tc>
          <w:tcPr>
            <w:tcW w:w="4252" w:type="dxa"/>
            <w:vAlign w:val="center"/>
          </w:tcPr>
          <w:p w14:paraId="245ADEA2" w14:textId="77777777" w:rsidR="00755E60" w:rsidRPr="0059729F" w:rsidRDefault="00755E60" w:rsidP="00B268EC">
            <w:pPr>
              <w:widowControl w:val="0"/>
              <w:tabs>
                <w:tab w:val="left" w:pos="5670"/>
              </w:tabs>
              <w:spacing w:before="0" w:after="0"/>
              <w:ind w:left="-41"/>
              <w:rPr>
                <w:b/>
                <w:bCs/>
                <w:szCs w:val="24"/>
              </w:rPr>
            </w:pPr>
            <w:r w:rsidRPr="0059729F">
              <w:rPr>
                <w:b/>
                <w:bCs/>
                <w:szCs w:val="24"/>
              </w:rPr>
              <w:t>Chưa tiếp thu</w:t>
            </w:r>
          </w:p>
          <w:p w14:paraId="4D1BB53B" w14:textId="77777777" w:rsidR="00755E60" w:rsidRPr="0002360B" w:rsidRDefault="00755E60" w:rsidP="00B268EC">
            <w:pPr>
              <w:widowControl w:val="0"/>
              <w:tabs>
                <w:tab w:val="left" w:pos="5670"/>
              </w:tabs>
              <w:spacing w:before="0" w:after="0"/>
              <w:ind w:left="-41"/>
              <w:rPr>
                <w:szCs w:val="24"/>
                <w:lang w:val="pt-BR"/>
              </w:rPr>
            </w:pPr>
            <w:r w:rsidRPr="0059729F">
              <w:rPr>
                <w:szCs w:val="24"/>
              </w:rPr>
              <w:t>NHNN sẽ xem xét, rà soát chỉ tiêu thanh khoản để xếp hạng sau khi NHNN ban hành các văn bản quy phạm pháp luật có liên quan.</w:t>
            </w:r>
          </w:p>
          <w:p w14:paraId="3B04841B"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57A93101" w14:textId="77777777" w:rsidTr="00776E98">
        <w:trPr>
          <w:cantSplit/>
        </w:trPr>
        <w:tc>
          <w:tcPr>
            <w:tcW w:w="3828" w:type="dxa"/>
            <w:vMerge w:val="restart"/>
          </w:tcPr>
          <w:p w14:paraId="1A6065D1" w14:textId="77777777" w:rsidR="00755E60" w:rsidRPr="0002360B" w:rsidRDefault="00755E60" w:rsidP="00B268EC">
            <w:pPr>
              <w:widowControl w:val="0"/>
              <w:tabs>
                <w:tab w:val="left" w:pos="5670"/>
              </w:tabs>
              <w:spacing w:before="0" w:after="0"/>
              <w:rPr>
                <w:b/>
                <w:spacing w:val="-4"/>
                <w:szCs w:val="24"/>
                <w:lang w:val="pt-BR"/>
              </w:rPr>
            </w:pPr>
            <w:r w:rsidRPr="0059729F">
              <w:rPr>
                <w:b/>
                <w:spacing w:val="-4"/>
                <w:szCs w:val="24"/>
                <w:lang w:val="pt-BR"/>
              </w:rPr>
              <w:lastRenderedPageBreak/>
              <w:t>Khoản 8 Điều 1 DTTT sửa đổi, bổ sung Điều 14 Thông tư 52</w:t>
            </w:r>
          </w:p>
          <w:p w14:paraId="7F2EB739" w14:textId="77777777" w:rsidR="00755E60" w:rsidRPr="0002360B" w:rsidRDefault="00755E60" w:rsidP="00B268EC">
            <w:pPr>
              <w:widowControl w:val="0"/>
              <w:tabs>
                <w:tab w:val="left" w:pos="5670"/>
              </w:tabs>
              <w:spacing w:before="0" w:after="0"/>
              <w:rPr>
                <w:spacing w:val="-4"/>
                <w:szCs w:val="24"/>
                <w:lang w:val="pt-BR"/>
              </w:rPr>
            </w:pPr>
            <w:r w:rsidRPr="0059729F">
              <w:rPr>
                <w:spacing w:val="-4"/>
                <w:szCs w:val="24"/>
                <w:lang w:val="pt-BR"/>
              </w:rPr>
              <w:t>Điều 14. Ngưỡng tính điểm từng chỉ tiêu định lượng</w:t>
            </w:r>
          </w:p>
        </w:tc>
        <w:tc>
          <w:tcPr>
            <w:tcW w:w="1730" w:type="dxa"/>
            <w:vAlign w:val="center"/>
          </w:tcPr>
          <w:p w14:paraId="3E37FDAB" w14:textId="4157971A" w:rsidR="00755E60" w:rsidRPr="0059729F" w:rsidRDefault="00755E60" w:rsidP="00B268EC">
            <w:pPr>
              <w:widowControl w:val="0"/>
              <w:tabs>
                <w:tab w:val="left" w:pos="5670"/>
              </w:tabs>
              <w:spacing w:before="0" w:after="0"/>
              <w:ind w:right="34"/>
              <w:jc w:val="left"/>
              <w:rPr>
                <w:szCs w:val="24"/>
              </w:rPr>
            </w:pPr>
            <w:r w:rsidRPr="0059729F">
              <w:rPr>
                <w:szCs w:val="24"/>
              </w:rPr>
              <w:t>NHTMCP Công thương VN, NHTMCP Đầu tư và phát triển VN, NHTMCP Ngoại thương VN, NH Nông nghiệp và phát triển nông thôn VN, NHTMCP Á châu, NHTMCP Phát triển TP HCM, NHTMCP Bản Việt, NHTMCP Lộc Phát, CTTC NH Việt Nam thịnh vượng SBMC, HSBC Việt Nam, CTTC Lotte, CTTC Điện lực, NH Shinhan VN</w:t>
            </w:r>
            <w:r w:rsidR="00ED5AAA">
              <w:rPr>
                <w:szCs w:val="24"/>
              </w:rPr>
              <w:t>, Hiệp hội ngân hàng Việt Nam</w:t>
            </w:r>
          </w:p>
        </w:tc>
        <w:tc>
          <w:tcPr>
            <w:tcW w:w="5358" w:type="dxa"/>
            <w:vAlign w:val="center"/>
          </w:tcPr>
          <w:p w14:paraId="050B5B9F" w14:textId="77777777" w:rsidR="00755E60" w:rsidRPr="0059729F" w:rsidRDefault="00755E60" w:rsidP="00B268EC">
            <w:pPr>
              <w:widowControl w:val="0"/>
              <w:tabs>
                <w:tab w:val="left" w:pos="5670"/>
              </w:tabs>
              <w:spacing w:before="0" w:after="0"/>
              <w:rPr>
                <w:szCs w:val="24"/>
              </w:rPr>
            </w:pPr>
            <w:r w:rsidRPr="0059729F">
              <w:rPr>
                <w:szCs w:val="24"/>
              </w:rPr>
              <w:t>Các TCTD đề xuất sửa đổi, bổ sung ngưỡng của hầu hết các chỉ tiêu thuộc các tiêu chí Vốn, Chất lượng tài sản, Quản trị điều hành, Kết quả hoạt động kinh doanh, Khả năng thanh khoản:</w:t>
            </w:r>
          </w:p>
          <w:p w14:paraId="1FC695B7" w14:textId="77777777" w:rsidR="00755E60" w:rsidRPr="0059729F" w:rsidRDefault="00755E60" w:rsidP="00B268EC">
            <w:pPr>
              <w:widowControl w:val="0"/>
              <w:tabs>
                <w:tab w:val="left" w:pos="5670"/>
              </w:tabs>
              <w:spacing w:before="0" w:after="0"/>
              <w:rPr>
                <w:i/>
                <w:szCs w:val="24"/>
              </w:rPr>
            </w:pPr>
            <w:r w:rsidRPr="0059729F">
              <w:rPr>
                <w:i/>
                <w:szCs w:val="24"/>
              </w:rPr>
              <w:t xml:space="preserve">- NHTMCP Công thương Việt Nam: </w:t>
            </w:r>
          </w:p>
          <w:p w14:paraId="206A54BD" w14:textId="77777777" w:rsidR="00755E60" w:rsidRPr="0059729F" w:rsidRDefault="00755E60" w:rsidP="00B268EC">
            <w:pPr>
              <w:widowControl w:val="0"/>
              <w:tabs>
                <w:tab w:val="left" w:pos="5670"/>
              </w:tabs>
              <w:spacing w:before="0" w:after="0"/>
              <w:rPr>
                <w:szCs w:val="24"/>
              </w:rPr>
            </w:pPr>
            <w:r w:rsidRPr="0059729F">
              <w:rPr>
                <w:szCs w:val="24"/>
              </w:rPr>
              <w:t>+ DTTT chỉ sửa đổi theo hướng nâng ngưỡng Chỉ tiêu Tỷ lệ chi phí hoạt động so với tổng thu nhập hoạt động đối với Ngân hàng hợp tác xã. Tỷ lệ chi phí hoạt động so với tổng thu nhập hoạt động đã là chỉ tiêu phản ánh hiệu suất sử dụng chi phí để tạo ra doanh thu của TCTD. Bên cạnh đó, theo chủ trương của Chính phủ vì mục tiêu hỗ trợ nền kinh tế, các NHTM cần tăng cường tiết giảm chi phí hoạt động để giảm lãi suất cho vay nhằm hỗ trợ doanh nghiệp, người dân và nền kinh tế.</w:t>
            </w:r>
          </w:p>
          <w:p w14:paraId="2A41A689" w14:textId="77777777" w:rsidR="00755E60" w:rsidRPr="0059729F" w:rsidRDefault="00755E60" w:rsidP="00B268EC">
            <w:pPr>
              <w:widowControl w:val="0"/>
              <w:tabs>
                <w:tab w:val="left" w:pos="5670"/>
              </w:tabs>
              <w:spacing w:before="0" w:after="0"/>
              <w:rPr>
                <w:szCs w:val="24"/>
              </w:rPr>
            </w:pPr>
            <w:r w:rsidRPr="0059729F">
              <w:rPr>
                <w:szCs w:val="24"/>
              </w:rPr>
              <w:t>Vì vậy, VietinBank đề xuất áp dụng ngưỡng đo lường giống nhau đối với toàn bộ nhóm ngành ngân hàng thương mại và không phân biệt quy mô lớn hay nhỏ.</w:t>
            </w:r>
          </w:p>
          <w:p w14:paraId="339EA160" w14:textId="77777777" w:rsidR="00755E60" w:rsidRPr="0059729F" w:rsidRDefault="00755E60" w:rsidP="00B268EC">
            <w:pPr>
              <w:widowControl w:val="0"/>
              <w:tabs>
                <w:tab w:val="left" w:pos="5670"/>
              </w:tabs>
              <w:spacing w:before="0" w:after="0"/>
              <w:rPr>
                <w:szCs w:val="24"/>
              </w:rPr>
            </w:pPr>
            <w:r w:rsidRPr="0059729F">
              <w:rPr>
                <w:szCs w:val="24"/>
              </w:rPr>
              <w:t xml:space="preserve">+ DTTT chỉ sửa đổi theo hướng nâng ngưỡng Chỉ tiêu Tỷ lệ lợi nhuận trước thuế so với tổng tài sản bình quân đối với Ngân hàng hợp tác xã. Nhóm NHTM nhà nước là các TCTD tiên phong trong việc thực hiện các chủ trương và định hướng của Chính phủ và NHNN, đặc biệt là các chính sách ưu đãi miễn giảm lãi suất cho vay và phí dịch vụ đối với các nhóm ngành/lĩnh vực/đối tượng ưu tiên, thúc đẩy sự phát triển và ổn định của nền kinh tế. </w:t>
            </w:r>
          </w:p>
          <w:p w14:paraId="67A19DEA" w14:textId="77777777" w:rsidR="00755E60" w:rsidRPr="0059729F" w:rsidRDefault="00755E60" w:rsidP="00B268EC">
            <w:pPr>
              <w:widowControl w:val="0"/>
              <w:tabs>
                <w:tab w:val="left" w:pos="5670"/>
              </w:tabs>
              <w:spacing w:before="0" w:after="0"/>
              <w:rPr>
                <w:szCs w:val="24"/>
              </w:rPr>
            </w:pPr>
            <w:r w:rsidRPr="0059729F">
              <w:rPr>
                <w:szCs w:val="24"/>
              </w:rPr>
              <w:t>Vì vậy, VietinBank đề xuất các chỉ tiêu về tỷ lệ sinh lời trên tài sản và trên vốn (ROA, ROE) cần được đặt ngưỡng chấm điểm ở mức tương đương hoặc thấp hơn nhóm NHTM có quy mô nhỏ.</w:t>
            </w:r>
          </w:p>
          <w:p w14:paraId="3E340322" w14:textId="77777777" w:rsidR="00755E60" w:rsidRPr="0059729F" w:rsidRDefault="00755E60" w:rsidP="00B268EC">
            <w:pPr>
              <w:widowControl w:val="0"/>
              <w:tabs>
                <w:tab w:val="left" w:pos="5670"/>
              </w:tabs>
              <w:spacing w:before="0" w:after="0"/>
              <w:rPr>
                <w:szCs w:val="24"/>
              </w:rPr>
            </w:pPr>
          </w:p>
        </w:tc>
        <w:tc>
          <w:tcPr>
            <w:tcW w:w="4252" w:type="dxa"/>
            <w:vAlign w:val="center"/>
          </w:tcPr>
          <w:p w14:paraId="6C69031E" w14:textId="77777777" w:rsidR="00755E60" w:rsidRPr="0059729F" w:rsidRDefault="00755E60" w:rsidP="00B268EC">
            <w:pPr>
              <w:widowControl w:val="0"/>
              <w:tabs>
                <w:tab w:val="left" w:pos="5670"/>
              </w:tabs>
              <w:spacing w:before="0" w:after="0"/>
              <w:ind w:left="-41"/>
              <w:rPr>
                <w:b/>
                <w:bCs/>
                <w:szCs w:val="24"/>
              </w:rPr>
            </w:pPr>
            <w:r w:rsidRPr="0059729F">
              <w:rPr>
                <w:b/>
                <w:bCs/>
                <w:szCs w:val="24"/>
              </w:rPr>
              <w:t>Chưa tiếp thu</w:t>
            </w:r>
          </w:p>
          <w:p w14:paraId="13A998F3" w14:textId="77777777" w:rsidR="00755E60" w:rsidRPr="0059729F" w:rsidRDefault="00755E60" w:rsidP="00B268EC">
            <w:pPr>
              <w:widowControl w:val="0"/>
              <w:tabs>
                <w:tab w:val="left" w:pos="5670"/>
              </w:tabs>
              <w:spacing w:before="0" w:after="0"/>
              <w:ind w:left="-41"/>
              <w:rPr>
                <w:szCs w:val="24"/>
              </w:rPr>
            </w:pPr>
            <w:r w:rsidRPr="0059729F">
              <w:rPr>
                <w:szCs w:val="24"/>
              </w:rPr>
              <w:t>- Ngưỡng tính điểm xếp hạng tại Thông tư 52/2018/TT-NHNN và DTTT được xây dựng theo nguyên tắc thống nhất (theo phương pháp tính phân vị, trung vị kết hợp với phương pháp chuyên gia) đối với tất cả các chỉ tiêu định lượng, trên cơ sở dữ liệu lịch sử của từng TCTD, chi nhánh ngân hàng nước ngoài phân theo nhóm đồng hạng.</w:t>
            </w:r>
          </w:p>
          <w:p w14:paraId="6C5D7046" w14:textId="093DF4CF" w:rsidR="00755E60" w:rsidRPr="0059729F" w:rsidRDefault="00755E60">
            <w:pPr>
              <w:widowControl w:val="0"/>
              <w:tabs>
                <w:tab w:val="left" w:pos="5670"/>
              </w:tabs>
              <w:spacing w:before="0" w:after="0"/>
              <w:ind w:left="-41"/>
              <w:rPr>
                <w:szCs w:val="24"/>
              </w:rPr>
            </w:pPr>
            <w:r w:rsidRPr="0059729F">
              <w:rPr>
                <w:szCs w:val="24"/>
              </w:rPr>
              <w:t>- Việc xác định ngưỡng tính điểm xếp hạng đã xem xét đến quy mô và loại hình của TCTD (ngưỡng áp dụng đối với từng nhóm đồng hạng).</w:t>
            </w:r>
            <w:r w:rsidR="00026EB9" w:rsidRPr="0059729F">
              <w:rPr>
                <w:szCs w:val="24"/>
              </w:rPr>
              <w:t xml:space="preserve"> Việc điều chỉnh ngưỡng của các chỉ tiêu sẽ </w:t>
            </w:r>
            <w:r w:rsidR="00EE6633" w:rsidRPr="0059729F">
              <w:rPr>
                <w:szCs w:val="24"/>
              </w:rPr>
              <w:t xml:space="preserve">tiếp tục </w:t>
            </w:r>
            <w:r w:rsidR="00026EB9" w:rsidRPr="0059729F">
              <w:rPr>
                <w:szCs w:val="24"/>
              </w:rPr>
              <w:t xml:space="preserve">được xem xét </w:t>
            </w:r>
            <w:r w:rsidR="00EE6633" w:rsidRPr="0059729F">
              <w:rPr>
                <w:szCs w:val="24"/>
              </w:rPr>
              <w:t>trong thời gian tới.</w:t>
            </w:r>
          </w:p>
        </w:tc>
      </w:tr>
      <w:tr w:rsidR="0002360B" w:rsidRPr="0002360B" w14:paraId="2AFE20C4" w14:textId="77777777" w:rsidTr="00776E98">
        <w:trPr>
          <w:cantSplit/>
        </w:trPr>
        <w:tc>
          <w:tcPr>
            <w:tcW w:w="3828" w:type="dxa"/>
            <w:vMerge/>
          </w:tcPr>
          <w:p w14:paraId="10C9CBB5"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28989827" w14:textId="77777777" w:rsidR="00755E60" w:rsidRPr="0059729F" w:rsidRDefault="00755E60" w:rsidP="00B268EC">
            <w:pPr>
              <w:widowControl w:val="0"/>
              <w:tabs>
                <w:tab w:val="left" w:pos="5670"/>
              </w:tabs>
              <w:spacing w:before="0" w:after="0"/>
              <w:ind w:right="34"/>
              <w:jc w:val="left"/>
              <w:rPr>
                <w:szCs w:val="24"/>
              </w:rPr>
            </w:pPr>
          </w:p>
        </w:tc>
        <w:tc>
          <w:tcPr>
            <w:tcW w:w="5358" w:type="dxa"/>
            <w:vAlign w:val="center"/>
          </w:tcPr>
          <w:p w14:paraId="0111C8E5" w14:textId="77777777" w:rsidR="00755E60" w:rsidRPr="0059729F" w:rsidRDefault="00755E60" w:rsidP="00B268EC">
            <w:pPr>
              <w:widowControl w:val="0"/>
              <w:tabs>
                <w:tab w:val="left" w:pos="5670"/>
              </w:tabs>
              <w:spacing w:before="0" w:after="0"/>
              <w:rPr>
                <w:spacing w:val="-2"/>
                <w:sz w:val="22"/>
              </w:rPr>
            </w:pPr>
            <w:r w:rsidRPr="0059729F">
              <w:rPr>
                <w:spacing w:val="-2"/>
                <w:sz w:val="22"/>
              </w:rPr>
              <w:t>+ Theo quy định tại Điều 14 Thông tư 52, đối với các ngân hàng thương mại có quy mô lớn, để đạt điểm cao nhất thì tỷ lệ dư nợ tín dụng để đầu tư, kinh doanh bất động sản so với tổng nợ tín dụng phải nhỏ hơn 5% (ngưỡng 1). Trong bối cảnh Chính phủ và các bộ ban ngành đang tích cực tháo gỡ khó khăn cho lĩnh vực bất động sản và hệ thống ngân hàng là một trong các lực lượng nòng cốt thực hiện nhiệm vụ này thì ngưỡng điểm đối với chỉ tiêu này đang khá thấp, chưa thực sự phù hợp với chủ trương của Nhà nước.</w:t>
            </w:r>
          </w:p>
          <w:p w14:paraId="22549990" w14:textId="77777777" w:rsidR="00755E60" w:rsidRPr="0059729F" w:rsidRDefault="00755E60" w:rsidP="00B268EC">
            <w:pPr>
              <w:widowControl w:val="0"/>
              <w:tabs>
                <w:tab w:val="left" w:pos="5670"/>
              </w:tabs>
              <w:spacing w:before="0" w:after="0"/>
              <w:rPr>
                <w:spacing w:val="-2"/>
                <w:sz w:val="22"/>
              </w:rPr>
            </w:pPr>
            <w:r w:rsidRPr="0059729F">
              <w:rPr>
                <w:spacing w:val="-2"/>
                <w:sz w:val="22"/>
              </w:rPr>
              <w:t>VietinBank kính đề nghị NHNN xem xét điều chỉnh tăng ngưỡng 1 của chỉ tiêu này lên thành 10%.</w:t>
            </w:r>
          </w:p>
          <w:p w14:paraId="2293EEC6" w14:textId="77777777" w:rsidR="0040147C" w:rsidRPr="0059729F" w:rsidRDefault="0040147C" w:rsidP="00B268EC">
            <w:pPr>
              <w:widowControl w:val="0"/>
              <w:tabs>
                <w:tab w:val="left" w:pos="5670"/>
              </w:tabs>
              <w:spacing w:before="0" w:after="0"/>
              <w:rPr>
                <w:spacing w:val="-2"/>
                <w:sz w:val="22"/>
              </w:rPr>
            </w:pPr>
          </w:p>
          <w:p w14:paraId="203BEF85" w14:textId="77777777" w:rsidR="00755E60" w:rsidRPr="0059729F" w:rsidRDefault="00755E60" w:rsidP="00B268EC">
            <w:pPr>
              <w:widowControl w:val="0"/>
              <w:tabs>
                <w:tab w:val="left" w:pos="5670"/>
              </w:tabs>
              <w:spacing w:before="0" w:after="0"/>
              <w:rPr>
                <w:i/>
                <w:spacing w:val="-2"/>
                <w:sz w:val="22"/>
              </w:rPr>
            </w:pPr>
            <w:r w:rsidRPr="0059729F">
              <w:rPr>
                <w:i/>
                <w:spacing w:val="-2"/>
                <w:sz w:val="22"/>
              </w:rPr>
              <w:t>- NHTMCP Đầu tư và phát triển Việt Nam:</w:t>
            </w:r>
          </w:p>
          <w:p w14:paraId="36608B62" w14:textId="77777777" w:rsidR="00755E60" w:rsidRPr="0059729F" w:rsidRDefault="00755E60" w:rsidP="00B268EC">
            <w:pPr>
              <w:widowControl w:val="0"/>
              <w:tabs>
                <w:tab w:val="left" w:pos="5670"/>
              </w:tabs>
              <w:spacing w:before="0" w:after="0"/>
              <w:rPr>
                <w:spacing w:val="-2"/>
                <w:sz w:val="22"/>
              </w:rPr>
            </w:pPr>
            <w:r w:rsidRPr="0059729F">
              <w:rPr>
                <w:spacing w:val="-2"/>
                <w:sz w:val="22"/>
              </w:rPr>
              <w:t>+ Đối với chỉ tiêu thu nhập lãi cận biên (NIM): BIDV đề nghị NHNN xem xét áp dụng chung một ngưỡng tính điểm đối với các NHTM (không phân biệt quy mô lớn, quy mô nhỏ), theo đó điều chỉnh tương đương với ngưỡng điểm đối với nhóm NHTM có quy mô nhỏ. Lý do đề xuất: Thời gian vừa qua, NIM ngành ngân hàng có chiều hướng thu hẹp, đặc biệt là các NHTM có vốn nhà nước, quy mô lớn như BIDV, luôn nghiêm túc triển khai các chủ trương, chính sách, chỉ đạo của Chính Phủ, NHNN liên quan đến việc hạ lãi suất cho vay để hỗ trợ doanh nghiệp, thúc đẩy tăng trưởng nền kinh tế, theo đó ảnh hưởng đến chỉ tiêu Thu nhập lãi cận biên.</w:t>
            </w:r>
          </w:p>
          <w:p w14:paraId="30D00A6D" w14:textId="77777777" w:rsidR="00755E60" w:rsidRPr="0059729F" w:rsidRDefault="00755E60" w:rsidP="00B268EC">
            <w:pPr>
              <w:widowControl w:val="0"/>
              <w:tabs>
                <w:tab w:val="left" w:pos="5670"/>
              </w:tabs>
              <w:spacing w:before="0" w:after="0"/>
              <w:rPr>
                <w:szCs w:val="24"/>
              </w:rPr>
            </w:pPr>
            <w:r w:rsidRPr="0059729F">
              <w:rPr>
                <w:spacing w:val="-2"/>
                <w:sz w:val="22"/>
              </w:rPr>
              <w:t>+ Chỉ tiêu Tỷ lệ tài sản có tính thanh khoản cao bình quân so tổng tài sản bình quân điều chỉnh các ngưỡng từ 20%; 15%; 9%; 5% lần lượt thành 15%; 12%; 10%; 5%; Chỉ tiêu Tỷ lệ dư nợ cho vay so với tổng tiền gửi (LDR) điều chỉnh các ngưỡng từ 70%; 80%; 90%; 95% lần lượt thành 80%; 85%; 90%; 95%. Lý do đề xuất: Song song với thực hiện nhiệm vụ chính trị giảm thu nhập hỗ trợ nền kinh tế như đã nêu trên, BIDV cũng nỗ lực điều hành hoạt động kinh doanh nhằm thực hiện hoàn thành các mục tiêu kế hoạch lợi nhuận được NHNN giao hàng năm trên cơ sở tối ưu danh mục tài sản nợ - tài sản có để gia tăng các nguồn thu, do đó BIDV kiểm soát tuân thủ các tỷ lệ về an toàn thanh khoản bám sát quy định của NHNN tại Thông tư 22/2019/TT-NHNN, trong đó Tỷ lệ dự trữ thanh khoản tối thiểu 10%, LDR tối đa 85%.</w:t>
            </w:r>
          </w:p>
        </w:tc>
        <w:tc>
          <w:tcPr>
            <w:tcW w:w="4252" w:type="dxa"/>
            <w:vAlign w:val="center"/>
          </w:tcPr>
          <w:p w14:paraId="382CD542" w14:textId="77777777" w:rsidR="00755E60" w:rsidRPr="0059729F" w:rsidRDefault="00755E60" w:rsidP="00B268EC">
            <w:pPr>
              <w:widowControl w:val="0"/>
              <w:tabs>
                <w:tab w:val="left" w:pos="5670"/>
              </w:tabs>
              <w:spacing w:before="0" w:after="0"/>
              <w:ind w:left="-41"/>
              <w:rPr>
                <w:szCs w:val="24"/>
              </w:rPr>
            </w:pPr>
          </w:p>
        </w:tc>
      </w:tr>
      <w:tr w:rsidR="0002360B" w:rsidRPr="0002360B" w14:paraId="2679EAC3" w14:textId="77777777" w:rsidTr="00776E98">
        <w:trPr>
          <w:cantSplit/>
        </w:trPr>
        <w:tc>
          <w:tcPr>
            <w:tcW w:w="3828" w:type="dxa"/>
            <w:vMerge/>
          </w:tcPr>
          <w:p w14:paraId="723BC63B"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7A30CD20" w14:textId="77777777" w:rsidR="00755E60" w:rsidRPr="0059729F" w:rsidRDefault="00755E60" w:rsidP="00B268EC">
            <w:pPr>
              <w:widowControl w:val="0"/>
              <w:tabs>
                <w:tab w:val="left" w:pos="5670"/>
              </w:tabs>
              <w:spacing w:before="0" w:after="0"/>
              <w:ind w:right="34"/>
              <w:jc w:val="left"/>
              <w:rPr>
                <w:szCs w:val="24"/>
              </w:rPr>
            </w:pPr>
          </w:p>
        </w:tc>
        <w:tc>
          <w:tcPr>
            <w:tcW w:w="5358" w:type="dxa"/>
            <w:vAlign w:val="center"/>
          </w:tcPr>
          <w:p w14:paraId="3D3A4308" w14:textId="77777777" w:rsidR="00755E60" w:rsidRPr="0059729F" w:rsidRDefault="00755E60" w:rsidP="00B268EC">
            <w:pPr>
              <w:widowControl w:val="0"/>
              <w:tabs>
                <w:tab w:val="left" w:pos="5670"/>
              </w:tabs>
              <w:spacing w:before="0" w:after="0"/>
              <w:rPr>
                <w:i/>
                <w:spacing w:val="-2"/>
                <w:sz w:val="22"/>
                <w:szCs w:val="24"/>
              </w:rPr>
            </w:pPr>
            <w:r w:rsidRPr="0059729F">
              <w:rPr>
                <w:i/>
                <w:spacing w:val="-2"/>
                <w:sz w:val="22"/>
                <w:szCs w:val="24"/>
              </w:rPr>
              <w:t>- NHTMCP Ngoại thương Việt Nam:</w:t>
            </w:r>
          </w:p>
          <w:p w14:paraId="7F2A4DDD" w14:textId="77777777" w:rsidR="00755E60" w:rsidRPr="0059729F" w:rsidRDefault="00755E60" w:rsidP="00B268EC">
            <w:pPr>
              <w:widowControl w:val="0"/>
              <w:tabs>
                <w:tab w:val="left" w:pos="5670"/>
              </w:tabs>
              <w:spacing w:before="0" w:after="0"/>
              <w:rPr>
                <w:spacing w:val="-2"/>
                <w:sz w:val="22"/>
                <w:szCs w:val="24"/>
              </w:rPr>
            </w:pPr>
            <w:r w:rsidRPr="0059729F">
              <w:rPr>
                <w:spacing w:val="-2"/>
                <w:sz w:val="22"/>
                <w:szCs w:val="24"/>
              </w:rPr>
              <w:t xml:space="preserve">   Tỷ lệ dư nợ cấp tín dụng đối với 100 khách hàng lớn nhất so với dư nợ cấp tín dụng đối với tổ chức kinh tế, cá nhân: việc quy định Ngưỡng 1 ở mức 20% là rất thấp, đặc biệt đối với các NHTM Nhà nước có vai trò cung ứng vốn cho các dự án trọng điểm quốc gia, các doanh nghiệp Nhà nước hoạt động trong các lĩnh vực thiết yếu. </w:t>
            </w:r>
          </w:p>
          <w:p w14:paraId="14FA0DD3" w14:textId="77777777" w:rsidR="00755E60" w:rsidRPr="0059729F" w:rsidRDefault="00755E60" w:rsidP="00B268EC">
            <w:pPr>
              <w:widowControl w:val="0"/>
              <w:tabs>
                <w:tab w:val="left" w:pos="5670"/>
              </w:tabs>
              <w:spacing w:before="0" w:after="0"/>
              <w:rPr>
                <w:spacing w:val="-2"/>
                <w:sz w:val="22"/>
                <w:szCs w:val="24"/>
              </w:rPr>
            </w:pPr>
            <w:r w:rsidRPr="0059729F">
              <w:rPr>
                <w:spacing w:val="-2"/>
                <w:sz w:val="22"/>
                <w:szCs w:val="24"/>
              </w:rPr>
              <w:t>Ngưỡng điểm giữa 02 nhóm “Ngân hàng thương mại có quy mô lớn” và “Ngân hàng thương mại có quy mô nhỏ” như dự thảo Thông tư có sự chênh lệch lớn (tương ứng 20% và 40% - cao gấp 2 lần).</w:t>
            </w:r>
          </w:p>
          <w:p w14:paraId="57F118EA" w14:textId="77777777" w:rsidR="00755E60" w:rsidRPr="0059729F" w:rsidRDefault="00755E60" w:rsidP="00B268EC">
            <w:pPr>
              <w:widowControl w:val="0"/>
              <w:tabs>
                <w:tab w:val="left" w:pos="5670"/>
              </w:tabs>
              <w:spacing w:before="0" w:after="0"/>
              <w:rPr>
                <w:spacing w:val="-2"/>
                <w:sz w:val="22"/>
                <w:szCs w:val="24"/>
              </w:rPr>
            </w:pPr>
            <w:r w:rsidRPr="0059729F">
              <w:rPr>
                <w:spacing w:val="-2"/>
                <w:sz w:val="22"/>
                <w:szCs w:val="24"/>
              </w:rPr>
              <w:t>Do vậy, đề xuất NHNN xem xét áp dụng chung ngưỡng 1 là 40% đối với nhóm Ngân hàng thương mại có quy mô lớn và nhóm quy mô nhỏ. Cơ sở đề xuất: Để đảm bảo phù hợp với quy mô và đặc thù của các NHTM Nhà nước quy mô lớn.</w:t>
            </w:r>
          </w:p>
          <w:p w14:paraId="5755AADD" w14:textId="77777777" w:rsidR="00755E60" w:rsidRPr="0059729F" w:rsidRDefault="00755E60" w:rsidP="00B268EC">
            <w:pPr>
              <w:widowControl w:val="0"/>
              <w:tabs>
                <w:tab w:val="left" w:pos="5670"/>
              </w:tabs>
              <w:spacing w:before="0" w:after="0"/>
              <w:rPr>
                <w:i/>
                <w:spacing w:val="-2"/>
                <w:sz w:val="22"/>
                <w:szCs w:val="24"/>
              </w:rPr>
            </w:pPr>
            <w:r w:rsidRPr="0059729F">
              <w:rPr>
                <w:i/>
                <w:spacing w:val="-2"/>
                <w:sz w:val="22"/>
                <w:szCs w:val="24"/>
              </w:rPr>
              <w:t>- NH Nông nghiệp và phát triển nông thôn Việt Nam:</w:t>
            </w:r>
          </w:p>
          <w:p w14:paraId="0C88C2AB" w14:textId="77777777" w:rsidR="00755E60" w:rsidRPr="0059729F" w:rsidRDefault="00755E60" w:rsidP="00B268EC">
            <w:pPr>
              <w:widowControl w:val="0"/>
              <w:tabs>
                <w:tab w:val="left" w:pos="5670"/>
              </w:tabs>
              <w:spacing w:before="0" w:after="0"/>
              <w:rPr>
                <w:spacing w:val="-2"/>
                <w:sz w:val="22"/>
                <w:szCs w:val="24"/>
              </w:rPr>
            </w:pPr>
            <w:r w:rsidRPr="0059729F">
              <w:rPr>
                <w:spacing w:val="-2"/>
                <w:sz w:val="22"/>
                <w:szCs w:val="24"/>
              </w:rPr>
              <w:t>+ Đề nghị NHNN xem xét sửa đổi, bổ sung mức xác định ngưỡng tính điểm đối với chỉ tiêu Tỷ lệ chi phí hoạt động so với tổng thu nhập hoạt động (chỉ tiêu 3.1) và Tỷ lệ lợi nhuận trước thuế so với tổng tài sản bình quân (chỉ tiêu 4.2) để phù hợp hơn với tình hình thực tế, do:</w:t>
            </w:r>
          </w:p>
          <w:p w14:paraId="75A0E08D" w14:textId="77777777" w:rsidR="00755E60" w:rsidRPr="0059729F" w:rsidRDefault="00755E60" w:rsidP="00B268EC">
            <w:pPr>
              <w:widowControl w:val="0"/>
              <w:tabs>
                <w:tab w:val="left" w:pos="5670"/>
              </w:tabs>
              <w:spacing w:before="0" w:after="0"/>
              <w:rPr>
                <w:spacing w:val="-2"/>
                <w:sz w:val="22"/>
                <w:szCs w:val="24"/>
              </w:rPr>
            </w:pPr>
            <w:r w:rsidRPr="0059729F">
              <w:rPr>
                <w:spacing w:val="-2"/>
                <w:sz w:val="22"/>
                <w:szCs w:val="24"/>
              </w:rPr>
              <w:t xml:space="preserve">   (i) Với đặc thù là NHTM có mạng lưới chi nhánh và phòng giao dịch phủ rộng khắp cả nước, chủ yếu phục vụ khách hàng trong lĩnh vực nông nghiệp, nông thôn với món vay nhỏ lẻ, số lượng nhiều nên chi phí hoạt động của Agribank luôn cao hơn so với các ngân hàng khác. Trong khi đó, Agribank luôn tiên phong, tích cực triển khai nhiều chương trình, chính sách tín dụng, hỗ trợ lãi suất theo chủ trương của Chính phủ, NHNN nên thu nhập hoạt động của Agribank khó có thể tăng trưởng mạnh. </w:t>
            </w:r>
          </w:p>
          <w:p w14:paraId="37D37789" w14:textId="77777777" w:rsidR="00755E60" w:rsidRPr="0059729F" w:rsidRDefault="00755E60" w:rsidP="00B268EC">
            <w:pPr>
              <w:widowControl w:val="0"/>
              <w:tabs>
                <w:tab w:val="left" w:pos="5670"/>
              </w:tabs>
              <w:spacing w:before="0" w:after="0"/>
              <w:rPr>
                <w:spacing w:val="-2"/>
                <w:szCs w:val="24"/>
              </w:rPr>
            </w:pPr>
            <w:r w:rsidRPr="0059729F">
              <w:rPr>
                <w:spacing w:val="-2"/>
                <w:sz w:val="22"/>
                <w:szCs w:val="24"/>
              </w:rPr>
              <w:t xml:space="preserve">   (ii) Agribank hiện là NHTM có quy mô tổng tài sản đứng thứ hai trong hệ thống các TCTD (năm 2024, tổng tài sản của Agribank đã vượt mức trên 2,2 triệu tỷ đồng với mức tăng trưởng bình quân 5 năm gần nhất là 9,6%/năm), trong khi thu nhập hoạt động của Agribank khó tăng trưởng đột biến như nêu trên; tỷ lệ lợi nhuận trước thuế so với tổng tài sản hàng năm của Agribank duy trì ở mức khoảng 1%.</w:t>
            </w:r>
          </w:p>
        </w:tc>
        <w:tc>
          <w:tcPr>
            <w:tcW w:w="4252" w:type="dxa"/>
            <w:vAlign w:val="center"/>
          </w:tcPr>
          <w:p w14:paraId="469D956A" w14:textId="77777777" w:rsidR="00755E60" w:rsidRPr="0059729F" w:rsidRDefault="00755E60" w:rsidP="00B268EC">
            <w:pPr>
              <w:widowControl w:val="0"/>
              <w:tabs>
                <w:tab w:val="left" w:pos="5670"/>
              </w:tabs>
              <w:spacing w:before="0" w:after="0"/>
              <w:ind w:left="-41"/>
              <w:rPr>
                <w:szCs w:val="24"/>
              </w:rPr>
            </w:pPr>
          </w:p>
        </w:tc>
      </w:tr>
      <w:tr w:rsidR="0002360B" w:rsidRPr="0002360B" w14:paraId="326FF1C4" w14:textId="77777777" w:rsidTr="00776E98">
        <w:trPr>
          <w:cantSplit/>
        </w:trPr>
        <w:tc>
          <w:tcPr>
            <w:tcW w:w="3828" w:type="dxa"/>
            <w:vMerge/>
          </w:tcPr>
          <w:p w14:paraId="2E2FF9DB"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01911730" w14:textId="77777777" w:rsidR="00755E60" w:rsidRPr="0059729F" w:rsidRDefault="00755E60" w:rsidP="00B268EC">
            <w:pPr>
              <w:widowControl w:val="0"/>
              <w:tabs>
                <w:tab w:val="left" w:pos="5670"/>
              </w:tabs>
              <w:spacing w:before="0" w:after="0"/>
              <w:ind w:right="34"/>
              <w:jc w:val="left"/>
              <w:rPr>
                <w:szCs w:val="24"/>
              </w:rPr>
            </w:pPr>
          </w:p>
        </w:tc>
        <w:tc>
          <w:tcPr>
            <w:tcW w:w="5358" w:type="dxa"/>
            <w:vAlign w:val="center"/>
          </w:tcPr>
          <w:p w14:paraId="36332AA2" w14:textId="77777777" w:rsidR="00755E60" w:rsidRPr="0059729F" w:rsidRDefault="00755E60" w:rsidP="00B268EC">
            <w:pPr>
              <w:widowControl w:val="0"/>
              <w:tabs>
                <w:tab w:val="left" w:pos="5670"/>
              </w:tabs>
              <w:spacing w:before="0" w:after="0"/>
              <w:rPr>
                <w:spacing w:val="-2"/>
                <w:sz w:val="22"/>
                <w:szCs w:val="24"/>
              </w:rPr>
            </w:pPr>
            <w:r w:rsidRPr="0059729F">
              <w:rPr>
                <w:spacing w:val="-2"/>
                <w:sz w:val="22"/>
                <w:szCs w:val="24"/>
              </w:rPr>
              <w:t>+ Tiêu chí về Vốn được đánh giá chủ yếu dựa trên chỉ tiêu tỷ lệ an toàn vốn (CAR) và tỷ lệ an toàn vốn cấp 1; tuy nhiên, quy định về tính điểm, ngưỡng tính điểm và tỷ trọng của các chỉ tiêu này còn chưa phù hợp, do:</w:t>
            </w:r>
          </w:p>
          <w:p w14:paraId="63F76A68" w14:textId="77777777" w:rsidR="00755E60" w:rsidRPr="0059729F" w:rsidRDefault="00755E60" w:rsidP="00B268EC">
            <w:pPr>
              <w:widowControl w:val="0"/>
              <w:tabs>
                <w:tab w:val="left" w:pos="5670"/>
              </w:tabs>
              <w:spacing w:before="0" w:after="0"/>
              <w:rPr>
                <w:spacing w:val="-2"/>
                <w:sz w:val="22"/>
                <w:szCs w:val="24"/>
              </w:rPr>
            </w:pPr>
            <w:r w:rsidRPr="0059729F">
              <w:rPr>
                <w:spacing w:val="-2"/>
                <w:sz w:val="22"/>
                <w:szCs w:val="24"/>
              </w:rPr>
              <w:t xml:space="preserve">   (i) Mức xác định ngưỡng tính điểm tại quy định hiện tại quá cao, các NHTM Nhà nước khó có khả năng đáp ứng; cụ thể: Để đạt được 5 điểm tối đa thì tỷ lệ CAR phải lớn hơn hoặc bằng 11%. Đây là mức rất khó để có thể đạt được đối với các NHTM Nhà nước (tỷ lệ CAR bình quân của nhóm NHTM Nhà nước chỉ đạt 4/5 điểm ), nhất là trong bối cảnh yêu cầu tăng trưởng tín dụng phải tương ứng với mục tiêu tăng trưởng kinh tế 2 con số giai đoạn 2026-2030.  </w:t>
            </w:r>
          </w:p>
          <w:p w14:paraId="25BA101E" w14:textId="77777777" w:rsidR="00755E60" w:rsidRPr="0059729F" w:rsidRDefault="00755E60" w:rsidP="00B268EC">
            <w:pPr>
              <w:widowControl w:val="0"/>
              <w:tabs>
                <w:tab w:val="left" w:pos="5670"/>
              </w:tabs>
              <w:spacing w:before="0" w:after="0"/>
              <w:rPr>
                <w:spacing w:val="-2"/>
                <w:sz w:val="22"/>
                <w:szCs w:val="24"/>
              </w:rPr>
            </w:pPr>
            <w:r w:rsidRPr="0059729F">
              <w:rPr>
                <w:spacing w:val="-2"/>
                <w:sz w:val="22"/>
                <w:szCs w:val="24"/>
              </w:rPr>
              <w:t xml:space="preserve">   (ii) Tỷ lệ an toàn vốn của Agribank có chiều hướng giảm do việc bổ sung vốn điều lệ để tăng vốn cấp 1 không đảm bảo so với tốc độ tăng trưởng tín dụng. Với dự kiến tăng trưởng tín dụng trong giai đoạn tới từ 230.000-250.000 tỷ đồng/năm, Agribank cần bổ sung vốn điều lệ từ 15.000-16.000 tỷ đồng/năm. </w:t>
            </w:r>
          </w:p>
          <w:p w14:paraId="6E091DCC" w14:textId="77777777" w:rsidR="00755E60" w:rsidRPr="0059729F" w:rsidRDefault="00755E60" w:rsidP="00B268EC">
            <w:pPr>
              <w:widowControl w:val="0"/>
              <w:tabs>
                <w:tab w:val="left" w:pos="5670"/>
              </w:tabs>
              <w:spacing w:before="0" w:after="0"/>
              <w:rPr>
                <w:spacing w:val="-2"/>
                <w:sz w:val="22"/>
                <w:szCs w:val="24"/>
              </w:rPr>
            </w:pPr>
            <w:r w:rsidRPr="0059729F">
              <w:rPr>
                <w:spacing w:val="-2"/>
                <w:sz w:val="22"/>
                <w:szCs w:val="24"/>
              </w:rPr>
              <w:t xml:space="preserve">   (iii) Các NHTM có các biện pháp tăng vốn điều lệ khác nhau, nhưng đối với NHTM 100% vốn Nhà nước đặc thù như Agribank, việc tăng vốn điều lệ hoàn toàn phụ thuộc vào Ngân sách Nhà nước (NSNN) và phải được Quốc hội/Thủ tướng Chính phủ phê duyệt, nên Agribank gặp nhiều khó khăn hơn trong việc tăng vốn để đảm bảo tuân thủ quy định về tỷ lệ CAR, trong khi các NHTM quy mô nhỏ có điều kiện và lợi thế để đảm bảo mức độ an toàn vốn cao hơn.</w:t>
            </w:r>
          </w:p>
          <w:p w14:paraId="6EC8FF36" w14:textId="77777777" w:rsidR="00755E60" w:rsidRPr="0059729F" w:rsidRDefault="00755E60" w:rsidP="00B268EC">
            <w:pPr>
              <w:widowControl w:val="0"/>
              <w:tabs>
                <w:tab w:val="left" w:pos="5670"/>
              </w:tabs>
              <w:spacing w:before="0" w:after="0"/>
              <w:rPr>
                <w:spacing w:val="-2"/>
                <w:szCs w:val="24"/>
              </w:rPr>
            </w:pPr>
            <w:r w:rsidRPr="0059729F">
              <w:rPr>
                <w:spacing w:val="-2"/>
                <w:sz w:val="22"/>
                <w:szCs w:val="24"/>
              </w:rPr>
              <w:t xml:space="preserve">    Do đó, đề nghị NHNN xem xét chỉnh sửa quy định về mức xác định ngưỡng tính điểm đối với tiêu chí Vốn theo hướng đánh giá, xếp hạng mức độ an toàn vốn của các NHTM theo các cấp độ gắn với quy mô tổng tài sản và theo loại hình NHTM (NHTM 100% vốn Nhà nước và NHTM cổ phần) để phù hợp với thực tế. Đồng thời có cơ chế cộng điểm nếu tỷ lệ CAR cao hơn 10% để khuyến khích các NHTM thực hiện các giải pháp nâng cao mức độ an toàn vốn.</w:t>
            </w:r>
          </w:p>
        </w:tc>
        <w:tc>
          <w:tcPr>
            <w:tcW w:w="4252" w:type="dxa"/>
            <w:vAlign w:val="center"/>
          </w:tcPr>
          <w:p w14:paraId="2FF3AE3C" w14:textId="77777777" w:rsidR="00755E60" w:rsidRPr="0059729F" w:rsidRDefault="00755E60" w:rsidP="00B268EC">
            <w:pPr>
              <w:widowControl w:val="0"/>
              <w:tabs>
                <w:tab w:val="left" w:pos="5670"/>
              </w:tabs>
              <w:spacing w:before="0" w:after="0"/>
              <w:ind w:left="-41"/>
              <w:rPr>
                <w:szCs w:val="24"/>
              </w:rPr>
            </w:pPr>
          </w:p>
        </w:tc>
      </w:tr>
      <w:tr w:rsidR="0002360B" w:rsidRPr="0002360B" w14:paraId="47C7499B" w14:textId="77777777" w:rsidTr="00776E98">
        <w:trPr>
          <w:cantSplit/>
        </w:trPr>
        <w:tc>
          <w:tcPr>
            <w:tcW w:w="3828" w:type="dxa"/>
            <w:vMerge/>
          </w:tcPr>
          <w:p w14:paraId="0B9AA800"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472BB987" w14:textId="77777777" w:rsidR="00755E60" w:rsidRPr="0059729F" w:rsidRDefault="00755E60" w:rsidP="00B268EC">
            <w:pPr>
              <w:widowControl w:val="0"/>
              <w:tabs>
                <w:tab w:val="left" w:pos="5670"/>
              </w:tabs>
              <w:spacing w:before="0" w:after="0"/>
              <w:ind w:right="34"/>
              <w:jc w:val="left"/>
              <w:rPr>
                <w:szCs w:val="24"/>
              </w:rPr>
            </w:pPr>
          </w:p>
        </w:tc>
        <w:tc>
          <w:tcPr>
            <w:tcW w:w="5358" w:type="dxa"/>
            <w:vAlign w:val="center"/>
          </w:tcPr>
          <w:p w14:paraId="73794C5A" w14:textId="77777777" w:rsidR="00755E60" w:rsidRPr="0059729F" w:rsidRDefault="00755E60" w:rsidP="00B268EC">
            <w:pPr>
              <w:widowControl w:val="0"/>
              <w:tabs>
                <w:tab w:val="left" w:pos="5670"/>
              </w:tabs>
              <w:spacing w:before="0" w:after="0"/>
              <w:rPr>
                <w:i/>
                <w:spacing w:val="-2"/>
                <w:szCs w:val="24"/>
              </w:rPr>
            </w:pPr>
            <w:r w:rsidRPr="0059729F">
              <w:rPr>
                <w:i/>
                <w:spacing w:val="-2"/>
                <w:szCs w:val="24"/>
              </w:rPr>
              <w:t>- NHTMCP Á Châu:</w:t>
            </w:r>
          </w:p>
          <w:p w14:paraId="0F731082" w14:textId="77777777" w:rsidR="00755E60" w:rsidRPr="0059729F" w:rsidRDefault="00755E60" w:rsidP="00B268EC">
            <w:pPr>
              <w:widowControl w:val="0"/>
              <w:tabs>
                <w:tab w:val="left" w:pos="5670"/>
              </w:tabs>
              <w:spacing w:before="0" w:after="0"/>
              <w:rPr>
                <w:spacing w:val="-2"/>
                <w:szCs w:val="24"/>
              </w:rPr>
            </w:pPr>
            <w:r w:rsidRPr="0059729F">
              <w:rPr>
                <w:spacing w:val="-2"/>
                <w:szCs w:val="24"/>
              </w:rPr>
              <w:t>Đề xuất điều chỉnh: giảm ngưỡng tính điểm định lượng và thu hẹp khoảng cách giữa các ngưỡng:</w:t>
            </w:r>
          </w:p>
          <w:p w14:paraId="4C4D0FC9" w14:textId="77777777" w:rsidR="00755E60" w:rsidRPr="0059729F" w:rsidRDefault="00755E60" w:rsidP="00B268EC">
            <w:pPr>
              <w:widowControl w:val="0"/>
              <w:tabs>
                <w:tab w:val="left" w:pos="5670"/>
              </w:tabs>
              <w:spacing w:before="0" w:after="0"/>
              <w:rPr>
                <w:spacing w:val="-2"/>
                <w:szCs w:val="24"/>
              </w:rPr>
            </w:pPr>
            <w:r w:rsidRPr="0059729F">
              <w:rPr>
                <w:spacing w:val="-2"/>
                <w:szCs w:val="24"/>
              </w:rPr>
              <w:t>+ Tỷ lệ dư nợ cho vay so với tổng tiền gửi</w:t>
            </w:r>
          </w:p>
          <w:p w14:paraId="43637394" w14:textId="77777777" w:rsidR="00755E60" w:rsidRPr="0059729F" w:rsidRDefault="00755E60" w:rsidP="00B268EC">
            <w:pPr>
              <w:widowControl w:val="0"/>
              <w:tabs>
                <w:tab w:val="left" w:pos="5670"/>
              </w:tabs>
              <w:spacing w:before="0" w:after="0"/>
              <w:rPr>
                <w:spacing w:val="-2"/>
                <w:szCs w:val="24"/>
              </w:rPr>
            </w:pPr>
            <w:r w:rsidRPr="0059729F">
              <w:rPr>
                <w:spacing w:val="-2"/>
                <w:szCs w:val="24"/>
              </w:rPr>
              <w:t>Đề xuất điều chỉnh: nâng ngưỡng tính điểm định lượng để ngân hàng có thể tận dụng tối ưu nguồn vốn và vẫn duy trì mức độ tuân thủ hạn mức thanh khoản.</w:t>
            </w:r>
          </w:p>
          <w:p w14:paraId="5955BB46" w14:textId="77777777" w:rsidR="00755E60" w:rsidRPr="0059729F" w:rsidRDefault="00755E60" w:rsidP="00B268EC">
            <w:pPr>
              <w:widowControl w:val="0"/>
              <w:tabs>
                <w:tab w:val="left" w:pos="5670"/>
              </w:tabs>
              <w:spacing w:before="0" w:after="0"/>
              <w:rPr>
                <w:spacing w:val="-2"/>
                <w:szCs w:val="24"/>
              </w:rPr>
            </w:pPr>
            <w:r w:rsidRPr="0059729F">
              <w:rPr>
                <w:spacing w:val="-2"/>
                <w:szCs w:val="24"/>
              </w:rPr>
              <w:t>+ Tỷ lệ tài sản có tính thanh khoản cao bình quân so với tổng tài sản bình quân</w:t>
            </w:r>
          </w:p>
          <w:p w14:paraId="48FE4359" w14:textId="77777777" w:rsidR="00755E60" w:rsidRPr="0059729F" w:rsidRDefault="00755E60" w:rsidP="00B268EC">
            <w:pPr>
              <w:widowControl w:val="0"/>
              <w:tabs>
                <w:tab w:val="left" w:pos="5670"/>
              </w:tabs>
              <w:spacing w:before="0" w:after="0"/>
              <w:rPr>
                <w:spacing w:val="-2"/>
                <w:szCs w:val="24"/>
              </w:rPr>
            </w:pPr>
            <w:r w:rsidRPr="0059729F">
              <w:rPr>
                <w:spacing w:val="-2"/>
                <w:szCs w:val="24"/>
              </w:rPr>
              <w:t>Đề xuất điều chỉnh: giảm ngưỡng tính điểm định lượng và thu hẹp khoảng cách giữa các ngưỡng.</w:t>
            </w:r>
          </w:p>
          <w:p w14:paraId="5D6A7BC8" w14:textId="77777777" w:rsidR="00755E60" w:rsidRPr="0059729F" w:rsidRDefault="00755E60" w:rsidP="00B268EC">
            <w:pPr>
              <w:widowControl w:val="0"/>
              <w:tabs>
                <w:tab w:val="left" w:pos="5670"/>
              </w:tabs>
              <w:spacing w:before="0" w:after="0"/>
              <w:rPr>
                <w:spacing w:val="-2"/>
                <w:szCs w:val="24"/>
              </w:rPr>
            </w:pPr>
            <w:r w:rsidRPr="0059729F">
              <w:rPr>
                <w:spacing w:val="-2"/>
                <w:szCs w:val="24"/>
              </w:rPr>
              <w:t>+ Tỷ lệ chênh lệch giữa tài sản nhạy cảm lãi suất và nợ phải trả nhạy cảm lãi suất so với Vốn chủ sở hữu.</w:t>
            </w:r>
          </w:p>
          <w:p w14:paraId="591B8850" w14:textId="620F271E" w:rsidR="00755E60" w:rsidRPr="0059729F" w:rsidRDefault="00755E60" w:rsidP="00B268EC">
            <w:pPr>
              <w:widowControl w:val="0"/>
              <w:tabs>
                <w:tab w:val="left" w:pos="5670"/>
              </w:tabs>
              <w:spacing w:before="0" w:after="0"/>
              <w:rPr>
                <w:i/>
                <w:spacing w:val="-2"/>
                <w:szCs w:val="24"/>
              </w:rPr>
            </w:pPr>
            <w:r w:rsidRPr="0059729F">
              <w:rPr>
                <w:i/>
                <w:spacing w:val="-2"/>
                <w:szCs w:val="24"/>
              </w:rPr>
              <w:t>- NHTMCP Phát triển TP HCM</w:t>
            </w:r>
            <w:r w:rsidR="005C7654">
              <w:rPr>
                <w:i/>
                <w:spacing w:val="-2"/>
                <w:szCs w:val="24"/>
              </w:rPr>
              <w:t>, Hiệp hội NHVN</w:t>
            </w:r>
            <w:r w:rsidRPr="0059729F">
              <w:rPr>
                <w:i/>
                <w:spacing w:val="-2"/>
                <w:szCs w:val="24"/>
              </w:rPr>
              <w:t>:</w:t>
            </w:r>
          </w:p>
          <w:p w14:paraId="10494B0B" w14:textId="77777777" w:rsidR="00755E60" w:rsidRPr="0059729F" w:rsidRDefault="00755E60" w:rsidP="00B268EC">
            <w:pPr>
              <w:widowControl w:val="0"/>
              <w:tabs>
                <w:tab w:val="left" w:pos="5670"/>
              </w:tabs>
              <w:spacing w:before="0" w:after="0"/>
              <w:rPr>
                <w:spacing w:val="-2"/>
                <w:szCs w:val="24"/>
              </w:rPr>
            </w:pPr>
            <w:r w:rsidRPr="0059729F">
              <w:rPr>
                <w:spacing w:val="-2"/>
                <w:szCs w:val="24"/>
              </w:rPr>
              <w:t xml:space="preserve">  Đề xuất tăng ngưỡng tính điểm chỉ tiêu “2.9. Tỷ lệ tài sản có khác bình quân so với Tổng tài sản bình quân”.</w:t>
            </w:r>
          </w:p>
          <w:p w14:paraId="66D0A0A3" w14:textId="77777777" w:rsidR="00755E60" w:rsidRPr="0059729F" w:rsidRDefault="00755E60" w:rsidP="00B268EC">
            <w:pPr>
              <w:widowControl w:val="0"/>
              <w:tabs>
                <w:tab w:val="left" w:pos="5670"/>
              </w:tabs>
              <w:spacing w:before="0" w:after="0"/>
              <w:rPr>
                <w:spacing w:val="-2"/>
                <w:szCs w:val="24"/>
              </w:rPr>
            </w:pPr>
            <w:r w:rsidRPr="0059729F">
              <w:rPr>
                <w:spacing w:val="-2"/>
                <w:szCs w:val="24"/>
              </w:rPr>
              <w:t>Mức đề xuất đối với Ngân hàng thương mại có quy mô lớn: 4%-7%. Ngưỡng 1 (4%), ngưỡng 2 (5%), Ngưỡng 3 (6%), Ngưỡng 4 (7%).</w:t>
            </w:r>
          </w:p>
          <w:p w14:paraId="6CAF7D88" w14:textId="5D56707F" w:rsidR="00755E60" w:rsidRPr="0059729F" w:rsidRDefault="00755E60" w:rsidP="00B268EC">
            <w:pPr>
              <w:widowControl w:val="0"/>
              <w:tabs>
                <w:tab w:val="left" w:pos="5670"/>
              </w:tabs>
              <w:spacing w:before="0" w:after="0"/>
              <w:rPr>
                <w:spacing w:val="-2"/>
                <w:szCs w:val="24"/>
              </w:rPr>
            </w:pPr>
            <w:r w:rsidRPr="0059729F">
              <w:rPr>
                <w:spacing w:val="-2"/>
                <w:szCs w:val="24"/>
              </w:rPr>
              <w:t xml:space="preserve">  Lý do: Cần có lộ trình </w:t>
            </w:r>
            <w:r w:rsidR="005B3C70" w:rsidRPr="00783EF9">
              <w:rPr>
                <w:rFonts w:cs="Times New Roman"/>
                <w:szCs w:val="24"/>
              </w:rPr>
              <w:t>nhằm tạo điều kiện để các TCTD có thời gian chuẩn bị, thích ứng và triển khai hiệu quả</w:t>
            </w:r>
            <w:r w:rsidRPr="0059729F">
              <w:rPr>
                <w:spacing w:val="-2"/>
                <w:szCs w:val="24"/>
              </w:rPr>
              <w:t>.</w:t>
            </w:r>
          </w:p>
          <w:p w14:paraId="236FAEF6" w14:textId="77777777" w:rsidR="00755E60" w:rsidRPr="0059729F" w:rsidRDefault="00755E60" w:rsidP="00B268EC">
            <w:pPr>
              <w:widowControl w:val="0"/>
              <w:tabs>
                <w:tab w:val="left" w:pos="5670"/>
              </w:tabs>
              <w:spacing w:before="0" w:after="0"/>
              <w:rPr>
                <w:i/>
                <w:spacing w:val="-2"/>
                <w:szCs w:val="24"/>
              </w:rPr>
            </w:pPr>
            <w:r w:rsidRPr="0059729F">
              <w:rPr>
                <w:i/>
                <w:spacing w:val="-2"/>
                <w:szCs w:val="24"/>
              </w:rPr>
              <w:t>- NHTMCP Bản Việt:</w:t>
            </w:r>
          </w:p>
          <w:p w14:paraId="0E97E438" w14:textId="77777777" w:rsidR="00755E60" w:rsidRPr="0059729F" w:rsidRDefault="00755E60" w:rsidP="00B268EC">
            <w:pPr>
              <w:widowControl w:val="0"/>
              <w:tabs>
                <w:tab w:val="left" w:pos="5670"/>
              </w:tabs>
              <w:spacing w:before="0" w:after="0"/>
              <w:rPr>
                <w:spacing w:val="-2"/>
                <w:szCs w:val="24"/>
              </w:rPr>
            </w:pPr>
            <w:r w:rsidRPr="0059729F">
              <w:rPr>
                <w:spacing w:val="-2"/>
                <w:szCs w:val="24"/>
              </w:rPr>
              <w:t xml:space="preserve">  Tài sản có khác của TCTD chủ yếu từ những khoản lãi, phí phải thu từ hoạt động cho vay. Với chính sách nới lỏng tăng trưởng tín dụng như hiện nay thì tài sản có khác của TCTD cũng tăng. Các NHTM có quy mô nhỏ và cần đẩy mạnh quy mô tín dụng theo định hướng sẽ luôn ở mức trung bình. Vì vậy cần điều chỉnh tăng ngưỡng đánh giá ở mức phù hợp. Đề xuất NHNN xem xét tăng tiêu chí chấm điềm ở ngưỡng như sau: Tỷ lệ tài sản có khác bình quân so với Tổng tài sản bình quân: Ngân hàng thương mại có quy mô nhỏ: ngưỡng 1, 2, 3, 4 tương ứng là 4%; 5%; 6%; 7%.</w:t>
            </w:r>
          </w:p>
        </w:tc>
        <w:tc>
          <w:tcPr>
            <w:tcW w:w="4252" w:type="dxa"/>
            <w:vAlign w:val="center"/>
          </w:tcPr>
          <w:p w14:paraId="741AEB71" w14:textId="77777777" w:rsidR="00755E60" w:rsidRPr="0059729F" w:rsidRDefault="00755E60" w:rsidP="00B268EC">
            <w:pPr>
              <w:widowControl w:val="0"/>
              <w:tabs>
                <w:tab w:val="left" w:pos="5670"/>
              </w:tabs>
              <w:spacing w:before="0" w:after="0"/>
              <w:ind w:left="-41"/>
              <w:rPr>
                <w:szCs w:val="24"/>
              </w:rPr>
            </w:pPr>
          </w:p>
        </w:tc>
      </w:tr>
      <w:tr w:rsidR="0002360B" w:rsidRPr="0002360B" w14:paraId="4DA397C9" w14:textId="77777777" w:rsidTr="00776E98">
        <w:trPr>
          <w:cantSplit/>
        </w:trPr>
        <w:tc>
          <w:tcPr>
            <w:tcW w:w="3828" w:type="dxa"/>
            <w:vMerge/>
          </w:tcPr>
          <w:p w14:paraId="435FAD61"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488B358F" w14:textId="77777777" w:rsidR="00755E60" w:rsidRPr="0059729F" w:rsidRDefault="00755E60" w:rsidP="00B268EC">
            <w:pPr>
              <w:widowControl w:val="0"/>
              <w:tabs>
                <w:tab w:val="left" w:pos="5670"/>
              </w:tabs>
              <w:spacing w:before="0" w:after="0"/>
              <w:ind w:right="34"/>
              <w:jc w:val="left"/>
              <w:rPr>
                <w:szCs w:val="24"/>
              </w:rPr>
            </w:pPr>
          </w:p>
        </w:tc>
        <w:tc>
          <w:tcPr>
            <w:tcW w:w="5358" w:type="dxa"/>
            <w:vAlign w:val="center"/>
          </w:tcPr>
          <w:p w14:paraId="1F928831" w14:textId="77777777" w:rsidR="00755E60" w:rsidRPr="0059729F" w:rsidRDefault="00755E60" w:rsidP="00B268EC">
            <w:pPr>
              <w:widowControl w:val="0"/>
              <w:tabs>
                <w:tab w:val="left" w:pos="5670"/>
              </w:tabs>
              <w:spacing w:before="0" w:after="0"/>
              <w:rPr>
                <w:i/>
                <w:spacing w:val="-2"/>
                <w:sz w:val="22"/>
                <w:szCs w:val="24"/>
              </w:rPr>
            </w:pPr>
            <w:r w:rsidRPr="0059729F">
              <w:rPr>
                <w:i/>
                <w:spacing w:val="-2"/>
                <w:szCs w:val="24"/>
              </w:rPr>
              <w:t xml:space="preserve">- </w:t>
            </w:r>
            <w:r w:rsidRPr="0059729F">
              <w:rPr>
                <w:i/>
                <w:spacing w:val="-2"/>
                <w:sz w:val="22"/>
                <w:szCs w:val="24"/>
              </w:rPr>
              <w:t>NHTMCP Lộc phát:</w:t>
            </w:r>
          </w:p>
          <w:p w14:paraId="537F8017" w14:textId="77777777" w:rsidR="00755E60" w:rsidRPr="0059729F" w:rsidRDefault="00755E60" w:rsidP="00B268EC">
            <w:pPr>
              <w:widowControl w:val="0"/>
              <w:tabs>
                <w:tab w:val="left" w:pos="5670"/>
              </w:tabs>
              <w:spacing w:before="0" w:after="0"/>
              <w:rPr>
                <w:spacing w:val="-2"/>
                <w:sz w:val="22"/>
                <w:szCs w:val="24"/>
              </w:rPr>
            </w:pPr>
            <w:r w:rsidRPr="0059729F">
              <w:rPr>
                <w:spacing w:val="-2"/>
                <w:sz w:val="22"/>
                <w:szCs w:val="24"/>
              </w:rPr>
              <w:t>Nghị quyết số 68-NQ/TW ghi nhận phát triển kinh tế tư nhân ở Việt Nam được xác định là một trong những động lực quan trọng để đạt được mục tiêu tăng trưởng kinh tế cao và bền vững, do đó việc khuyến khích các doanh nghiệp lớn mạnh, có năng lực đầu tư là rất quan trọng. Theo đó, việc giới hạn 100 khách hàng lớn nhất có thể sẽ hạn chế sự phát triển của những khách hàng có năng lực tốt, đồng thời có thể cũng hạn chế sự phát triển của các TCTD.</w:t>
            </w:r>
          </w:p>
          <w:p w14:paraId="5D61C659" w14:textId="77777777" w:rsidR="00755E60" w:rsidRPr="0059729F" w:rsidRDefault="00755E60" w:rsidP="00B268EC">
            <w:pPr>
              <w:widowControl w:val="0"/>
              <w:tabs>
                <w:tab w:val="left" w:pos="5670"/>
              </w:tabs>
              <w:spacing w:before="0" w:after="0"/>
              <w:rPr>
                <w:spacing w:val="-2"/>
                <w:sz w:val="22"/>
                <w:szCs w:val="24"/>
              </w:rPr>
            </w:pPr>
            <w:r w:rsidRPr="0059729F">
              <w:rPr>
                <w:spacing w:val="-2"/>
                <w:sz w:val="22"/>
                <w:szCs w:val="24"/>
              </w:rPr>
              <w:t xml:space="preserve">Mặt khác, việc quy định các ngưỡng rủi ro giữa nhóm Ngân hàng thương mại (NHTM) có quy mô lớn đang có sự chênh lệch rất lớn với nhóm NHTM có quy mô nhỏ hơn và nhóm Chi nhánh ngân hàng nước ngoài. Ví dụ: Để đạt mức điểm cao nhất đối với chỉ tiêu này thì Tỷ lệ dư nợ cấp tín dụng đối với 100 khách hàng lớn nhất đối với nhóm NHTM có quy mô lớn là dưới 20% trong khi đối với nhóm NHTM có quy mô nhỏ và Chi nhánh ngân hàng nước ngoài lên đến 40% → Sự chênh lệch quá lớn, trong khi bản chất chỉ tiêu này đã được tính theo tỷ trọng trên Tổng dư nợ cấp tín dụng nên cần để tỷ lệ ngưỡng rủi ro ngang bằng nhau hoặc có sự chênh lệch không quá lớn giữa các nhóm ngân hàng. </w:t>
            </w:r>
          </w:p>
          <w:p w14:paraId="0B0335ED" w14:textId="77777777" w:rsidR="00755E60" w:rsidRPr="0059729F" w:rsidRDefault="00755E60" w:rsidP="00B268EC">
            <w:pPr>
              <w:widowControl w:val="0"/>
              <w:tabs>
                <w:tab w:val="left" w:pos="5670"/>
              </w:tabs>
              <w:spacing w:before="0" w:after="0"/>
              <w:rPr>
                <w:spacing w:val="-2"/>
                <w:sz w:val="22"/>
                <w:szCs w:val="24"/>
              </w:rPr>
            </w:pPr>
            <w:r w:rsidRPr="0059729F">
              <w:rPr>
                <w:spacing w:val="-2"/>
                <w:sz w:val="22"/>
                <w:szCs w:val="24"/>
              </w:rPr>
              <w:t>Vì vậy, LPBank kính đề nghị Quý cơ quan cân nhắc tăng tỷ trọng rủi ro các ngưỡng tính điểm đối với nhóm “Ngân hàng thương mại có quy mô lớn” trong chỉ tiêu “2.3- Tỷ lệ dư nợ cấp tín dụng đối với 100 khách hàng lớn nhất”.</w:t>
            </w:r>
          </w:p>
          <w:p w14:paraId="153886AA" w14:textId="7D4BE699" w:rsidR="00755E60" w:rsidRPr="0059729F" w:rsidRDefault="00755E60" w:rsidP="00B268EC">
            <w:pPr>
              <w:widowControl w:val="0"/>
              <w:tabs>
                <w:tab w:val="left" w:pos="5670"/>
              </w:tabs>
              <w:spacing w:before="0" w:after="0"/>
              <w:rPr>
                <w:i/>
                <w:spacing w:val="-2"/>
                <w:sz w:val="22"/>
                <w:szCs w:val="24"/>
              </w:rPr>
            </w:pPr>
            <w:r w:rsidRPr="0059729F">
              <w:rPr>
                <w:i/>
                <w:spacing w:val="-2"/>
                <w:sz w:val="22"/>
                <w:szCs w:val="24"/>
              </w:rPr>
              <w:t>- CTTC NH Việt Nam thình vượng SBMC</w:t>
            </w:r>
            <w:r w:rsidR="005C7654">
              <w:rPr>
                <w:i/>
                <w:spacing w:val="-2"/>
                <w:sz w:val="22"/>
                <w:szCs w:val="24"/>
              </w:rPr>
              <w:t>, Hiệp hội NH</w:t>
            </w:r>
            <w:r w:rsidRPr="0059729F">
              <w:rPr>
                <w:i/>
                <w:spacing w:val="-2"/>
                <w:sz w:val="22"/>
                <w:szCs w:val="24"/>
              </w:rPr>
              <w:t>:</w:t>
            </w:r>
          </w:p>
          <w:p w14:paraId="3492D8C3" w14:textId="77777777" w:rsidR="00755E60" w:rsidRPr="0059729F" w:rsidRDefault="00755E60" w:rsidP="00B268EC">
            <w:pPr>
              <w:widowControl w:val="0"/>
              <w:tabs>
                <w:tab w:val="left" w:pos="5670"/>
              </w:tabs>
              <w:spacing w:before="0" w:after="0"/>
              <w:rPr>
                <w:spacing w:val="-2"/>
                <w:sz w:val="22"/>
                <w:szCs w:val="24"/>
              </w:rPr>
            </w:pPr>
            <w:r w:rsidRPr="0059729F">
              <w:rPr>
                <w:spacing w:val="-2"/>
                <w:sz w:val="22"/>
                <w:szCs w:val="24"/>
              </w:rPr>
              <w:t xml:space="preserve">  Đề xuất Ngân hàng Nhà nước cân nhắc xem xét, điều chỉnh khoản 2.1 và 2.4 Điều 14 như sau:</w:t>
            </w:r>
          </w:p>
          <w:p w14:paraId="009282BE" w14:textId="77777777" w:rsidR="00755E60" w:rsidRPr="0059729F" w:rsidRDefault="00755E60" w:rsidP="00B268EC">
            <w:pPr>
              <w:widowControl w:val="0"/>
              <w:tabs>
                <w:tab w:val="left" w:pos="5670"/>
              </w:tabs>
              <w:spacing w:before="0" w:after="0"/>
              <w:rPr>
                <w:spacing w:val="-2"/>
                <w:sz w:val="22"/>
                <w:szCs w:val="24"/>
              </w:rPr>
            </w:pPr>
            <w:r w:rsidRPr="0059729F">
              <w:rPr>
                <w:spacing w:val="-2"/>
                <w:sz w:val="22"/>
                <w:szCs w:val="24"/>
              </w:rPr>
              <w:t xml:space="preserve">  + Chỉ tiêu 2.1: ngưỡng 1,2,3,4 đối với nhóm công ty tài chính tương ứng là 6%; 10%; 14%; 16%.</w:t>
            </w:r>
          </w:p>
          <w:p w14:paraId="0FAE5498" w14:textId="77777777" w:rsidR="00755E60" w:rsidRPr="0059729F" w:rsidRDefault="00755E60" w:rsidP="00B268EC">
            <w:pPr>
              <w:widowControl w:val="0"/>
              <w:tabs>
                <w:tab w:val="left" w:pos="5670"/>
              </w:tabs>
              <w:spacing w:before="0" w:after="0"/>
              <w:rPr>
                <w:spacing w:val="-2"/>
                <w:sz w:val="22"/>
                <w:szCs w:val="24"/>
              </w:rPr>
            </w:pPr>
            <w:r w:rsidRPr="0059729F">
              <w:rPr>
                <w:spacing w:val="-2"/>
                <w:sz w:val="22"/>
                <w:szCs w:val="24"/>
              </w:rPr>
              <w:t xml:space="preserve">  + Chỉ tiêu 2.4: ngưỡng 1,2,3,4 đối với nhóm công ty tài chính tương ứng là 4%; 8%; 12%; 14%.</w:t>
            </w:r>
          </w:p>
          <w:p w14:paraId="2DF00D15" w14:textId="77777777" w:rsidR="00755E60" w:rsidRPr="0059729F" w:rsidRDefault="00755E60" w:rsidP="00B268EC">
            <w:pPr>
              <w:widowControl w:val="0"/>
              <w:tabs>
                <w:tab w:val="left" w:pos="5670"/>
              </w:tabs>
              <w:spacing w:before="0" w:after="0"/>
              <w:rPr>
                <w:i/>
                <w:spacing w:val="-2"/>
                <w:szCs w:val="24"/>
              </w:rPr>
            </w:pPr>
            <w:r w:rsidRPr="0059729F">
              <w:rPr>
                <w:spacing w:val="-2"/>
                <w:sz w:val="22"/>
                <w:szCs w:val="24"/>
              </w:rPr>
              <w:t xml:space="preserve">  + Chỉ tiêu 5.1: ngưỡng 1,2,3,4 đối với nhóm công ty tài chính tương ứng là 8%; 6%; 4%; 2%.</w:t>
            </w:r>
          </w:p>
        </w:tc>
        <w:tc>
          <w:tcPr>
            <w:tcW w:w="4252" w:type="dxa"/>
            <w:vAlign w:val="center"/>
          </w:tcPr>
          <w:p w14:paraId="6D32B701" w14:textId="77777777" w:rsidR="00755E60" w:rsidRPr="0059729F" w:rsidRDefault="00755E60" w:rsidP="00B268EC">
            <w:pPr>
              <w:widowControl w:val="0"/>
              <w:tabs>
                <w:tab w:val="left" w:pos="5670"/>
              </w:tabs>
              <w:spacing w:before="0" w:after="0"/>
              <w:ind w:left="-41"/>
              <w:rPr>
                <w:szCs w:val="24"/>
              </w:rPr>
            </w:pPr>
          </w:p>
        </w:tc>
      </w:tr>
      <w:tr w:rsidR="0002360B" w:rsidRPr="0002360B" w14:paraId="7325DCC1" w14:textId="77777777" w:rsidTr="00776E98">
        <w:trPr>
          <w:cantSplit/>
        </w:trPr>
        <w:tc>
          <w:tcPr>
            <w:tcW w:w="3828" w:type="dxa"/>
            <w:vMerge/>
          </w:tcPr>
          <w:p w14:paraId="1802EA57"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42E4C9CC" w14:textId="77777777" w:rsidR="00755E60" w:rsidRPr="0059729F" w:rsidRDefault="00755E60" w:rsidP="00B268EC">
            <w:pPr>
              <w:widowControl w:val="0"/>
              <w:tabs>
                <w:tab w:val="left" w:pos="5670"/>
              </w:tabs>
              <w:spacing w:before="0" w:after="0"/>
              <w:ind w:right="34"/>
              <w:jc w:val="left"/>
              <w:rPr>
                <w:szCs w:val="24"/>
              </w:rPr>
            </w:pPr>
          </w:p>
        </w:tc>
        <w:tc>
          <w:tcPr>
            <w:tcW w:w="5358" w:type="dxa"/>
            <w:vAlign w:val="center"/>
          </w:tcPr>
          <w:p w14:paraId="5E1E67CE" w14:textId="77777777" w:rsidR="00755E60" w:rsidRPr="0059729F" w:rsidRDefault="00755E60" w:rsidP="00B268EC">
            <w:pPr>
              <w:widowControl w:val="0"/>
              <w:tabs>
                <w:tab w:val="left" w:pos="5670"/>
              </w:tabs>
              <w:spacing w:before="0" w:after="0"/>
              <w:rPr>
                <w:spacing w:val="-2"/>
                <w:szCs w:val="24"/>
              </w:rPr>
            </w:pPr>
            <w:r w:rsidRPr="0059729F">
              <w:rPr>
                <w:spacing w:val="-2"/>
                <w:szCs w:val="24"/>
              </w:rPr>
              <w:t xml:space="preserve">   Lý do: Về nhóm chỉ tiêu thanh khoản, công ty tài chính được đánh giá với các ngưỡng chỉ tiêu tại khoản 5.1 gần như không khác với các ngân hàng thương mại quy mô lớn (Chỉ khác ở ngưỡng 3) trong khi bản chất hoạt động của công ty tài chính không được cung cấp dịch vụ tài khoản tiền gửi thanh toán nên nhu cầu vốn thanh khoản đáp ứng nhu cầu thanh toán tức thời cho khách hàng hầu như không có. Bên cạnh đó, các Công ty Tài chính không có nguồn vốn giá rẻ từ cá nhân, nếu duy trì tỷ lệ này trên 15% (để được điểm xếp hạng tín dụng cao) là không hiệu quả với quy mô Công ty tài chính và khá lãng phí.</w:t>
            </w:r>
          </w:p>
          <w:p w14:paraId="4F813BBA" w14:textId="77777777" w:rsidR="00755E60" w:rsidRPr="0059729F" w:rsidRDefault="00755E60" w:rsidP="00B268EC">
            <w:pPr>
              <w:widowControl w:val="0"/>
              <w:tabs>
                <w:tab w:val="left" w:pos="5670"/>
              </w:tabs>
              <w:spacing w:before="0" w:after="0"/>
              <w:rPr>
                <w:spacing w:val="-2"/>
                <w:szCs w:val="24"/>
              </w:rPr>
            </w:pPr>
            <w:r w:rsidRPr="0059729F">
              <w:rPr>
                <w:spacing w:val="-2"/>
                <w:szCs w:val="24"/>
              </w:rPr>
              <w:t xml:space="preserve">   Đề xuất Ngân hàng Nhà nước cân nhắc xem xét, điều chỉnh thêm về ngưỡng áp dụng và cách tính tỷ lệ tài sản có tính thanh khoản cao tại khoản 5.1 Điều 14 để phù hợp hơn với bản chất hoạt động của công ty tài chính.</w:t>
            </w:r>
          </w:p>
          <w:p w14:paraId="2BDD2C02" w14:textId="77777777" w:rsidR="00755E60" w:rsidRPr="0059729F" w:rsidRDefault="00755E60" w:rsidP="00B268EC">
            <w:pPr>
              <w:widowControl w:val="0"/>
              <w:tabs>
                <w:tab w:val="left" w:pos="5670"/>
              </w:tabs>
              <w:spacing w:before="0" w:after="0"/>
              <w:rPr>
                <w:i/>
                <w:spacing w:val="-2"/>
                <w:szCs w:val="24"/>
              </w:rPr>
            </w:pPr>
            <w:r w:rsidRPr="0059729F">
              <w:rPr>
                <w:i/>
                <w:spacing w:val="-2"/>
                <w:szCs w:val="24"/>
              </w:rPr>
              <w:t>- HSBC Việt Nam:</w:t>
            </w:r>
          </w:p>
          <w:p w14:paraId="5EEE0F9B" w14:textId="77777777" w:rsidR="00755E60" w:rsidRPr="0059729F" w:rsidRDefault="00755E60" w:rsidP="00B268EC">
            <w:pPr>
              <w:widowControl w:val="0"/>
              <w:tabs>
                <w:tab w:val="left" w:pos="5670"/>
              </w:tabs>
              <w:spacing w:before="0" w:after="0"/>
              <w:rPr>
                <w:spacing w:val="-2"/>
                <w:szCs w:val="24"/>
              </w:rPr>
            </w:pPr>
            <w:r w:rsidRPr="0059729F">
              <w:rPr>
                <w:spacing w:val="-2"/>
                <w:szCs w:val="24"/>
              </w:rPr>
              <w:t xml:space="preserve">  Thông thường các tỷ lệ quản lý đối với nhóm ngân hàng thương mại có quy mô nhỏ được nới lỏng hơn so với ngân hàng thương mại có quy mô lớn vì tầm ảnh hưởng nhỏ hơn trong tổng quan ngành. Đối với các chỉ tiêu định lượng có giá trị càng lớn và mức độ rủi ro càng cao, tỷ lệ quy định sẽ cao hơn cho các ngân hàng thương mại có quy mô nhỏ. </w:t>
            </w:r>
          </w:p>
          <w:p w14:paraId="6DD9A711" w14:textId="77777777" w:rsidR="00755E60" w:rsidRPr="0059729F" w:rsidRDefault="00755E60" w:rsidP="00B268EC">
            <w:pPr>
              <w:widowControl w:val="0"/>
              <w:tabs>
                <w:tab w:val="left" w:pos="5670"/>
              </w:tabs>
              <w:spacing w:before="0" w:after="0"/>
              <w:rPr>
                <w:spacing w:val="-2"/>
                <w:szCs w:val="24"/>
              </w:rPr>
            </w:pPr>
            <w:r w:rsidRPr="0059729F">
              <w:rPr>
                <w:spacing w:val="-2"/>
                <w:szCs w:val="24"/>
              </w:rPr>
              <w:t xml:space="preserve">  Do đó, kính đề nghị xem xét tăng Tỷ lệ dư nợ cho vay so với tổng tiền gửi ở tiêu chí 5.3 đối với nhóm ngân hàng thương mại có quy mô nhỏ ít nhất bằng với nhóm ngân hàng thương mại có quy mô lớn như sau:</w:t>
            </w:r>
          </w:p>
          <w:p w14:paraId="51EB1762" w14:textId="77777777" w:rsidR="00755E60" w:rsidRPr="0059729F" w:rsidRDefault="00755E60" w:rsidP="00B268EC">
            <w:pPr>
              <w:widowControl w:val="0"/>
              <w:tabs>
                <w:tab w:val="left" w:pos="5670"/>
              </w:tabs>
              <w:spacing w:before="0" w:after="0"/>
              <w:rPr>
                <w:spacing w:val="-2"/>
                <w:szCs w:val="24"/>
              </w:rPr>
            </w:pPr>
            <w:r w:rsidRPr="0059729F">
              <w:rPr>
                <w:spacing w:val="-2"/>
                <w:szCs w:val="24"/>
              </w:rPr>
              <w:t>5.3. Tỷ lệ dư nợ cho vay so với tổng tiền gửi: ngưỡng 1,2,3,4 áp dụng đối với nhóm NHTM có quy mô nhỏ tương ứng là 70%; 80%; 90%; 95%.</w:t>
            </w:r>
          </w:p>
          <w:p w14:paraId="42ECED22" w14:textId="75DC7024" w:rsidR="00755E60" w:rsidRPr="0059729F" w:rsidRDefault="00755E60" w:rsidP="00B268EC">
            <w:pPr>
              <w:widowControl w:val="0"/>
              <w:tabs>
                <w:tab w:val="left" w:pos="5670"/>
              </w:tabs>
              <w:spacing w:before="0" w:after="0"/>
              <w:rPr>
                <w:i/>
                <w:spacing w:val="-2"/>
                <w:szCs w:val="24"/>
              </w:rPr>
            </w:pPr>
            <w:r w:rsidRPr="0059729F">
              <w:rPr>
                <w:i/>
                <w:spacing w:val="-2"/>
                <w:szCs w:val="24"/>
              </w:rPr>
              <w:t>- CTTC Lotte</w:t>
            </w:r>
            <w:r w:rsidR="005C7654">
              <w:rPr>
                <w:i/>
                <w:spacing w:val="-2"/>
                <w:szCs w:val="24"/>
              </w:rPr>
              <w:t>, Hiệp hội ngân hàng Việt Nam</w:t>
            </w:r>
            <w:r w:rsidRPr="0059729F">
              <w:rPr>
                <w:i/>
                <w:spacing w:val="-2"/>
                <w:szCs w:val="24"/>
              </w:rPr>
              <w:t>:</w:t>
            </w:r>
          </w:p>
          <w:p w14:paraId="165205B9" w14:textId="77777777" w:rsidR="00755E60" w:rsidRPr="0059729F" w:rsidRDefault="00755E60" w:rsidP="00B268EC">
            <w:pPr>
              <w:widowControl w:val="0"/>
              <w:tabs>
                <w:tab w:val="left" w:pos="5670"/>
              </w:tabs>
              <w:spacing w:before="0" w:after="0"/>
              <w:rPr>
                <w:spacing w:val="-2"/>
                <w:szCs w:val="24"/>
              </w:rPr>
            </w:pPr>
            <w:r w:rsidRPr="0059729F">
              <w:rPr>
                <w:spacing w:val="-2"/>
                <w:szCs w:val="24"/>
              </w:rPr>
              <w:t xml:space="preserve">   + Đề xuất Ngân hàng Nhà nước cân nhắc xem xét, điều chỉnh khoản 2.1 và 2.4 Điều 14. Lý do:</w:t>
            </w:r>
          </w:p>
          <w:p w14:paraId="63B251E9" w14:textId="77777777" w:rsidR="00755E60" w:rsidRPr="0059729F" w:rsidRDefault="00755E60" w:rsidP="00B268EC">
            <w:pPr>
              <w:widowControl w:val="0"/>
              <w:tabs>
                <w:tab w:val="left" w:pos="5670"/>
              </w:tabs>
              <w:spacing w:before="0" w:after="0"/>
              <w:rPr>
                <w:spacing w:val="-2"/>
                <w:szCs w:val="24"/>
              </w:rPr>
            </w:pPr>
          </w:p>
        </w:tc>
        <w:tc>
          <w:tcPr>
            <w:tcW w:w="4252" w:type="dxa"/>
            <w:vAlign w:val="center"/>
          </w:tcPr>
          <w:p w14:paraId="4AFD5154" w14:textId="77777777" w:rsidR="00755E60" w:rsidRPr="0059729F" w:rsidRDefault="00755E60" w:rsidP="00B268EC">
            <w:pPr>
              <w:widowControl w:val="0"/>
              <w:tabs>
                <w:tab w:val="left" w:pos="5670"/>
              </w:tabs>
              <w:spacing w:before="0" w:after="0"/>
              <w:ind w:left="-41"/>
              <w:rPr>
                <w:szCs w:val="24"/>
              </w:rPr>
            </w:pPr>
          </w:p>
        </w:tc>
      </w:tr>
      <w:tr w:rsidR="0002360B" w:rsidRPr="0002360B" w14:paraId="7A7259A6" w14:textId="77777777" w:rsidTr="00776E98">
        <w:trPr>
          <w:cantSplit/>
        </w:trPr>
        <w:tc>
          <w:tcPr>
            <w:tcW w:w="3828" w:type="dxa"/>
            <w:vMerge/>
          </w:tcPr>
          <w:p w14:paraId="0E92BEC5" w14:textId="77777777" w:rsidR="00755E60" w:rsidRPr="0002360B" w:rsidRDefault="00755E60" w:rsidP="00B268EC">
            <w:pPr>
              <w:widowControl w:val="0"/>
              <w:tabs>
                <w:tab w:val="left" w:pos="5670"/>
              </w:tabs>
              <w:spacing w:before="0" w:after="0"/>
              <w:rPr>
                <w:b/>
                <w:spacing w:val="-4"/>
                <w:szCs w:val="24"/>
                <w:lang w:val="pt-BR"/>
              </w:rPr>
            </w:pPr>
          </w:p>
        </w:tc>
        <w:tc>
          <w:tcPr>
            <w:tcW w:w="1730" w:type="dxa"/>
            <w:vMerge w:val="restart"/>
            <w:vAlign w:val="center"/>
          </w:tcPr>
          <w:p w14:paraId="2EAD3959" w14:textId="77777777" w:rsidR="00755E60" w:rsidRPr="0059729F" w:rsidRDefault="00755E60" w:rsidP="00B268EC">
            <w:pPr>
              <w:widowControl w:val="0"/>
              <w:tabs>
                <w:tab w:val="left" w:pos="5670"/>
              </w:tabs>
              <w:spacing w:before="0" w:after="0"/>
              <w:ind w:right="34"/>
              <w:jc w:val="left"/>
              <w:rPr>
                <w:szCs w:val="24"/>
              </w:rPr>
            </w:pPr>
          </w:p>
        </w:tc>
        <w:tc>
          <w:tcPr>
            <w:tcW w:w="5358" w:type="dxa"/>
            <w:vAlign w:val="center"/>
          </w:tcPr>
          <w:p w14:paraId="467DE47F" w14:textId="77777777" w:rsidR="00755E60" w:rsidRPr="00783EF9" w:rsidRDefault="00755E60" w:rsidP="00B268EC">
            <w:pPr>
              <w:widowControl w:val="0"/>
              <w:tabs>
                <w:tab w:val="left" w:pos="5670"/>
              </w:tabs>
              <w:spacing w:before="0" w:after="0"/>
              <w:rPr>
                <w:spacing w:val="-2"/>
                <w:sz w:val="22"/>
              </w:rPr>
            </w:pPr>
            <w:r w:rsidRPr="0059729F">
              <w:rPr>
                <w:spacing w:val="-2"/>
                <w:szCs w:val="24"/>
              </w:rPr>
              <w:t xml:space="preserve">  </w:t>
            </w:r>
            <w:r w:rsidRPr="00783EF9">
              <w:rPr>
                <w:spacing w:val="-2"/>
                <w:sz w:val="22"/>
              </w:rPr>
              <w:t>Tỷ lệ nợ xấu hiện tại chưa cho thấy đủ sự khác biệt trong bản chất hoạt động và đối tượng khách hàng giữa nhóm các công ty tài chính so với nhóm các ngân hàng thương mại, đặc biệt là nhóm công ty tài chính tiêu dùng. Đối tượng cho vay của công ty tài chính tiêu dùng là các khách hàng dưới chuẩn của các ngân hàng thương mại và hầu như không có tài sản đảm bảo.</w:t>
            </w:r>
          </w:p>
          <w:p w14:paraId="66B3BBD1" w14:textId="77777777" w:rsidR="00755E60" w:rsidRPr="00783EF9" w:rsidRDefault="00755E60" w:rsidP="00B268EC">
            <w:pPr>
              <w:widowControl w:val="0"/>
              <w:tabs>
                <w:tab w:val="left" w:pos="5670"/>
              </w:tabs>
              <w:spacing w:before="0" w:after="0"/>
              <w:rPr>
                <w:spacing w:val="-2"/>
                <w:sz w:val="22"/>
              </w:rPr>
            </w:pPr>
            <w:r w:rsidRPr="00783EF9">
              <w:rPr>
                <w:spacing w:val="-2"/>
                <w:sz w:val="22"/>
              </w:rPr>
              <w:t xml:space="preserve">Cụ thể, ngưỡng 2 đến 4 của chỉ tiêu này áp dụng cho các công ty tài chính chỉ cao hơn 1% so với ngưỡng tương ứng áp dụng cho các ngân hàng thương mại. Trong khi đó, tỷ lệ nợ xấu bình quân của các công ty tài chính tiêu dùng ở Việt Nam và ngay cả trên thế giới thì đều cao hơn nhiều so với các ngân hàng thương mại, bình quân là cao gấp đôi. </w:t>
            </w:r>
          </w:p>
          <w:p w14:paraId="18393F68" w14:textId="77777777" w:rsidR="00755E60" w:rsidRPr="00783EF9" w:rsidRDefault="00755E60" w:rsidP="00B268EC">
            <w:pPr>
              <w:widowControl w:val="0"/>
              <w:tabs>
                <w:tab w:val="left" w:pos="5670"/>
              </w:tabs>
              <w:spacing w:before="0" w:after="0"/>
              <w:rPr>
                <w:spacing w:val="-2"/>
                <w:sz w:val="22"/>
              </w:rPr>
            </w:pPr>
            <w:r w:rsidRPr="00783EF9">
              <w:rPr>
                <w:spacing w:val="-2"/>
                <w:sz w:val="22"/>
              </w:rPr>
              <w:t xml:space="preserve">   Do vậy, đề nghị NHNN xem xét điều chỉnh thêm ngưỡng áp dụng cho các chỉ tiêu này, trên cơ sở tham khảo thống kê khác biệt tỷ lệ nợ xấu giữa 2 nhóm ngân hàng và công ty tài chính tại các thị trường nước ngoài và thị trường Việt Nam.</w:t>
            </w:r>
          </w:p>
          <w:p w14:paraId="674243A2" w14:textId="77777777" w:rsidR="00755E60" w:rsidRPr="00783EF9" w:rsidRDefault="00755E60" w:rsidP="00B268EC">
            <w:pPr>
              <w:widowControl w:val="0"/>
              <w:tabs>
                <w:tab w:val="left" w:pos="5670"/>
              </w:tabs>
              <w:spacing w:before="0" w:after="0"/>
              <w:rPr>
                <w:spacing w:val="-2"/>
                <w:sz w:val="22"/>
              </w:rPr>
            </w:pPr>
            <w:r w:rsidRPr="00783EF9">
              <w:rPr>
                <w:spacing w:val="-2"/>
                <w:sz w:val="22"/>
              </w:rPr>
              <w:t>+ Về nhóm chỉ tiêu thanh khoản, công ty tài chính được đánh giá với các ngưỡng chỉ tiêu tại khoản 5.1 gần như không khác với các ngân hàng thương mại quy mô lớn (Chỉ khác ở ngưỡng 3) trong khi bản chất hoạt động của công ty tài chính không được cung cấp dịch vụ tài khoản tiền gửi thanh toán nên nhu cầu vốn thanh khoản đáp ứng nhu cầu thanh toán tức thời cho khách hàng hầu như không có.</w:t>
            </w:r>
          </w:p>
          <w:p w14:paraId="7429894C" w14:textId="77777777" w:rsidR="00755E60" w:rsidRPr="00783EF9" w:rsidRDefault="00755E60" w:rsidP="00B268EC">
            <w:pPr>
              <w:widowControl w:val="0"/>
              <w:tabs>
                <w:tab w:val="left" w:pos="5670"/>
              </w:tabs>
              <w:spacing w:before="0" w:after="0"/>
              <w:rPr>
                <w:spacing w:val="-2"/>
                <w:sz w:val="22"/>
              </w:rPr>
            </w:pPr>
            <w:r w:rsidRPr="00783EF9">
              <w:rPr>
                <w:spacing w:val="-2"/>
                <w:sz w:val="22"/>
              </w:rPr>
              <w:t xml:space="preserve">   Bên cạnh đó, các Công ty Tài chính không có nguồn vốn giá rẻ từ cá nhân, nếu duy trì tỷ lệ này trên 15% (để được điểm xếp hạng tín dụng cao) là không hiệu quả với quy mô Công ty tài chính và khá lãng phí.</w:t>
            </w:r>
          </w:p>
          <w:p w14:paraId="78851494" w14:textId="77777777" w:rsidR="00755E60" w:rsidRPr="0059729F" w:rsidRDefault="00755E60" w:rsidP="00B268EC">
            <w:pPr>
              <w:widowControl w:val="0"/>
              <w:tabs>
                <w:tab w:val="left" w:pos="5670"/>
              </w:tabs>
              <w:spacing w:before="0" w:after="0"/>
              <w:rPr>
                <w:spacing w:val="-2"/>
                <w:szCs w:val="24"/>
              </w:rPr>
            </w:pPr>
            <w:r w:rsidRPr="00783EF9">
              <w:rPr>
                <w:spacing w:val="-2"/>
                <w:sz w:val="22"/>
              </w:rPr>
              <w:t xml:space="preserve">   Đề xuất Ngân hàng Nhà nước cân nhắc xem xét, điều chỉnh thêm về ngưỡng áp dụng và cách tính tỷ lệ tài sản có tính thanh khoản cao tại khoản 5.1 Điều 14</w:t>
            </w:r>
            <w:r w:rsidRPr="0059729F">
              <w:rPr>
                <w:spacing w:val="-2"/>
                <w:szCs w:val="24"/>
              </w:rPr>
              <w:t xml:space="preserve"> </w:t>
            </w:r>
            <w:r w:rsidRPr="00783EF9">
              <w:rPr>
                <w:spacing w:val="-2"/>
                <w:sz w:val="22"/>
              </w:rPr>
              <w:t>để phù hợp hơn với bản chất hoạt động của công ty tài chính.</w:t>
            </w:r>
          </w:p>
        </w:tc>
        <w:tc>
          <w:tcPr>
            <w:tcW w:w="4252" w:type="dxa"/>
            <w:vAlign w:val="center"/>
          </w:tcPr>
          <w:p w14:paraId="2473683B" w14:textId="77777777" w:rsidR="00755E60" w:rsidRPr="0059729F" w:rsidRDefault="00755E60" w:rsidP="00B268EC">
            <w:pPr>
              <w:widowControl w:val="0"/>
              <w:tabs>
                <w:tab w:val="left" w:pos="5670"/>
              </w:tabs>
              <w:spacing w:before="0" w:after="0"/>
              <w:ind w:left="-41"/>
              <w:rPr>
                <w:szCs w:val="24"/>
              </w:rPr>
            </w:pPr>
          </w:p>
        </w:tc>
      </w:tr>
      <w:tr w:rsidR="0002360B" w:rsidRPr="0002360B" w14:paraId="4430167D" w14:textId="77777777" w:rsidTr="00776E98">
        <w:trPr>
          <w:cantSplit/>
        </w:trPr>
        <w:tc>
          <w:tcPr>
            <w:tcW w:w="3828" w:type="dxa"/>
            <w:vMerge/>
          </w:tcPr>
          <w:p w14:paraId="0FE63AAE" w14:textId="77777777" w:rsidR="00755E60" w:rsidRPr="0002360B" w:rsidRDefault="00755E60" w:rsidP="00B268EC">
            <w:pPr>
              <w:widowControl w:val="0"/>
              <w:tabs>
                <w:tab w:val="left" w:pos="5670"/>
              </w:tabs>
              <w:spacing w:before="0" w:after="0"/>
              <w:rPr>
                <w:b/>
                <w:spacing w:val="-4"/>
                <w:szCs w:val="24"/>
                <w:lang w:val="pt-BR"/>
              </w:rPr>
            </w:pPr>
          </w:p>
        </w:tc>
        <w:tc>
          <w:tcPr>
            <w:tcW w:w="1730" w:type="dxa"/>
            <w:vMerge/>
            <w:vAlign w:val="center"/>
          </w:tcPr>
          <w:p w14:paraId="0E65E4FA" w14:textId="77777777" w:rsidR="00755E60" w:rsidRPr="0059729F" w:rsidRDefault="00755E60" w:rsidP="00B268EC">
            <w:pPr>
              <w:widowControl w:val="0"/>
              <w:tabs>
                <w:tab w:val="left" w:pos="5670"/>
              </w:tabs>
              <w:spacing w:before="0" w:after="0"/>
              <w:ind w:right="34"/>
              <w:jc w:val="left"/>
              <w:rPr>
                <w:szCs w:val="24"/>
              </w:rPr>
            </w:pPr>
          </w:p>
        </w:tc>
        <w:tc>
          <w:tcPr>
            <w:tcW w:w="5358" w:type="dxa"/>
            <w:vAlign w:val="center"/>
          </w:tcPr>
          <w:p w14:paraId="760E1466" w14:textId="77777777" w:rsidR="00755E60" w:rsidRPr="0059729F" w:rsidRDefault="00755E60" w:rsidP="00B268EC">
            <w:pPr>
              <w:widowControl w:val="0"/>
              <w:tabs>
                <w:tab w:val="left" w:pos="5670"/>
              </w:tabs>
              <w:spacing w:before="0" w:after="0"/>
              <w:rPr>
                <w:i/>
                <w:spacing w:val="-2"/>
                <w:szCs w:val="24"/>
              </w:rPr>
            </w:pPr>
            <w:r w:rsidRPr="0059729F">
              <w:rPr>
                <w:i/>
                <w:spacing w:val="-2"/>
                <w:szCs w:val="24"/>
              </w:rPr>
              <w:t>- CTTC Mirae Asset:</w:t>
            </w:r>
          </w:p>
          <w:p w14:paraId="15317522" w14:textId="77777777" w:rsidR="00755E60" w:rsidRPr="0059729F" w:rsidRDefault="00755E60" w:rsidP="00B268EC">
            <w:pPr>
              <w:widowControl w:val="0"/>
              <w:tabs>
                <w:tab w:val="left" w:pos="5670"/>
              </w:tabs>
              <w:spacing w:before="0" w:after="0"/>
              <w:rPr>
                <w:spacing w:val="-2"/>
                <w:szCs w:val="24"/>
              </w:rPr>
            </w:pPr>
            <w:r w:rsidRPr="0059729F">
              <w:rPr>
                <w:spacing w:val="-2"/>
                <w:szCs w:val="24"/>
              </w:rPr>
              <w:t xml:space="preserve">  Tỷ lệ nợ xấu theo thang điểm của NHN là một thách thức đáng kể với các CTTC do đặc thù hoạt động chủ yếu tập trung vào khách hàng cá nhân và không có tài sản đảm bảo (khác biệt so với Ngân hàng). Bên cạnh đó, ảnh hưởng tồn đọng bởi dịch bệnh Covid-19 giai đoạn 2020-2022, căng thẳng thương mại toàn cầu và việc áp dụng mức thuế suất mới của Mỹ trong năm 2025 dẫn đến những tác động tiêu cực đến nền kinh tế như lạm phát, tỷ lệ thất nghiệp tăng, thu nhập người lao động giảm trong khi chi phí sinh hoạt tăng khiến áp lực tài chính của người vay lớn hơn, ảnh hưởng đáng kể đến khả năng trả nợ.</w:t>
            </w:r>
          </w:p>
          <w:p w14:paraId="2567585E" w14:textId="77777777" w:rsidR="00755E60" w:rsidRPr="0059729F" w:rsidRDefault="00755E60" w:rsidP="00B268EC">
            <w:pPr>
              <w:widowControl w:val="0"/>
              <w:tabs>
                <w:tab w:val="left" w:pos="5670"/>
              </w:tabs>
              <w:spacing w:before="0" w:after="0"/>
              <w:rPr>
                <w:spacing w:val="-2"/>
                <w:szCs w:val="24"/>
              </w:rPr>
            </w:pPr>
            <w:r w:rsidRPr="0059729F">
              <w:rPr>
                <w:spacing w:val="-2"/>
                <w:szCs w:val="24"/>
              </w:rPr>
              <w:t xml:space="preserve">  Vì vây, Công ty đề xuất NHNN xem xét bổ sung việc điều chỉnh ngưỡng của chỉ tiêu 2.1 như sau: Ngưỡng 1, 2, 3, 4 đề xuất mới tương ứng là 3%; 6%; 9%; 12%. Điều chỉnh ngưỡng của chỉ tiêu 2.2 như sau: Ngưỡng 1, 2, 3, 4 đề xuất mới tương ứng là 5%; 8%; 11%; 14%.</w:t>
            </w:r>
          </w:p>
        </w:tc>
        <w:tc>
          <w:tcPr>
            <w:tcW w:w="4252" w:type="dxa"/>
            <w:vAlign w:val="center"/>
          </w:tcPr>
          <w:p w14:paraId="08B5DEC6" w14:textId="77777777" w:rsidR="00755E60" w:rsidRPr="0059729F" w:rsidRDefault="00755E60" w:rsidP="00B268EC">
            <w:pPr>
              <w:widowControl w:val="0"/>
              <w:tabs>
                <w:tab w:val="left" w:pos="5670"/>
              </w:tabs>
              <w:spacing w:before="0" w:after="0"/>
              <w:ind w:left="-41"/>
              <w:rPr>
                <w:szCs w:val="24"/>
              </w:rPr>
            </w:pPr>
          </w:p>
        </w:tc>
      </w:tr>
      <w:tr w:rsidR="0002360B" w:rsidRPr="0002360B" w14:paraId="67C8234B" w14:textId="77777777" w:rsidTr="00776E98">
        <w:trPr>
          <w:cantSplit/>
        </w:trPr>
        <w:tc>
          <w:tcPr>
            <w:tcW w:w="3828" w:type="dxa"/>
            <w:vMerge/>
          </w:tcPr>
          <w:p w14:paraId="03DB9AF9"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1AD4E29B" w14:textId="77777777" w:rsidR="00755E60" w:rsidRPr="0059729F" w:rsidRDefault="00755E60" w:rsidP="00B268EC">
            <w:pPr>
              <w:widowControl w:val="0"/>
              <w:tabs>
                <w:tab w:val="left" w:pos="5670"/>
              </w:tabs>
              <w:spacing w:before="0" w:after="0"/>
              <w:ind w:right="34" w:hanging="1"/>
              <w:jc w:val="left"/>
              <w:rPr>
                <w:szCs w:val="24"/>
              </w:rPr>
            </w:pPr>
            <w:r w:rsidRPr="0059729F">
              <w:rPr>
                <w:szCs w:val="24"/>
              </w:rPr>
              <w:t>Liên quan đến chỉ tiêu 2.3: NHTMCP Đông Nam Á, NHTMCP Sài Gòn – Hà Nội, Citibank HCM</w:t>
            </w:r>
          </w:p>
        </w:tc>
        <w:tc>
          <w:tcPr>
            <w:tcW w:w="5358" w:type="dxa"/>
            <w:vAlign w:val="center"/>
          </w:tcPr>
          <w:p w14:paraId="740604DC" w14:textId="77777777" w:rsidR="00755E60" w:rsidRPr="0059729F" w:rsidRDefault="00755E60" w:rsidP="00B268EC">
            <w:pPr>
              <w:widowControl w:val="0"/>
              <w:tabs>
                <w:tab w:val="left" w:pos="5670"/>
              </w:tabs>
              <w:spacing w:before="0" w:after="0"/>
              <w:rPr>
                <w:szCs w:val="24"/>
              </w:rPr>
            </w:pPr>
            <w:r w:rsidRPr="0059729F">
              <w:rPr>
                <w:szCs w:val="24"/>
              </w:rPr>
              <w:t>Đề xuất không sửa đổi điểm này, xem xét giữ nguyên tiêu chí cũ là “Tỷ lệ dư nợ tín dụng của các khách hàng có dư nợ tín dụng lớn (dư nợ tín dụng &gt; 5% vốn tự có) so với dư nợ tín dụng đối với tổ chức kinh tế, cá nhân” hoặc áp dụng tương đồng với chỉ tiêu đánh giá tập trung tiền gửi – tính trên 10 khách hàng có quy mô tiền gửi lớn nhất.</w:t>
            </w:r>
          </w:p>
        </w:tc>
        <w:tc>
          <w:tcPr>
            <w:tcW w:w="4252" w:type="dxa"/>
            <w:vAlign w:val="center"/>
          </w:tcPr>
          <w:p w14:paraId="25F560BD" w14:textId="77777777" w:rsidR="00755E60" w:rsidRPr="0059729F" w:rsidRDefault="00755E60" w:rsidP="00B268EC">
            <w:pPr>
              <w:widowControl w:val="0"/>
              <w:tabs>
                <w:tab w:val="left" w:pos="5670"/>
              </w:tabs>
              <w:spacing w:before="0" w:after="0"/>
              <w:ind w:left="-41"/>
              <w:rPr>
                <w:b/>
                <w:bCs/>
                <w:szCs w:val="24"/>
              </w:rPr>
            </w:pPr>
            <w:r w:rsidRPr="0059729F">
              <w:rPr>
                <w:b/>
                <w:bCs/>
                <w:szCs w:val="24"/>
              </w:rPr>
              <w:t>Chưa tiếp thu</w:t>
            </w:r>
          </w:p>
          <w:p w14:paraId="518CED07" w14:textId="77777777" w:rsidR="00755E60" w:rsidRPr="0059729F" w:rsidRDefault="00755E60" w:rsidP="00B268EC">
            <w:pPr>
              <w:widowControl w:val="0"/>
              <w:tabs>
                <w:tab w:val="left" w:pos="5670"/>
              </w:tabs>
              <w:spacing w:before="0" w:after="0"/>
              <w:ind w:left="-41"/>
              <w:rPr>
                <w:szCs w:val="24"/>
              </w:rPr>
            </w:pPr>
            <w:r w:rsidRPr="0059729F">
              <w:rPr>
                <w:szCs w:val="24"/>
              </w:rPr>
              <w:t>Việc sử dụng tỷ lệ “Tổng dư nợ 100 khách hàng lớn nhất so với dư nợ tín dụng đối với tổ chức kinh tế, cá nhân” được nêu tại nội dung tiếp thu, giải trình quy định liên quan tại khoản 5 Điều 3 DTTT.</w:t>
            </w:r>
          </w:p>
          <w:p w14:paraId="266E127E" w14:textId="77777777" w:rsidR="00026EB9" w:rsidRPr="0059729F" w:rsidRDefault="00026EB9" w:rsidP="00B268EC">
            <w:pPr>
              <w:widowControl w:val="0"/>
              <w:tabs>
                <w:tab w:val="left" w:pos="5670"/>
              </w:tabs>
              <w:spacing w:before="0" w:after="0"/>
              <w:ind w:left="-41"/>
              <w:rPr>
                <w:szCs w:val="24"/>
              </w:rPr>
            </w:pPr>
            <w:r w:rsidRPr="0059729F">
              <w:rPr>
                <w:szCs w:val="24"/>
              </w:rPr>
              <w:t xml:space="preserve">Trong điều kiện thị trường hiện tại, chỉ tiêu </w:t>
            </w:r>
            <w:r w:rsidRPr="0059729F">
              <w:rPr>
                <w:i/>
                <w:szCs w:val="24"/>
              </w:rPr>
              <w:t>“Tỷ lệ dư nợ tín dụng đối với 100 khách hàng có dư nợ tín dụng lớn nhất so với dư nợ tín dụng đối với tổ chức kinh tế, cá nhân”</w:t>
            </w:r>
            <w:r w:rsidRPr="0059729F">
              <w:rPr>
                <w:szCs w:val="24"/>
              </w:rPr>
              <w:t xml:space="preserve"> phản ánh mức độ rủi ro tập trung tín dụng tốt hơn chỉ tiêu </w:t>
            </w:r>
            <w:r w:rsidRPr="0059729F">
              <w:rPr>
                <w:i/>
                <w:szCs w:val="24"/>
              </w:rPr>
              <w:t>“Tỷ lệ dư nợ cấp tín dụng của các khách hàng có dư nợ cấp tín dụng lớn so với dư nợ cấp tín dụng đối với tổ chức kinh tế, cá nhân”</w:t>
            </w:r>
            <w:r w:rsidRPr="0059729F">
              <w:rPr>
                <w:szCs w:val="24"/>
              </w:rPr>
              <w:t>.</w:t>
            </w:r>
          </w:p>
        </w:tc>
      </w:tr>
      <w:tr w:rsidR="0002360B" w:rsidRPr="0002360B" w14:paraId="544DF781" w14:textId="77777777" w:rsidTr="00776E98">
        <w:trPr>
          <w:cantSplit/>
        </w:trPr>
        <w:tc>
          <w:tcPr>
            <w:tcW w:w="3828" w:type="dxa"/>
            <w:vMerge/>
          </w:tcPr>
          <w:p w14:paraId="03FEE4F1"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64A1AC38" w14:textId="77777777" w:rsidR="00755E60" w:rsidRPr="0059729F" w:rsidRDefault="00755E60" w:rsidP="00B268EC">
            <w:pPr>
              <w:widowControl w:val="0"/>
              <w:tabs>
                <w:tab w:val="left" w:pos="5670"/>
              </w:tabs>
              <w:spacing w:before="0" w:after="0"/>
              <w:ind w:right="34" w:hanging="1"/>
              <w:jc w:val="left"/>
              <w:rPr>
                <w:szCs w:val="24"/>
              </w:rPr>
            </w:pPr>
            <w:r w:rsidRPr="0059729F">
              <w:rPr>
                <w:szCs w:val="24"/>
              </w:rPr>
              <w:t>Liên quan đến chỉ tiêu 2.8: Vietinbank</w:t>
            </w:r>
          </w:p>
        </w:tc>
        <w:tc>
          <w:tcPr>
            <w:tcW w:w="5358" w:type="dxa"/>
            <w:vAlign w:val="center"/>
          </w:tcPr>
          <w:p w14:paraId="2958C2CD" w14:textId="77777777" w:rsidR="00755E60" w:rsidRPr="0059729F" w:rsidRDefault="00755E60" w:rsidP="00B268EC">
            <w:pPr>
              <w:widowControl w:val="0"/>
              <w:tabs>
                <w:tab w:val="left" w:pos="5670"/>
              </w:tabs>
              <w:spacing w:before="0" w:after="0"/>
              <w:rPr>
                <w:szCs w:val="24"/>
              </w:rPr>
            </w:pPr>
            <w:r w:rsidRPr="0059729F">
              <w:rPr>
                <w:szCs w:val="24"/>
              </w:rPr>
              <w:t xml:space="preserve">Để phù hợp với thông lệ và thực tiễn, VietinBank đề xuất NHNN chỉnh sửa chỉ tiêu này thành “Tỷ lệ dự phòng rủi ro (bao gồm cả dự phòng cụ thể và dự phòng chung) so với nợ xấu”. </w:t>
            </w:r>
          </w:p>
        </w:tc>
        <w:tc>
          <w:tcPr>
            <w:tcW w:w="4252" w:type="dxa"/>
            <w:vAlign w:val="center"/>
          </w:tcPr>
          <w:p w14:paraId="4D35FFE0" w14:textId="77777777" w:rsidR="00755E60" w:rsidRPr="0059729F" w:rsidRDefault="00755E60" w:rsidP="00B268EC">
            <w:pPr>
              <w:widowControl w:val="0"/>
              <w:tabs>
                <w:tab w:val="left" w:pos="5670"/>
              </w:tabs>
              <w:spacing w:before="0" w:after="0"/>
              <w:ind w:left="-41"/>
              <w:rPr>
                <w:b/>
                <w:bCs/>
                <w:szCs w:val="24"/>
              </w:rPr>
            </w:pPr>
            <w:r w:rsidRPr="0059729F">
              <w:rPr>
                <w:b/>
                <w:bCs/>
                <w:szCs w:val="24"/>
              </w:rPr>
              <w:t>Chưa tiếp thu</w:t>
            </w:r>
          </w:p>
          <w:p w14:paraId="2BA60034" w14:textId="77777777" w:rsidR="00755E60" w:rsidRPr="0059729F" w:rsidRDefault="00755E60" w:rsidP="00B268EC">
            <w:pPr>
              <w:widowControl w:val="0"/>
              <w:tabs>
                <w:tab w:val="left" w:pos="5670"/>
              </w:tabs>
              <w:spacing w:before="0" w:after="0"/>
              <w:ind w:left="-41"/>
              <w:rPr>
                <w:szCs w:val="24"/>
              </w:rPr>
            </w:pPr>
            <w:r w:rsidRPr="0059729F">
              <w:rPr>
                <w:szCs w:val="24"/>
              </w:rPr>
              <w:t>- Việc bổ sung chỉ tiêu “Tỷ lệ dự phòng cụ thể đã trích lập so với nợ nhóm 2 đến nhóm 5” được nêu tại nội dung tiếp thu, giải trình tại khoản 1 Điều 8 DTTT.</w:t>
            </w:r>
          </w:p>
          <w:p w14:paraId="1A629DD7" w14:textId="77777777" w:rsidR="00755E60" w:rsidRPr="0059729F" w:rsidRDefault="00755E60" w:rsidP="00B268EC">
            <w:pPr>
              <w:widowControl w:val="0"/>
              <w:tabs>
                <w:tab w:val="left" w:pos="5670"/>
              </w:tabs>
              <w:spacing w:before="0" w:after="0"/>
              <w:ind w:left="-41"/>
              <w:rPr>
                <w:szCs w:val="24"/>
              </w:rPr>
            </w:pPr>
            <w:r w:rsidRPr="0059729F">
              <w:rPr>
                <w:szCs w:val="24"/>
              </w:rPr>
              <w:t>- Nợ nhóm 2 là nợ đã phát sinh rủi ro tín dụng, do đó được sử dụng để tính toán chỉ tiêu về Chất lượng tài sản là phù hợp.</w:t>
            </w:r>
          </w:p>
        </w:tc>
      </w:tr>
      <w:tr w:rsidR="0002360B" w:rsidRPr="0002360B" w14:paraId="463F6469" w14:textId="77777777" w:rsidTr="00776E98">
        <w:trPr>
          <w:cantSplit/>
        </w:trPr>
        <w:tc>
          <w:tcPr>
            <w:tcW w:w="3828" w:type="dxa"/>
            <w:vMerge/>
          </w:tcPr>
          <w:p w14:paraId="4E1CE4C2"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4580B899" w14:textId="77777777" w:rsidR="00755E60" w:rsidRPr="0059729F" w:rsidRDefault="00755E60" w:rsidP="00B268EC">
            <w:pPr>
              <w:widowControl w:val="0"/>
              <w:tabs>
                <w:tab w:val="left" w:pos="5670"/>
              </w:tabs>
              <w:spacing w:before="0" w:after="0"/>
              <w:ind w:right="34" w:hanging="1"/>
              <w:jc w:val="left"/>
              <w:rPr>
                <w:szCs w:val="24"/>
              </w:rPr>
            </w:pPr>
            <w:r w:rsidRPr="0059729F">
              <w:rPr>
                <w:szCs w:val="24"/>
              </w:rPr>
              <w:t>Liên quan đến chỉ tiêu 2.8: Vietinbank</w:t>
            </w:r>
          </w:p>
        </w:tc>
        <w:tc>
          <w:tcPr>
            <w:tcW w:w="5358" w:type="dxa"/>
            <w:vAlign w:val="center"/>
          </w:tcPr>
          <w:p w14:paraId="7636A26A" w14:textId="77777777" w:rsidR="00755E60" w:rsidRPr="0059729F" w:rsidRDefault="00755E60" w:rsidP="00B268EC">
            <w:pPr>
              <w:widowControl w:val="0"/>
              <w:tabs>
                <w:tab w:val="left" w:pos="5670"/>
              </w:tabs>
              <w:spacing w:before="0" w:after="0"/>
              <w:rPr>
                <w:szCs w:val="24"/>
              </w:rPr>
            </w:pPr>
            <w:r w:rsidRPr="0059729F">
              <w:rPr>
                <w:szCs w:val="24"/>
              </w:rPr>
              <w:t>VietinBank đề xuất NHNN xem xét loại trừ cho dư nợ của các dự án trọng điểm Quốc gia để phù hợp với định hướng của Nhà nước, và đặc điểm danh mục tín dụng của các TCTD có vốn nhà nước.</w:t>
            </w:r>
          </w:p>
        </w:tc>
        <w:tc>
          <w:tcPr>
            <w:tcW w:w="4252" w:type="dxa"/>
            <w:vAlign w:val="center"/>
          </w:tcPr>
          <w:p w14:paraId="2901BEBC" w14:textId="77777777" w:rsidR="00755E60" w:rsidRPr="0059729F" w:rsidRDefault="00755E60" w:rsidP="00B268EC">
            <w:pPr>
              <w:widowControl w:val="0"/>
              <w:tabs>
                <w:tab w:val="left" w:pos="5670"/>
              </w:tabs>
              <w:spacing w:before="0" w:after="0"/>
              <w:ind w:left="-41"/>
              <w:rPr>
                <w:b/>
                <w:bCs/>
                <w:szCs w:val="24"/>
              </w:rPr>
            </w:pPr>
            <w:r w:rsidRPr="0059729F">
              <w:rPr>
                <w:b/>
                <w:bCs/>
                <w:szCs w:val="24"/>
              </w:rPr>
              <w:t>Chưa tiếp thu</w:t>
            </w:r>
          </w:p>
          <w:p w14:paraId="42FF0072" w14:textId="77777777" w:rsidR="00755E60" w:rsidRPr="0059729F" w:rsidRDefault="00755E60" w:rsidP="00B268EC">
            <w:pPr>
              <w:widowControl w:val="0"/>
              <w:tabs>
                <w:tab w:val="left" w:pos="5670"/>
              </w:tabs>
              <w:spacing w:before="0" w:after="0"/>
              <w:ind w:left="-41"/>
              <w:rPr>
                <w:szCs w:val="24"/>
              </w:rPr>
            </w:pPr>
            <w:r w:rsidRPr="0059729F">
              <w:rPr>
                <w:szCs w:val="24"/>
              </w:rPr>
              <w:t>- Việc bổ sung chỉ tiêu “Tỷ lệ dư nợ tín dụng đối với 100 khách hàng lớn nhất so với dư nợ tín dụng đối với tổ chức kinh tế, cá nhân” được nêu tại nội dung tiếp thu, giải trình tại khoản 5 Điều 3 DTTT.</w:t>
            </w:r>
          </w:p>
          <w:p w14:paraId="4BC10090" w14:textId="77777777" w:rsidR="00755E60" w:rsidRPr="0059729F" w:rsidRDefault="00755E60" w:rsidP="00B268EC">
            <w:pPr>
              <w:widowControl w:val="0"/>
              <w:tabs>
                <w:tab w:val="left" w:pos="5670"/>
              </w:tabs>
              <w:spacing w:before="0" w:after="0"/>
              <w:ind w:left="-41"/>
              <w:rPr>
                <w:szCs w:val="24"/>
              </w:rPr>
            </w:pPr>
            <w:r w:rsidRPr="0059729F">
              <w:rPr>
                <w:szCs w:val="24"/>
              </w:rPr>
              <w:t>- Ngưỡng của từng chỉ tiêu định lượng cần đảm bảo được xây dựng theo nguyên tắc thống nhất (theo phương pháp tính phân vị, trung vị kết hợp với phương pháp chuyên gia) trên cơ sở dữ liệu lịch sử của từng TCTD, chi nhánh ngân hàng nước ngoài phân theo nhóm đồng hạng.</w:t>
            </w:r>
          </w:p>
        </w:tc>
      </w:tr>
      <w:tr w:rsidR="0002360B" w:rsidRPr="0002360B" w14:paraId="6513D9CE" w14:textId="77777777" w:rsidTr="00776E98">
        <w:trPr>
          <w:cantSplit/>
        </w:trPr>
        <w:tc>
          <w:tcPr>
            <w:tcW w:w="3828" w:type="dxa"/>
            <w:vMerge/>
          </w:tcPr>
          <w:p w14:paraId="08FBF0A8"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444C0EB5" w14:textId="77777777" w:rsidR="00755E60" w:rsidRPr="0059729F" w:rsidRDefault="00755E60" w:rsidP="00B268EC">
            <w:pPr>
              <w:widowControl w:val="0"/>
              <w:tabs>
                <w:tab w:val="left" w:pos="5670"/>
              </w:tabs>
              <w:spacing w:before="0" w:after="0"/>
              <w:ind w:right="34" w:hanging="1"/>
              <w:jc w:val="left"/>
              <w:rPr>
                <w:szCs w:val="24"/>
              </w:rPr>
            </w:pPr>
            <w:r w:rsidRPr="0059729F">
              <w:rPr>
                <w:szCs w:val="24"/>
              </w:rPr>
              <w:t>Liên quan đến chỉ tiêu 5.4: NH Hợp tác xã</w:t>
            </w:r>
          </w:p>
        </w:tc>
        <w:tc>
          <w:tcPr>
            <w:tcW w:w="5358" w:type="dxa"/>
            <w:vAlign w:val="center"/>
          </w:tcPr>
          <w:p w14:paraId="34DD2001" w14:textId="77777777" w:rsidR="00755E60" w:rsidRPr="0059729F" w:rsidRDefault="00755E60" w:rsidP="00B268EC">
            <w:pPr>
              <w:widowControl w:val="0"/>
              <w:tabs>
                <w:tab w:val="left" w:pos="5670"/>
              </w:tabs>
              <w:spacing w:before="0" w:after="0"/>
              <w:rPr>
                <w:szCs w:val="24"/>
              </w:rPr>
            </w:pPr>
            <w:r w:rsidRPr="0059729F">
              <w:rPr>
                <w:szCs w:val="24"/>
              </w:rPr>
              <w:t>Tại điểm e) khoản 8 Điều 1, đề nghị bổ sung nội dung:</w:t>
            </w:r>
            <w:r w:rsidRPr="0059729F">
              <w:rPr>
                <w:szCs w:val="24"/>
              </w:rPr>
              <w:br/>
              <w:t>“Đối với Ngân hàng Hợp tác xã, tỷ lệ tiền gửi của khách hàng có số dư tiền gửi lớn so với tổng tiền gửi không bao gồm khoản tiền gửi của Quỹ bảo đảm an toàn hệ thống quỹ tín dụng nhân dân.”</w:t>
            </w:r>
          </w:p>
          <w:p w14:paraId="22218F92" w14:textId="77777777" w:rsidR="00755E60" w:rsidRPr="0059729F" w:rsidRDefault="00755E60" w:rsidP="00B268EC">
            <w:pPr>
              <w:widowControl w:val="0"/>
              <w:tabs>
                <w:tab w:val="left" w:pos="5670"/>
              </w:tabs>
              <w:spacing w:before="0" w:after="0"/>
              <w:rPr>
                <w:szCs w:val="24"/>
              </w:rPr>
            </w:pPr>
            <w:r w:rsidRPr="0059729F">
              <w:rPr>
                <w:szCs w:val="24"/>
              </w:rPr>
              <w:t>Lý do: Quỹ Bảo đảm an toàn hệ thống quỹ tín dụng nhân dân (hay còn gọi là Quỹ Bảo toàn) là một quỹ tài chính của hệ thống tổ chức tín dụng là hợp tác xã (bao gồm NHHTX và các QTDND). Quỹ này thuộc sở hữu chung của các thành viên, được hình thành từ phí trích nộp của NHHTX và các QTDND thành viên. Quỹ có vai trò hỗ trợ tài chính cho các QTDND gặp khó khăn về tài chính, khó khăn về chi trả góp phần bảo đảm an toàn và ổn định cho toàn bộ hệ thống. Do vậy, quỹ này không được coi là tiền gửi của khách hàng tại NHHTX.</w:t>
            </w:r>
          </w:p>
        </w:tc>
        <w:tc>
          <w:tcPr>
            <w:tcW w:w="4252" w:type="dxa"/>
            <w:vAlign w:val="center"/>
          </w:tcPr>
          <w:p w14:paraId="7C8D9945" w14:textId="77777777" w:rsidR="00755E60" w:rsidRPr="0059729F" w:rsidRDefault="00755E60" w:rsidP="00B268EC">
            <w:pPr>
              <w:widowControl w:val="0"/>
              <w:tabs>
                <w:tab w:val="left" w:pos="5670"/>
              </w:tabs>
              <w:spacing w:before="0" w:after="0"/>
              <w:rPr>
                <w:b/>
                <w:szCs w:val="24"/>
              </w:rPr>
            </w:pPr>
            <w:r w:rsidRPr="0059729F">
              <w:rPr>
                <w:b/>
                <w:szCs w:val="24"/>
              </w:rPr>
              <w:t>Chưa tiếp thu.</w:t>
            </w:r>
          </w:p>
          <w:p w14:paraId="5F3DE5F9" w14:textId="77777777" w:rsidR="00755E60" w:rsidRPr="0002360B" w:rsidRDefault="00755E60" w:rsidP="00B268EC">
            <w:pPr>
              <w:widowControl w:val="0"/>
              <w:tabs>
                <w:tab w:val="left" w:pos="5670"/>
              </w:tabs>
              <w:spacing w:before="0" w:after="0"/>
              <w:rPr>
                <w:szCs w:val="24"/>
              </w:rPr>
            </w:pPr>
            <w:r w:rsidRPr="0059729F">
              <w:rPr>
                <w:szCs w:val="24"/>
              </w:rPr>
              <w:t>- Tỷ lệ tiền gửi của khách hàng có số dư tiền gửi lớn so với tổng tiền gửi là chỉ tiêu đánh giá mức độ tập trung tiền gửi của 10 khách hàng lớn nhất.</w:t>
            </w:r>
          </w:p>
          <w:p w14:paraId="64AC6FAD" w14:textId="77777777" w:rsidR="00755E60" w:rsidRPr="0002360B" w:rsidRDefault="00755E60" w:rsidP="00B268EC">
            <w:pPr>
              <w:widowControl w:val="0"/>
              <w:tabs>
                <w:tab w:val="left" w:pos="5670"/>
              </w:tabs>
              <w:spacing w:before="0" w:after="0"/>
              <w:rPr>
                <w:szCs w:val="24"/>
              </w:rPr>
            </w:pPr>
            <w:r w:rsidRPr="0059729F">
              <w:rPr>
                <w:szCs w:val="24"/>
              </w:rPr>
              <w:t>- Chỉ tiêu cần đảm bảo có nguồn thông tin, dữ liệu tại báo cáo tình hình tài chính hoặc tại các mẫu biểu trên hệ thống báo cáo thống kê của NHNN,… để thực hiện xếp hạng.</w:t>
            </w:r>
          </w:p>
          <w:p w14:paraId="4645211B" w14:textId="77777777" w:rsidR="00755E60" w:rsidRPr="0059729F" w:rsidRDefault="00755E60" w:rsidP="00B268EC">
            <w:pPr>
              <w:widowControl w:val="0"/>
              <w:tabs>
                <w:tab w:val="left" w:pos="5670"/>
              </w:tabs>
              <w:spacing w:before="0" w:after="0"/>
              <w:rPr>
                <w:b/>
                <w:szCs w:val="24"/>
              </w:rPr>
            </w:pPr>
          </w:p>
        </w:tc>
      </w:tr>
      <w:tr w:rsidR="0002360B" w:rsidRPr="0002360B" w14:paraId="7FBE0F5F" w14:textId="77777777" w:rsidTr="00776E98">
        <w:trPr>
          <w:cantSplit/>
        </w:trPr>
        <w:tc>
          <w:tcPr>
            <w:tcW w:w="3828" w:type="dxa"/>
          </w:tcPr>
          <w:p w14:paraId="45979B3D" w14:textId="77777777" w:rsidR="00755E60" w:rsidRPr="0002360B" w:rsidRDefault="00755E60" w:rsidP="00B268EC">
            <w:pPr>
              <w:widowControl w:val="0"/>
              <w:tabs>
                <w:tab w:val="left" w:pos="5670"/>
              </w:tabs>
              <w:spacing w:before="0" w:after="0"/>
              <w:rPr>
                <w:b/>
                <w:spacing w:val="-4"/>
                <w:szCs w:val="24"/>
                <w:lang w:val="pt-BR"/>
              </w:rPr>
            </w:pPr>
            <w:r w:rsidRPr="0059729F">
              <w:rPr>
                <w:b/>
                <w:spacing w:val="-4"/>
                <w:szCs w:val="24"/>
                <w:lang w:val="pt-BR"/>
              </w:rPr>
              <w:lastRenderedPageBreak/>
              <w:t>Khoản 9 Điều 1 DTTT sửa đổi, bổ sung Điều 15 Thông tư 52</w:t>
            </w:r>
          </w:p>
          <w:p w14:paraId="642B401C" w14:textId="77777777" w:rsidR="00755E60" w:rsidRPr="0002360B" w:rsidRDefault="00755E60" w:rsidP="00B268EC">
            <w:pPr>
              <w:widowControl w:val="0"/>
              <w:tabs>
                <w:tab w:val="left" w:pos="5670"/>
              </w:tabs>
              <w:spacing w:before="0" w:after="0"/>
              <w:rPr>
                <w:b/>
                <w:spacing w:val="-4"/>
                <w:szCs w:val="24"/>
                <w:lang w:val="pt-BR"/>
              </w:rPr>
            </w:pPr>
            <w:r w:rsidRPr="0059729F">
              <w:rPr>
                <w:spacing w:val="-4"/>
                <w:szCs w:val="24"/>
                <w:lang w:val="pt-BR"/>
              </w:rPr>
              <w:t>Điều 15. Trọng số của từng chỉ tiêu định lượng</w:t>
            </w:r>
          </w:p>
        </w:tc>
        <w:tc>
          <w:tcPr>
            <w:tcW w:w="1730" w:type="dxa"/>
            <w:vAlign w:val="center"/>
          </w:tcPr>
          <w:p w14:paraId="6A4760EA" w14:textId="77777777" w:rsidR="00755E60" w:rsidRPr="0059729F" w:rsidRDefault="00755E60" w:rsidP="00B268EC">
            <w:pPr>
              <w:widowControl w:val="0"/>
              <w:tabs>
                <w:tab w:val="left" w:pos="5670"/>
              </w:tabs>
              <w:spacing w:before="0" w:after="0"/>
              <w:ind w:right="34" w:hanging="1"/>
              <w:jc w:val="left"/>
              <w:rPr>
                <w:szCs w:val="24"/>
              </w:rPr>
            </w:pPr>
            <w:r w:rsidRPr="0059729F">
              <w:rPr>
                <w:szCs w:val="24"/>
              </w:rPr>
              <w:t>NHTMCP Phát triển TP HCM</w:t>
            </w:r>
          </w:p>
        </w:tc>
        <w:tc>
          <w:tcPr>
            <w:tcW w:w="5358" w:type="dxa"/>
            <w:vAlign w:val="center"/>
          </w:tcPr>
          <w:p w14:paraId="4F5DDCAE" w14:textId="77777777" w:rsidR="00755E60" w:rsidRPr="0059729F" w:rsidRDefault="00755E60" w:rsidP="00B268EC">
            <w:pPr>
              <w:widowControl w:val="0"/>
              <w:tabs>
                <w:tab w:val="left" w:pos="5670"/>
              </w:tabs>
              <w:spacing w:before="0" w:after="0"/>
              <w:rPr>
                <w:szCs w:val="24"/>
              </w:rPr>
            </w:pPr>
            <w:r w:rsidRPr="0059729F">
              <w:rPr>
                <w:szCs w:val="24"/>
              </w:rPr>
              <w:t>- Chỉ tiêu 2.3 Tỷ lệ dư nợ cấp tín dụng đối với 100 khách hàng lớn nhất so với dư nợ cấp tín dụng đối với tổ chức kinh tế, cá nhân: Đề xuất giảm trọng số các chỉ tiêu này từ 25% xuống 15%.</w:t>
            </w:r>
          </w:p>
          <w:p w14:paraId="5EE7D9B9" w14:textId="77777777" w:rsidR="00755E60" w:rsidRPr="0059729F" w:rsidRDefault="00755E60" w:rsidP="00B268EC">
            <w:pPr>
              <w:widowControl w:val="0"/>
              <w:tabs>
                <w:tab w:val="left" w:pos="5670"/>
              </w:tabs>
              <w:spacing w:before="0" w:after="0"/>
              <w:rPr>
                <w:szCs w:val="24"/>
              </w:rPr>
            </w:pPr>
            <w:r w:rsidRPr="0059729F">
              <w:rPr>
                <w:szCs w:val="24"/>
              </w:rPr>
              <w:t>- Chỉ tiêu 2.9 Tỷ lệ tài sản có khác bình quân so với Tổng tài sản bình quân: Đề xuất giảm trọng số các chỉ tiêu này còn 5%-7%.</w:t>
            </w:r>
          </w:p>
          <w:p w14:paraId="7F98783A" w14:textId="77777777" w:rsidR="00755E60" w:rsidRPr="0059729F" w:rsidRDefault="00755E60" w:rsidP="00B268EC">
            <w:pPr>
              <w:widowControl w:val="0"/>
              <w:tabs>
                <w:tab w:val="left" w:pos="5670"/>
              </w:tabs>
              <w:spacing w:before="0" w:after="0"/>
              <w:rPr>
                <w:szCs w:val="24"/>
              </w:rPr>
            </w:pPr>
            <w:r w:rsidRPr="0059729F">
              <w:rPr>
                <w:szCs w:val="24"/>
              </w:rPr>
              <w:t>Lý do: Tỷ lệ tài sản có khác bình quân so với tổng tài sản bình quân: Nhằm khuyến khích các hình thức tài trợ thương mại, mở rộng dịch vụ, không quá bị lệ thuộc vào cho vay.</w:t>
            </w:r>
          </w:p>
        </w:tc>
        <w:tc>
          <w:tcPr>
            <w:tcW w:w="4252" w:type="dxa"/>
            <w:vAlign w:val="center"/>
          </w:tcPr>
          <w:p w14:paraId="17494A1A" w14:textId="77777777" w:rsidR="00755E60" w:rsidRPr="0059729F" w:rsidRDefault="00755E60" w:rsidP="00B268EC">
            <w:pPr>
              <w:widowControl w:val="0"/>
              <w:tabs>
                <w:tab w:val="left" w:pos="5670"/>
              </w:tabs>
              <w:spacing w:before="0" w:after="0"/>
              <w:ind w:left="-41"/>
              <w:rPr>
                <w:b/>
                <w:bCs/>
                <w:szCs w:val="24"/>
              </w:rPr>
            </w:pPr>
            <w:r w:rsidRPr="0059729F">
              <w:rPr>
                <w:b/>
                <w:bCs/>
                <w:szCs w:val="24"/>
              </w:rPr>
              <w:t>Chưa tiếp thu</w:t>
            </w:r>
          </w:p>
          <w:p w14:paraId="71AC72D3" w14:textId="77777777" w:rsidR="00755E60" w:rsidRPr="0059729F" w:rsidRDefault="00755E60" w:rsidP="00B268EC">
            <w:pPr>
              <w:widowControl w:val="0"/>
              <w:tabs>
                <w:tab w:val="left" w:pos="5670"/>
              </w:tabs>
              <w:spacing w:before="0" w:after="0"/>
              <w:ind w:left="-41"/>
              <w:rPr>
                <w:szCs w:val="24"/>
              </w:rPr>
            </w:pPr>
            <w:r w:rsidRPr="0059729F">
              <w:rPr>
                <w:szCs w:val="24"/>
              </w:rPr>
              <w:t>Trọng số của từng chỉ tiêu, tiêu chí được điều chỉnh phù hợp với định hướng quản lý nhà nước trong từng thời kỳ.</w:t>
            </w:r>
          </w:p>
        </w:tc>
      </w:tr>
      <w:tr w:rsidR="0002360B" w:rsidRPr="0002360B" w14:paraId="7CE145FC" w14:textId="77777777" w:rsidTr="00776E98">
        <w:trPr>
          <w:cantSplit/>
        </w:trPr>
        <w:tc>
          <w:tcPr>
            <w:tcW w:w="3828" w:type="dxa"/>
          </w:tcPr>
          <w:p w14:paraId="3960A021"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4AEBEC20" w14:textId="77777777" w:rsidR="00755E60" w:rsidRPr="0059729F" w:rsidRDefault="00755E60" w:rsidP="00B268EC">
            <w:pPr>
              <w:widowControl w:val="0"/>
              <w:tabs>
                <w:tab w:val="left" w:pos="5670"/>
              </w:tabs>
              <w:spacing w:before="0" w:after="0"/>
              <w:ind w:right="34" w:hanging="1"/>
              <w:jc w:val="left"/>
              <w:rPr>
                <w:szCs w:val="24"/>
              </w:rPr>
            </w:pPr>
            <w:r w:rsidRPr="0059729F">
              <w:rPr>
                <w:szCs w:val="24"/>
              </w:rPr>
              <w:t>NHTMCP Sài Gòn HN</w:t>
            </w:r>
          </w:p>
        </w:tc>
        <w:tc>
          <w:tcPr>
            <w:tcW w:w="5358" w:type="dxa"/>
            <w:vAlign w:val="center"/>
          </w:tcPr>
          <w:p w14:paraId="57CE752B" w14:textId="77777777" w:rsidR="00755E60" w:rsidRPr="0059729F" w:rsidRDefault="00755E60" w:rsidP="00B268EC">
            <w:pPr>
              <w:widowControl w:val="0"/>
              <w:tabs>
                <w:tab w:val="left" w:pos="5670"/>
              </w:tabs>
              <w:spacing w:before="0" w:after="0"/>
              <w:rPr>
                <w:szCs w:val="24"/>
              </w:rPr>
            </w:pPr>
            <w:r w:rsidRPr="0059729F">
              <w:rPr>
                <w:szCs w:val="24"/>
              </w:rPr>
              <w:t>- Điểm b Khoản 9 Điều 1 Dự thảo sửa đổi bổ sung STT 2.6 Điều 15 Thông tư 52 như sau: trọng số chỉ tiêu 2.6 đối với 02 nhóm NHTM là 0%. Chúng tôi nhận thấy chỉ tiêu về tỷ lệ dự phòng rủi ro này vẫn có ý nghĩa trong việc đánh giá rủi ro chất lượng tài sản đối với các NHTM. Do đó, Cơ quan soạn thảo xem xét giữ nguyên mức trọng số là 5% như mức hiện đang được quy định tại STT 2.6 Điều 15 Thông tư 52.</w:t>
            </w:r>
          </w:p>
          <w:p w14:paraId="2671E1E4" w14:textId="77777777" w:rsidR="00755E60" w:rsidRPr="0059729F" w:rsidRDefault="00755E60" w:rsidP="00B268EC">
            <w:pPr>
              <w:widowControl w:val="0"/>
              <w:tabs>
                <w:tab w:val="left" w:pos="5670"/>
              </w:tabs>
              <w:spacing w:before="0" w:after="0"/>
              <w:rPr>
                <w:szCs w:val="24"/>
              </w:rPr>
            </w:pPr>
            <w:r w:rsidRPr="0059729F">
              <w:rPr>
                <w:szCs w:val="24"/>
              </w:rPr>
              <w:t>- Bổ sung STT 2.9: Việc tính thêm tỷ lệ tài sản có khác bình quân so với Tổng tài sản bình quân dẫn đến 1 cấu phần tài sản được đánh giá, tính điểm trên nhiều chỉ tiêu. Đối với cấu phần tài sản có khác đã được đánh giá rủi ro thông qua việc tính RWA, CAR.</w:t>
            </w:r>
          </w:p>
          <w:p w14:paraId="79F3B78C" w14:textId="77777777" w:rsidR="00755E60" w:rsidRPr="0059729F" w:rsidRDefault="00755E60" w:rsidP="00B268EC">
            <w:pPr>
              <w:widowControl w:val="0"/>
              <w:tabs>
                <w:tab w:val="left" w:pos="5670"/>
              </w:tabs>
              <w:spacing w:before="0" w:after="0"/>
              <w:rPr>
                <w:szCs w:val="24"/>
              </w:rPr>
            </w:pPr>
            <w:r w:rsidRPr="0059729F">
              <w:rPr>
                <w:szCs w:val="24"/>
              </w:rPr>
              <w:t>- STT 4.4 Điều 15 Thông tư 52 về Số lãi ngày phải thu, trong khi đó “Tài sản có khác của NHTM” cũng bao gồm các khoản “Lãi và phí phải thu”, 02 tiêu chí này có một phần trùng lặp với nhau. Do đó, Chúng tôi nhận thấy với mức trọng số là 20% cho tiêu chí “Số ngày lãi phải thu” và 10% cho tiêu chí “Tỷ lệ tài sản có khác bình quân so với Tổng tài sản bình quân” là tương đối cao cho vấn đề về “Lãi và phí phải thu”.</w:t>
            </w:r>
          </w:p>
          <w:p w14:paraId="15D58041" w14:textId="77777777" w:rsidR="00755E60" w:rsidRPr="0059729F" w:rsidRDefault="00755E60" w:rsidP="00B268EC">
            <w:pPr>
              <w:widowControl w:val="0"/>
              <w:tabs>
                <w:tab w:val="left" w:pos="5670"/>
              </w:tabs>
              <w:spacing w:before="0" w:after="0"/>
              <w:rPr>
                <w:szCs w:val="24"/>
              </w:rPr>
            </w:pPr>
            <w:r w:rsidRPr="0059729F">
              <w:rPr>
                <w:szCs w:val="24"/>
              </w:rPr>
              <w:t xml:space="preserve">- Đề xuất: </w:t>
            </w:r>
          </w:p>
          <w:p w14:paraId="3AA603F9" w14:textId="77777777" w:rsidR="00755E60" w:rsidRPr="0059729F" w:rsidRDefault="00755E60" w:rsidP="00B268EC">
            <w:pPr>
              <w:widowControl w:val="0"/>
              <w:tabs>
                <w:tab w:val="left" w:pos="5670"/>
              </w:tabs>
              <w:spacing w:before="0" w:after="0"/>
              <w:rPr>
                <w:szCs w:val="24"/>
              </w:rPr>
            </w:pPr>
            <w:r w:rsidRPr="0059729F">
              <w:rPr>
                <w:szCs w:val="24"/>
              </w:rPr>
              <w:t>(i) Cơ quan soạn thảo xem xét không bổ sung thêm chỉ tiêu này.</w:t>
            </w:r>
          </w:p>
          <w:p w14:paraId="0DF33071" w14:textId="77777777" w:rsidR="00755E60" w:rsidRPr="0059729F" w:rsidRDefault="00755E60" w:rsidP="00B268EC">
            <w:pPr>
              <w:widowControl w:val="0"/>
              <w:tabs>
                <w:tab w:val="left" w:pos="5670"/>
              </w:tabs>
              <w:spacing w:before="0" w:after="0"/>
              <w:rPr>
                <w:szCs w:val="24"/>
              </w:rPr>
            </w:pPr>
            <w:r w:rsidRPr="0059729F">
              <w:rPr>
                <w:szCs w:val="24"/>
              </w:rPr>
              <w:t>(ii) Chúng tôi nhận thấy hiện đang có 2 cách hiểu về “Tài sản có khác”. Do đó, trong trường hợp vẫn bổ sung thêm chỉ tiêu này, Chúng tôi đề xuất Cơ quan soạn thảo làm rõ định nghĩa về “Tài sản có khác”.</w:t>
            </w:r>
          </w:p>
        </w:tc>
        <w:tc>
          <w:tcPr>
            <w:tcW w:w="4252" w:type="dxa"/>
            <w:vAlign w:val="center"/>
          </w:tcPr>
          <w:p w14:paraId="45960F61" w14:textId="77777777" w:rsidR="00755E60" w:rsidRPr="0059729F" w:rsidRDefault="00755E60" w:rsidP="00B268EC">
            <w:pPr>
              <w:widowControl w:val="0"/>
              <w:tabs>
                <w:tab w:val="left" w:pos="5670"/>
              </w:tabs>
              <w:spacing w:before="0" w:after="0"/>
              <w:ind w:left="-41"/>
              <w:rPr>
                <w:b/>
                <w:bCs/>
                <w:szCs w:val="24"/>
              </w:rPr>
            </w:pPr>
            <w:r w:rsidRPr="0059729F">
              <w:rPr>
                <w:b/>
                <w:bCs/>
                <w:szCs w:val="24"/>
              </w:rPr>
              <w:t>Chưa tiếp thu</w:t>
            </w:r>
          </w:p>
          <w:p w14:paraId="28D8DC26" w14:textId="77777777" w:rsidR="00755E60" w:rsidRPr="0059729F" w:rsidRDefault="00755E60" w:rsidP="00B268EC">
            <w:pPr>
              <w:widowControl w:val="0"/>
              <w:tabs>
                <w:tab w:val="left" w:pos="5670"/>
              </w:tabs>
              <w:spacing w:before="0" w:after="0"/>
              <w:ind w:left="-41"/>
              <w:rPr>
                <w:szCs w:val="24"/>
              </w:rPr>
            </w:pPr>
            <w:r w:rsidRPr="0059729F">
              <w:rPr>
                <w:szCs w:val="24"/>
              </w:rPr>
              <w:t>- DTTT bổ sung chỉ tiêu 2.8. Tỷ lệ dự phòng rủi ro so với nợ nhóm 2 đến nhóm 5. Chỉ tiêu này có tính đại diện cao hơn chỉ tiêu 2.6. Tỷ lệ dự phòng rủi ro chứng khoán kinh doanh, chứng khoán đầu tư (không bao gồm dự phòng rủi ro đã trích lập liên quan đến trái phiếu đặc biệt khi bán nợ cho VAMC) so với tổng số dư chứng khoán kinh doanh, chứng khoán đầu tư (không bao gồm số dư trái phiếu đặc biệt khi bán nợ cho VAMC), do đó chỉ tiêu 2.6 tại Thông tư 52 được điều chỉnh trọng số thành 0%.</w:t>
            </w:r>
          </w:p>
          <w:p w14:paraId="22826477" w14:textId="77777777" w:rsidR="00755E60" w:rsidRPr="0059729F" w:rsidRDefault="00755E60" w:rsidP="00B268EC">
            <w:pPr>
              <w:widowControl w:val="0"/>
              <w:tabs>
                <w:tab w:val="left" w:pos="5670"/>
              </w:tabs>
              <w:spacing w:before="0" w:after="0"/>
              <w:ind w:left="-41"/>
              <w:rPr>
                <w:szCs w:val="24"/>
              </w:rPr>
            </w:pPr>
            <w:r w:rsidRPr="0059729F">
              <w:rPr>
                <w:szCs w:val="24"/>
              </w:rPr>
              <w:t>- Việc bổ sung chỉ tiêu liên quan đến Tài sản có khác để tính điểm xếp hạng đảm bảo các cấu phần thuộc tài sản được sử dụng</w:t>
            </w:r>
            <w:r w:rsidR="00F07F36" w:rsidRPr="0059729F">
              <w:rPr>
                <w:szCs w:val="24"/>
              </w:rPr>
              <w:t xml:space="preserve"> để chấm điểm xếp hạng</w:t>
            </w:r>
            <w:r w:rsidRPr="0059729F">
              <w:rPr>
                <w:szCs w:val="24"/>
              </w:rPr>
              <w:t xml:space="preserve"> có phạm vi rộng hơn. Đồng thời việc bổ sung chỉ tiêu Tỷ lệ tài sản có khác bình quân so với Tổng tài sản bình quân với trọng số 10%, và giảm trọng số của chỉ tiêu khác thuộc cấu phần Chất lượng tài sản không làm tăng trọng số của cấu phần này.</w:t>
            </w:r>
          </w:p>
          <w:p w14:paraId="7F54E7B8" w14:textId="77777777" w:rsidR="00755E60" w:rsidRPr="0059729F" w:rsidRDefault="00755E60" w:rsidP="00B268EC">
            <w:pPr>
              <w:widowControl w:val="0"/>
              <w:tabs>
                <w:tab w:val="left" w:pos="5670"/>
              </w:tabs>
              <w:spacing w:before="0" w:after="0"/>
              <w:ind w:left="-41"/>
              <w:rPr>
                <w:szCs w:val="24"/>
              </w:rPr>
            </w:pPr>
            <w:r w:rsidRPr="0059729F">
              <w:rPr>
                <w:szCs w:val="24"/>
              </w:rPr>
              <w:t>- DTTT đã bổ sung hướng dẫn rõ tại khoản 3 Điều 3 để làm rõ hơn phạm vi “Tài sản có khác”.</w:t>
            </w:r>
          </w:p>
          <w:p w14:paraId="774A6A69" w14:textId="77777777" w:rsidR="00755E60" w:rsidRPr="0059729F" w:rsidRDefault="00755E60" w:rsidP="00B268EC">
            <w:pPr>
              <w:widowControl w:val="0"/>
              <w:tabs>
                <w:tab w:val="left" w:pos="5670"/>
              </w:tabs>
              <w:spacing w:before="0" w:after="0"/>
              <w:ind w:left="-41"/>
              <w:rPr>
                <w:szCs w:val="24"/>
              </w:rPr>
            </w:pPr>
          </w:p>
        </w:tc>
      </w:tr>
      <w:tr w:rsidR="0002360B" w:rsidRPr="0002360B" w14:paraId="73670EDA" w14:textId="77777777" w:rsidTr="00776E98">
        <w:trPr>
          <w:cantSplit/>
        </w:trPr>
        <w:tc>
          <w:tcPr>
            <w:tcW w:w="3828" w:type="dxa"/>
          </w:tcPr>
          <w:p w14:paraId="6946E0E3" w14:textId="77777777" w:rsidR="00755E60" w:rsidRPr="0002360B" w:rsidRDefault="00755E60" w:rsidP="00B268EC">
            <w:pPr>
              <w:widowControl w:val="0"/>
              <w:tabs>
                <w:tab w:val="left" w:pos="5670"/>
              </w:tabs>
              <w:spacing w:before="0" w:after="0"/>
              <w:rPr>
                <w:b/>
                <w:spacing w:val="-4"/>
                <w:szCs w:val="24"/>
                <w:lang w:val="pt-BR"/>
              </w:rPr>
            </w:pPr>
            <w:r w:rsidRPr="0059729F">
              <w:rPr>
                <w:b/>
                <w:spacing w:val="-4"/>
                <w:szCs w:val="24"/>
                <w:lang w:val="pt-BR"/>
              </w:rPr>
              <w:lastRenderedPageBreak/>
              <w:t>Khoản 10 Điều 1 DTTT sửa đổi, bổ sung Điều 16 Thông tư 52</w:t>
            </w:r>
          </w:p>
        </w:tc>
        <w:tc>
          <w:tcPr>
            <w:tcW w:w="1730" w:type="dxa"/>
            <w:vAlign w:val="center"/>
          </w:tcPr>
          <w:p w14:paraId="5F2E468B" w14:textId="77777777" w:rsidR="00755E60" w:rsidRPr="0002360B" w:rsidRDefault="00755E60" w:rsidP="00B268EC">
            <w:pPr>
              <w:widowControl w:val="0"/>
              <w:tabs>
                <w:tab w:val="left" w:pos="5670"/>
              </w:tabs>
              <w:spacing w:before="0" w:after="0"/>
              <w:ind w:right="34" w:hanging="1"/>
              <w:jc w:val="left"/>
              <w:rPr>
                <w:szCs w:val="24"/>
                <w:lang w:val="pt-BR"/>
              </w:rPr>
            </w:pPr>
            <w:r w:rsidRPr="0059729F">
              <w:rPr>
                <w:szCs w:val="24"/>
                <w:lang w:val="pt-BR"/>
              </w:rPr>
              <w:t>NHTMCP Đầu tư và phát triển Việt Nam</w:t>
            </w:r>
          </w:p>
        </w:tc>
        <w:tc>
          <w:tcPr>
            <w:tcW w:w="5358" w:type="dxa"/>
          </w:tcPr>
          <w:p w14:paraId="0D5539C9"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rPr>
              <w:t xml:space="preserve">NHNN xem xét </w:t>
            </w:r>
            <w:r w:rsidRPr="0059729F">
              <w:rPr>
                <w:b/>
                <w:sz w:val="24"/>
              </w:rPr>
              <w:t>bổ sung yếu tố Môi trường - Xã hội - Quản trị (ESG) vào tính điểm nhóm chỉ tiêu định tính,</w:t>
            </w:r>
            <w:r w:rsidRPr="0059729F">
              <w:rPr>
                <w:sz w:val="24"/>
              </w:rPr>
              <w:t xml:space="preserve"> theo hướng bổ sung điểm cộng cho các TCTD có chính sách tín dụng xanh, quản lý môi trường, thực hiện báo cáo ESG hoặc đầu tư vào tài chính bền vững do trong bối cảnh toàn cầu thúc đẩy phát triển bền vững, các ngân hàng cần được khuyến khích hướng đến ESG.</w:t>
            </w:r>
          </w:p>
          <w:p w14:paraId="19968E17" w14:textId="77777777" w:rsidR="00755E60" w:rsidRPr="0002360B" w:rsidRDefault="00755E60" w:rsidP="00B268EC">
            <w:pPr>
              <w:widowControl w:val="0"/>
              <w:tabs>
                <w:tab w:val="left" w:pos="851"/>
                <w:tab w:val="left" w:pos="1418"/>
                <w:tab w:val="left" w:pos="2977"/>
                <w:tab w:val="left" w:pos="5670"/>
              </w:tabs>
              <w:spacing w:before="0" w:after="0"/>
              <w:rPr>
                <w:noProof/>
                <w:szCs w:val="24"/>
                <w:lang w:val="pl-PL"/>
              </w:rPr>
            </w:pPr>
          </w:p>
        </w:tc>
        <w:tc>
          <w:tcPr>
            <w:tcW w:w="4252" w:type="dxa"/>
          </w:tcPr>
          <w:p w14:paraId="3FD5D96E" w14:textId="77777777" w:rsidR="00755E60" w:rsidRPr="0002360B" w:rsidRDefault="00755E60" w:rsidP="00B268EC">
            <w:pPr>
              <w:widowControl w:val="0"/>
              <w:tabs>
                <w:tab w:val="left" w:pos="5670"/>
              </w:tabs>
              <w:spacing w:before="0" w:after="0"/>
              <w:ind w:left="-41"/>
              <w:rPr>
                <w:b/>
                <w:szCs w:val="24"/>
                <w:lang w:val="pt-BR"/>
              </w:rPr>
            </w:pPr>
            <w:r w:rsidRPr="0059729F">
              <w:rPr>
                <w:b/>
                <w:szCs w:val="24"/>
                <w:lang w:val="pt-BR"/>
              </w:rPr>
              <w:t>Chưa tiếp thu</w:t>
            </w:r>
          </w:p>
          <w:p w14:paraId="0A0318F8" w14:textId="77777777" w:rsidR="00755E60" w:rsidRPr="0002360B" w:rsidRDefault="00755E60" w:rsidP="00B268EC">
            <w:pPr>
              <w:widowControl w:val="0"/>
              <w:tabs>
                <w:tab w:val="left" w:pos="5670"/>
              </w:tabs>
              <w:spacing w:before="0" w:after="0"/>
              <w:ind w:left="-41"/>
              <w:rPr>
                <w:noProof/>
                <w:szCs w:val="24"/>
                <w:lang w:val="pl-PL"/>
              </w:rPr>
            </w:pPr>
            <w:r w:rsidRPr="0059729F">
              <w:rPr>
                <w:szCs w:val="24"/>
                <w:lang w:val="pt-BR"/>
              </w:rPr>
              <w:t>Trước mắt, NHNN ưu tiên cộng điểm khuyến khích đối với trường hợp các TCTD, CNNHNNg</w:t>
            </w:r>
            <w:r w:rsidRPr="0059729F">
              <w:rPr>
                <w:b/>
                <w:szCs w:val="24"/>
                <w:lang w:val="pt-BR"/>
              </w:rPr>
              <w:t xml:space="preserve"> </w:t>
            </w:r>
            <w:r w:rsidRPr="0059729F">
              <w:rPr>
                <w:noProof/>
                <w:szCs w:val="24"/>
                <w:lang w:val="pl-PL"/>
              </w:rPr>
              <w:t xml:space="preserve">áp dụng sớm tiêu chuẩn khuyến nghị của Ủy ban Basel theo quy định tại Thông tư 14/2025/TT-NHNN ngày 30/6/2025 (cao hơn Thông tư 41 hiện tại). </w:t>
            </w:r>
          </w:p>
          <w:p w14:paraId="33E1AAED" w14:textId="77777777" w:rsidR="00755E60" w:rsidRPr="0002360B" w:rsidRDefault="00755E60" w:rsidP="00B268EC">
            <w:pPr>
              <w:widowControl w:val="0"/>
              <w:tabs>
                <w:tab w:val="left" w:pos="5670"/>
              </w:tabs>
              <w:spacing w:before="0" w:after="0"/>
              <w:ind w:left="-41"/>
              <w:rPr>
                <w:b/>
                <w:szCs w:val="24"/>
                <w:lang w:val="pt-BR"/>
              </w:rPr>
            </w:pPr>
            <w:r w:rsidRPr="0059729F">
              <w:rPr>
                <w:noProof/>
                <w:szCs w:val="24"/>
                <w:lang w:val="pl-PL"/>
              </w:rPr>
              <w:t>Trong thời gian tới, NHNN sẽ nghiên cứu, xem xét bổ sung việc đánh giá, xếp hạng các TCTD phát triển theo hướng thúc đẩy tín dụng xanh.</w:t>
            </w:r>
          </w:p>
        </w:tc>
      </w:tr>
      <w:tr w:rsidR="0002360B" w:rsidRPr="0002360B" w14:paraId="0DD1CD2E" w14:textId="77777777" w:rsidTr="00776E98">
        <w:trPr>
          <w:cantSplit/>
        </w:trPr>
        <w:tc>
          <w:tcPr>
            <w:tcW w:w="3828" w:type="dxa"/>
          </w:tcPr>
          <w:p w14:paraId="53B1A958" w14:textId="77777777" w:rsidR="00755E60" w:rsidRPr="0002360B" w:rsidRDefault="00755E60" w:rsidP="00B268EC">
            <w:pPr>
              <w:widowControl w:val="0"/>
              <w:tabs>
                <w:tab w:val="left" w:pos="5670"/>
              </w:tabs>
              <w:spacing w:before="0" w:after="0"/>
              <w:rPr>
                <w:b/>
                <w:spacing w:val="-4"/>
                <w:szCs w:val="24"/>
                <w:lang w:val="pt-BR"/>
              </w:rPr>
            </w:pPr>
            <w:r w:rsidRPr="0059729F">
              <w:rPr>
                <w:b/>
                <w:spacing w:val="-4"/>
                <w:szCs w:val="24"/>
                <w:lang w:val="pt-BR"/>
              </w:rPr>
              <w:t>Khoản 10 Điều 1 DTTT sửa đổi, bổ sung Điều 16 Thông tư 52 (liên quan đến khoản 1 Điều 16 Thông tư 52)</w:t>
            </w:r>
          </w:p>
          <w:p w14:paraId="61BA8163" w14:textId="77777777" w:rsidR="00755E60" w:rsidRPr="0002360B" w:rsidRDefault="00755E60" w:rsidP="00B268EC">
            <w:pPr>
              <w:widowControl w:val="0"/>
              <w:shd w:val="clear" w:color="auto" w:fill="FFFFFF"/>
              <w:tabs>
                <w:tab w:val="left" w:pos="5670"/>
              </w:tabs>
              <w:spacing w:before="0" w:after="0"/>
              <w:rPr>
                <w:szCs w:val="24"/>
              </w:rPr>
            </w:pPr>
            <w:r w:rsidRPr="0059729F">
              <w:rPr>
                <w:b/>
                <w:bCs/>
                <w:szCs w:val="24"/>
                <w:lang w:val="nl-NL"/>
              </w:rPr>
              <w:t>“Điều 16. Cách tính điểm nhóm chỉ tiêu định tính</w:t>
            </w:r>
          </w:p>
          <w:p w14:paraId="4B02ACCC" w14:textId="77777777" w:rsidR="00755E60" w:rsidRPr="0002360B" w:rsidRDefault="00755E60" w:rsidP="00B268EC">
            <w:pPr>
              <w:widowControl w:val="0"/>
              <w:tabs>
                <w:tab w:val="left" w:pos="5670"/>
              </w:tabs>
              <w:spacing w:before="0" w:after="0"/>
              <w:rPr>
                <w:szCs w:val="24"/>
                <w:lang w:val="nl-NL"/>
              </w:rPr>
            </w:pPr>
            <w:r w:rsidRPr="0059729F">
              <w:rPr>
                <w:szCs w:val="24"/>
                <w:lang w:val="nl-NL"/>
              </w:rPr>
              <w:t xml:space="preserve">1. Điểm của nhóm chỉ tiêu định tính tại từng tiêu chí xếp hạng được xác định trên cơ sở đánh giá mức độ tuân thủ quy định pháp luật </w:t>
            </w:r>
            <w:r w:rsidRPr="0059729F">
              <w:rPr>
                <w:b/>
                <w:bCs/>
                <w:szCs w:val="24"/>
                <w:u w:val="single"/>
                <w:lang w:val="nl-NL"/>
              </w:rPr>
              <w:t>và việc tuân thủ chỉ đạo điều hành của Ngân hàng Nhà nước</w:t>
            </w:r>
            <w:r w:rsidRPr="0059729F">
              <w:rPr>
                <w:szCs w:val="24"/>
                <w:lang w:val="nl-NL"/>
              </w:rPr>
              <w:t xml:space="preserve"> của tổ chức tín dụng, chi nhánh ngân hàng nước ngoài theo các mức điểm 1, 2, 3, 4 hoặc 5; trong đó mức điểm có giá trị càng nhỏ thì mức độ tuân thủ quy định pháp luật càng thấp.”</w:t>
            </w:r>
          </w:p>
          <w:p w14:paraId="40ABF549"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1FEDCFEE" w14:textId="77777777" w:rsidR="00755E60" w:rsidRPr="0002360B" w:rsidRDefault="00755E60" w:rsidP="00B268EC">
            <w:pPr>
              <w:widowControl w:val="0"/>
              <w:tabs>
                <w:tab w:val="left" w:pos="5670"/>
              </w:tabs>
              <w:spacing w:before="0" w:after="0"/>
              <w:ind w:right="34" w:hanging="1"/>
              <w:jc w:val="left"/>
              <w:rPr>
                <w:szCs w:val="24"/>
                <w:lang w:val="pt-BR"/>
              </w:rPr>
            </w:pPr>
            <w:r w:rsidRPr="0059729F">
              <w:rPr>
                <w:szCs w:val="24"/>
                <w:lang w:val="pt-BR"/>
              </w:rPr>
              <w:t>NHTMCP Quân đội</w:t>
            </w:r>
          </w:p>
        </w:tc>
        <w:tc>
          <w:tcPr>
            <w:tcW w:w="5358" w:type="dxa"/>
          </w:tcPr>
          <w:p w14:paraId="014EB236" w14:textId="77777777" w:rsidR="00755E60" w:rsidRPr="0002360B" w:rsidRDefault="00755E60" w:rsidP="00B268EC">
            <w:pPr>
              <w:widowControl w:val="0"/>
              <w:tabs>
                <w:tab w:val="left" w:pos="5670"/>
              </w:tabs>
              <w:spacing w:before="0" w:after="0"/>
              <w:ind w:right="82"/>
              <w:rPr>
                <w:szCs w:val="24"/>
                <w:lang w:val="nl-NL"/>
              </w:rPr>
            </w:pPr>
            <w:r w:rsidRPr="0059729F">
              <w:rPr>
                <w:szCs w:val="24"/>
                <w:lang w:val="nl-NL"/>
              </w:rPr>
              <w:t>Đ</w:t>
            </w:r>
            <w:r w:rsidRPr="0059729F">
              <w:rPr>
                <w:szCs w:val="24"/>
                <w:shd w:val="clear" w:color="auto" w:fill="FFFFFF"/>
              </w:rPr>
              <w:t>ề xuất sửa đổi Khoản 1 Điều 16 Dự thảo như sau:</w:t>
            </w:r>
          </w:p>
          <w:p w14:paraId="43175F70" w14:textId="77777777" w:rsidR="00755E60" w:rsidRPr="0002360B" w:rsidRDefault="00755E60" w:rsidP="00B268EC">
            <w:pPr>
              <w:widowControl w:val="0"/>
              <w:shd w:val="clear" w:color="auto" w:fill="FFFFFF"/>
              <w:tabs>
                <w:tab w:val="left" w:pos="5670"/>
              </w:tabs>
              <w:spacing w:before="0" w:after="0"/>
              <w:rPr>
                <w:szCs w:val="24"/>
              </w:rPr>
            </w:pPr>
            <w:r w:rsidRPr="0059729F">
              <w:rPr>
                <w:bCs/>
                <w:szCs w:val="24"/>
                <w:lang w:val="nl-NL"/>
              </w:rPr>
              <w:t>“</w:t>
            </w:r>
            <w:r w:rsidRPr="0059729F">
              <w:rPr>
                <w:b/>
                <w:bCs/>
                <w:szCs w:val="24"/>
                <w:lang w:val="nl-NL"/>
              </w:rPr>
              <w:t>Điều 16. Cách tính điểm nhóm chỉ tiêu định tính</w:t>
            </w:r>
          </w:p>
          <w:p w14:paraId="72B530C4"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lang w:val="nl-NL"/>
              </w:rPr>
              <w:t xml:space="preserve">1. Điểm của nhóm chỉ tiêu định tính tại từng tiêu chí xếp hạng được xác định trên cơ sở đánh giá mức độ tuân thủ quy định pháp luật </w:t>
            </w:r>
            <w:r w:rsidRPr="0059729F">
              <w:rPr>
                <w:b/>
                <w:bCs/>
                <w:sz w:val="24"/>
                <w:u w:val="single"/>
                <w:lang w:val="nl-NL"/>
              </w:rPr>
              <w:t xml:space="preserve">và việc </w:t>
            </w:r>
            <w:r w:rsidRPr="0059729F">
              <w:rPr>
                <w:b/>
                <w:bCs/>
                <w:sz w:val="24"/>
                <w:u w:val="single"/>
                <w:shd w:val="clear" w:color="auto" w:fill="FFFFFF"/>
              </w:rPr>
              <w:t>thực hiện yêu cầu bằng văn bản của Ngân hàng Nhà nước đối với các nội dung thuộc thẩm quyền của Ngân hàng Nhà nước</w:t>
            </w:r>
            <w:r w:rsidRPr="0059729F">
              <w:rPr>
                <w:sz w:val="24"/>
                <w:lang w:val="nl-NL"/>
              </w:rPr>
              <w:t xml:space="preserve"> của tổ chức tín dụng, chi nhánh ngân hàng nước ngoài theo các mức điểm 1, 2, 3, 4 hoặc 5; trong đó mức điểm có giá trị càng nhỏ thì mức độ tuân thủ quy định pháp luật càng thấp.”</w:t>
            </w:r>
          </w:p>
        </w:tc>
        <w:tc>
          <w:tcPr>
            <w:tcW w:w="4252" w:type="dxa"/>
          </w:tcPr>
          <w:p w14:paraId="2C1CB5C8" w14:textId="77777777" w:rsidR="00755E60" w:rsidRPr="0059729F" w:rsidRDefault="00755E60" w:rsidP="00B268EC">
            <w:pPr>
              <w:widowControl w:val="0"/>
              <w:tabs>
                <w:tab w:val="left" w:pos="5670"/>
              </w:tabs>
              <w:spacing w:before="0" w:after="0"/>
              <w:ind w:left="-41"/>
              <w:rPr>
                <w:b/>
                <w:szCs w:val="24"/>
                <w:lang w:val="pt-BR"/>
              </w:rPr>
            </w:pPr>
            <w:r w:rsidRPr="0059729F">
              <w:rPr>
                <w:b/>
                <w:szCs w:val="24"/>
                <w:lang w:val="pt-BR"/>
              </w:rPr>
              <w:t xml:space="preserve">Chưa tiếp thu </w:t>
            </w:r>
          </w:p>
          <w:p w14:paraId="647686C1" w14:textId="77777777" w:rsidR="00755E60" w:rsidRPr="0059729F" w:rsidRDefault="00755E60" w:rsidP="00B268EC">
            <w:pPr>
              <w:widowControl w:val="0"/>
              <w:tabs>
                <w:tab w:val="left" w:pos="5670"/>
              </w:tabs>
              <w:spacing w:before="0" w:after="0"/>
              <w:ind w:left="-41"/>
              <w:rPr>
                <w:szCs w:val="24"/>
                <w:lang w:val="pt-BR"/>
              </w:rPr>
            </w:pPr>
            <w:r w:rsidRPr="0059729F">
              <w:rPr>
                <w:szCs w:val="24"/>
                <w:lang w:val="pt-BR"/>
              </w:rPr>
              <w:t>Nội dung chỉ đạo, điều hành của NHNN đối với các TCTD được cụ thể hóa bằng văn bản và các nội dung chỉ đạo, điều hành này thuộc chức năng, nhiệm vụ của NHNN. Do đó, cách diễn đạt như tại DTTT đã bao hàm nội dung NHTMCP Quân đội nêu cụ thể tại ý kiến góp ý, đồng thời, cách diễn đạt này giúp tăng tính hiệu lực, hiệu quả của văn bản quy phạm pháp luật.</w:t>
            </w:r>
          </w:p>
          <w:p w14:paraId="321C96CC" w14:textId="77777777" w:rsidR="00755E60" w:rsidRPr="0002360B" w:rsidRDefault="00755E60" w:rsidP="00B268EC">
            <w:pPr>
              <w:widowControl w:val="0"/>
              <w:tabs>
                <w:tab w:val="left" w:pos="5670"/>
              </w:tabs>
              <w:spacing w:before="0" w:after="0"/>
              <w:rPr>
                <w:szCs w:val="24"/>
                <w:lang w:val="pt-BR"/>
              </w:rPr>
            </w:pPr>
          </w:p>
        </w:tc>
      </w:tr>
      <w:tr w:rsidR="0002360B" w:rsidRPr="0002360B" w14:paraId="3E54A0F8" w14:textId="77777777" w:rsidTr="00776E98">
        <w:trPr>
          <w:cantSplit/>
        </w:trPr>
        <w:tc>
          <w:tcPr>
            <w:tcW w:w="3828" w:type="dxa"/>
          </w:tcPr>
          <w:p w14:paraId="44B9129C"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0B0BCDA8" w14:textId="77777777" w:rsidR="00755E60" w:rsidRPr="0002360B" w:rsidRDefault="00755E60" w:rsidP="00B268EC">
            <w:pPr>
              <w:widowControl w:val="0"/>
              <w:tabs>
                <w:tab w:val="left" w:pos="5670"/>
              </w:tabs>
              <w:spacing w:before="0" w:after="0"/>
              <w:ind w:right="34" w:hanging="1"/>
              <w:jc w:val="left"/>
              <w:rPr>
                <w:szCs w:val="24"/>
                <w:lang w:val="pt-BR"/>
              </w:rPr>
            </w:pPr>
            <w:r w:rsidRPr="0059729F">
              <w:rPr>
                <w:szCs w:val="24"/>
                <w:lang w:val="pt-BR"/>
              </w:rPr>
              <w:t>NHTMCP Hàng hải</w:t>
            </w:r>
          </w:p>
        </w:tc>
        <w:tc>
          <w:tcPr>
            <w:tcW w:w="5358" w:type="dxa"/>
          </w:tcPr>
          <w:p w14:paraId="5EDD577B" w14:textId="77777777" w:rsidR="00755E60" w:rsidRPr="0059729F" w:rsidRDefault="00755E60" w:rsidP="00B268EC">
            <w:pPr>
              <w:pStyle w:val="TableParagraph"/>
              <w:tabs>
                <w:tab w:val="left" w:pos="5670"/>
              </w:tabs>
              <w:ind w:left="0" w:right="95"/>
              <w:rPr>
                <w:sz w:val="24"/>
                <w:szCs w:val="24"/>
              </w:rPr>
            </w:pPr>
            <w:r w:rsidRPr="0059729F">
              <w:rPr>
                <w:sz w:val="24"/>
                <w:szCs w:val="24"/>
              </w:rPr>
              <w:t>Ngoài việc tuân thủ quy định pháp luật của tổ chức tín dụng, Dự thảo còn đưa ra yêu cầu tổ chức tín dụng tuân thủ “</w:t>
            </w:r>
            <w:r w:rsidRPr="0059729F">
              <w:rPr>
                <w:i/>
                <w:sz w:val="24"/>
                <w:szCs w:val="24"/>
              </w:rPr>
              <w:t>chỉ đạo điều hành của Ngân hàng Nhà nước”</w:t>
            </w:r>
            <w:r w:rsidRPr="0059729F">
              <w:rPr>
                <w:sz w:val="24"/>
                <w:szCs w:val="24"/>
              </w:rPr>
              <w:t>. Cơ quan soạn thảo cần làm rõ hơn nội hàm của khái niệm này để thuận tiện trọng việc tuân thủ và xác định lỗi sau này. Trong mối quan hệ tác nghiệp hàng ngày giữa Ngân hàng Nhà nước và các tổ chức tín dụng, Ngân hàng Nhà nước có rất nhiều văn bản chỉ đạo, điều hành nhưng nhiều văn bản chỉ mang tính chất khuyến khích hoặc nghiên cứu áp dụng/thực hiện…Về các hành vi vi phạm được xác định</w:t>
            </w:r>
            <w:r w:rsidRPr="0059729F">
              <w:rPr>
                <w:spacing w:val="-4"/>
                <w:sz w:val="24"/>
                <w:szCs w:val="24"/>
              </w:rPr>
              <w:t xml:space="preserve"> </w:t>
            </w:r>
            <w:r w:rsidRPr="0059729F">
              <w:rPr>
                <w:sz w:val="24"/>
                <w:szCs w:val="24"/>
              </w:rPr>
              <w:t>là</w:t>
            </w:r>
            <w:r w:rsidRPr="0059729F">
              <w:rPr>
                <w:spacing w:val="-4"/>
                <w:sz w:val="24"/>
                <w:szCs w:val="24"/>
              </w:rPr>
              <w:t xml:space="preserve"> “</w:t>
            </w:r>
            <w:r w:rsidRPr="0059729F">
              <w:rPr>
                <w:i/>
                <w:sz w:val="24"/>
                <w:szCs w:val="24"/>
              </w:rPr>
              <w:t>được</w:t>
            </w:r>
            <w:r w:rsidRPr="0059729F">
              <w:rPr>
                <w:i/>
                <w:spacing w:val="-4"/>
                <w:sz w:val="24"/>
                <w:szCs w:val="24"/>
              </w:rPr>
              <w:t xml:space="preserve"> </w:t>
            </w:r>
            <w:r w:rsidRPr="0059729F">
              <w:rPr>
                <w:i/>
                <w:sz w:val="24"/>
                <w:szCs w:val="24"/>
              </w:rPr>
              <w:t>quy</w:t>
            </w:r>
            <w:r w:rsidRPr="0059729F">
              <w:rPr>
                <w:i/>
                <w:spacing w:val="-4"/>
                <w:sz w:val="24"/>
                <w:szCs w:val="24"/>
              </w:rPr>
              <w:t xml:space="preserve"> </w:t>
            </w:r>
            <w:r w:rsidRPr="0059729F">
              <w:rPr>
                <w:i/>
                <w:sz w:val="24"/>
                <w:szCs w:val="24"/>
              </w:rPr>
              <w:t>định</w:t>
            </w:r>
            <w:r w:rsidRPr="0059729F">
              <w:rPr>
                <w:i/>
                <w:spacing w:val="-4"/>
                <w:sz w:val="24"/>
                <w:szCs w:val="24"/>
              </w:rPr>
              <w:t xml:space="preserve"> </w:t>
            </w:r>
            <w:r w:rsidRPr="0059729F">
              <w:rPr>
                <w:i/>
                <w:sz w:val="24"/>
                <w:szCs w:val="24"/>
              </w:rPr>
              <w:t>tại</w:t>
            </w:r>
            <w:r w:rsidRPr="0059729F">
              <w:rPr>
                <w:i/>
                <w:spacing w:val="-4"/>
                <w:sz w:val="24"/>
                <w:szCs w:val="24"/>
              </w:rPr>
              <w:t xml:space="preserve"> </w:t>
            </w:r>
            <w:r w:rsidRPr="0059729F">
              <w:rPr>
                <w:i/>
                <w:sz w:val="24"/>
                <w:szCs w:val="24"/>
              </w:rPr>
              <w:t>Nghị</w:t>
            </w:r>
            <w:r w:rsidRPr="0059729F">
              <w:rPr>
                <w:i/>
                <w:spacing w:val="-3"/>
                <w:sz w:val="24"/>
                <w:szCs w:val="24"/>
              </w:rPr>
              <w:t xml:space="preserve"> </w:t>
            </w:r>
            <w:r w:rsidRPr="0059729F">
              <w:rPr>
                <w:i/>
                <w:sz w:val="24"/>
                <w:szCs w:val="24"/>
              </w:rPr>
              <w:t>định xử phạt vi phạm hành chính trong lĩnh vực tiền tệ Ngân hàng”</w:t>
            </w:r>
            <w:r w:rsidRPr="0059729F">
              <w:rPr>
                <w:sz w:val="24"/>
                <w:szCs w:val="24"/>
              </w:rPr>
              <w:t>, việc không chấp hành chỉ đạo của Ngân hang Nhà nước nếu không được ghi trong Nghị định xử phạt vi phạm hành</w:t>
            </w:r>
            <w:r w:rsidRPr="0059729F">
              <w:rPr>
                <w:spacing w:val="-4"/>
                <w:sz w:val="24"/>
                <w:szCs w:val="24"/>
              </w:rPr>
              <w:t xml:space="preserve"> </w:t>
            </w:r>
            <w:r w:rsidRPr="0059729F">
              <w:rPr>
                <w:sz w:val="24"/>
                <w:szCs w:val="24"/>
              </w:rPr>
              <w:t>chính</w:t>
            </w:r>
            <w:r w:rsidRPr="0059729F">
              <w:rPr>
                <w:spacing w:val="-4"/>
                <w:sz w:val="24"/>
                <w:szCs w:val="24"/>
              </w:rPr>
              <w:t xml:space="preserve"> </w:t>
            </w:r>
            <w:r w:rsidRPr="0059729F">
              <w:rPr>
                <w:sz w:val="24"/>
                <w:szCs w:val="24"/>
              </w:rPr>
              <w:t>thì</w:t>
            </w:r>
            <w:r w:rsidRPr="0059729F">
              <w:rPr>
                <w:spacing w:val="-4"/>
                <w:sz w:val="24"/>
                <w:szCs w:val="24"/>
              </w:rPr>
              <w:t xml:space="preserve"> </w:t>
            </w:r>
            <w:r w:rsidRPr="0059729F">
              <w:rPr>
                <w:sz w:val="24"/>
                <w:szCs w:val="24"/>
              </w:rPr>
              <w:t>có</w:t>
            </w:r>
            <w:r w:rsidRPr="0059729F">
              <w:rPr>
                <w:spacing w:val="-4"/>
                <w:sz w:val="24"/>
                <w:szCs w:val="24"/>
              </w:rPr>
              <w:t xml:space="preserve"> </w:t>
            </w:r>
            <w:r w:rsidRPr="0059729F">
              <w:rPr>
                <w:sz w:val="24"/>
                <w:szCs w:val="24"/>
              </w:rPr>
              <w:t>được</w:t>
            </w:r>
            <w:r w:rsidRPr="0059729F">
              <w:rPr>
                <w:spacing w:val="-4"/>
                <w:sz w:val="24"/>
                <w:szCs w:val="24"/>
              </w:rPr>
              <w:t xml:space="preserve"> </w:t>
            </w:r>
            <w:r w:rsidRPr="0059729F">
              <w:rPr>
                <w:sz w:val="24"/>
                <w:szCs w:val="24"/>
              </w:rPr>
              <w:t>coi</w:t>
            </w:r>
            <w:r w:rsidRPr="0059729F">
              <w:rPr>
                <w:spacing w:val="-4"/>
                <w:sz w:val="24"/>
                <w:szCs w:val="24"/>
              </w:rPr>
              <w:t xml:space="preserve"> </w:t>
            </w:r>
            <w:r w:rsidRPr="0059729F">
              <w:rPr>
                <w:sz w:val="24"/>
                <w:szCs w:val="24"/>
              </w:rPr>
              <w:t>là</w:t>
            </w:r>
            <w:r w:rsidRPr="0059729F">
              <w:rPr>
                <w:spacing w:val="-4"/>
                <w:sz w:val="24"/>
                <w:szCs w:val="24"/>
              </w:rPr>
              <w:t xml:space="preserve"> </w:t>
            </w:r>
            <w:r w:rsidRPr="0059729F">
              <w:rPr>
                <w:sz w:val="24"/>
                <w:szCs w:val="24"/>
              </w:rPr>
              <w:t>hành</w:t>
            </w:r>
            <w:r w:rsidRPr="0059729F">
              <w:rPr>
                <w:spacing w:val="-4"/>
                <w:sz w:val="24"/>
                <w:szCs w:val="24"/>
              </w:rPr>
              <w:t xml:space="preserve"> </w:t>
            </w:r>
            <w:r w:rsidRPr="0059729F">
              <w:rPr>
                <w:sz w:val="24"/>
                <w:szCs w:val="24"/>
              </w:rPr>
              <w:t>vi vi phạm hay không.</w:t>
            </w:r>
          </w:p>
          <w:p w14:paraId="6C720563" w14:textId="77777777" w:rsidR="00EE6633" w:rsidRPr="0002360B" w:rsidRDefault="00EE6633" w:rsidP="00B268EC">
            <w:pPr>
              <w:widowControl w:val="0"/>
              <w:tabs>
                <w:tab w:val="left" w:pos="5670"/>
              </w:tabs>
              <w:spacing w:before="0" w:after="0"/>
              <w:ind w:right="82"/>
              <w:rPr>
                <w:szCs w:val="24"/>
              </w:rPr>
            </w:pPr>
          </w:p>
          <w:p w14:paraId="6D45A2E5" w14:textId="77777777" w:rsidR="00EE6633" w:rsidRPr="0002360B" w:rsidRDefault="00EE6633" w:rsidP="00B268EC">
            <w:pPr>
              <w:widowControl w:val="0"/>
              <w:tabs>
                <w:tab w:val="left" w:pos="5670"/>
              </w:tabs>
              <w:spacing w:before="0" w:after="0"/>
              <w:ind w:right="82"/>
              <w:rPr>
                <w:szCs w:val="24"/>
              </w:rPr>
            </w:pPr>
          </w:p>
          <w:p w14:paraId="238715D1" w14:textId="77777777" w:rsidR="00EE6633" w:rsidRPr="0002360B" w:rsidRDefault="00EE6633" w:rsidP="00B268EC">
            <w:pPr>
              <w:widowControl w:val="0"/>
              <w:tabs>
                <w:tab w:val="left" w:pos="5670"/>
              </w:tabs>
              <w:spacing w:before="0" w:after="0"/>
              <w:ind w:right="82"/>
              <w:rPr>
                <w:szCs w:val="24"/>
              </w:rPr>
            </w:pPr>
          </w:p>
          <w:p w14:paraId="105CB8B0" w14:textId="77777777" w:rsidR="00EE6633" w:rsidRPr="0002360B" w:rsidRDefault="00EE6633" w:rsidP="00B268EC">
            <w:pPr>
              <w:widowControl w:val="0"/>
              <w:tabs>
                <w:tab w:val="left" w:pos="5670"/>
              </w:tabs>
              <w:spacing w:before="0" w:after="0"/>
              <w:ind w:right="82"/>
              <w:rPr>
                <w:szCs w:val="24"/>
              </w:rPr>
            </w:pPr>
          </w:p>
          <w:p w14:paraId="5025EF89" w14:textId="77777777" w:rsidR="00EE6633" w:rsidRPr="0002360B" w:rsidRDefault="00EE6633" w:rsidP="00B268EC">
            <w:pPr>
              <w:widowControl w:val="0"/>
              <w:tabs>
                <w:tab w:val="left" w:pos="5670"/>
              </w:tabs>
              <w:spacing w:before="0" w:after="0"/>
              <w:ind w:right="82"/>
              <w:rPr>
                <w:szCs w:val="24"/>
              </w:rPr>
            </w:pPr>
          </w:p>
          <w:p w14:paraId="5A632C11" w14:textId="5E8C4985" w:rsidR="00755E60" w:rsidRPr="0002360B" w:rsidRDefault="00755E60" w:rsidP="00B268EC">
            <w:pPr>
              <w:widowControl w:val="0"/>
              <w:tabs>
                <w:tab w:val="left" w:pos="5670"/>
              </w:tabs>
              <w:spacing w:before="0" w:after="0"/>
              <w:ind w:right="82"/>
              <w:rPr>
                <w:szCs w:val="24"/>
                <w:lang w:val="nl-NL"/>
              </w:rPr>
            </w:pPr>
            <w:r w:rsidRPr="0059729F">
              <w:rPr>
                <w:szCs w:val="24"/>
              </w:rPr>
              <w:t>Ngoài</w:t>
            </w:r>
            <w:r w:rsidRPr="0059729F">
              <w:rPr>
                <w:spacing w:val="-3"/>
                <w:szCs w:val="24"/>
              </w:rPr>
              <w:t xml:space="preserve"> </w:t>
            </w:r>
            <w:r w:rsidRPr="0059729F">
              <w:rPr>
                <w:szCs w:val="24"/>
              </w:rPr>
              <w:t>ra,</w:t>
            </w:r>
            <w:r w:rsidRPr="0059729F">
              <w:rPr>
                <w:spacing w:val="-3"/>
                <w:szCs w:val="24"/>
              </w:rPr>
              <w:t xml:space="preserve"> </w:t>
            </w:r>
            <w:r w:rsidRPr="0059729F">
              <w:rPr>
                <w:szCs w:val="24"/>
              </w:rPr>
              <w:t>thời</w:t>
            </w:r>
            <w:r w:rsidRPr="0059729F">
              <w:rPr>
                <w:spacing w:val="-3"/>
                <w:szCs w:val="24"/>
              </w:rPr>
              <w:t xml:space="preserve"> </w:t>
            </w:r>
            <w:r w:rsidRPr="0059729F">
              <w:rPr>
                <w:szCs w:val="24"/>
              </w:rPr>
              <w:t>gian</w:t>
            </w:r>
            <w:r w:rsidRPr="0059729F">
              <w:rPr>
                <w:spacing w:val="-3"/>
                <w:szCs w:val="24"/>
              </w:rPr>
              <w:t xml:space="preserve"> </w:t>
            </w:r>
            <w:r w:rsidRPr="0059729F">
              <w:rPr>
                <w:szCs w:val="24"/>
              </w:rPr>
              <w:t>04</w:t>
            </w:r>
            <w:r w:rsidRPr="0059729F">
              <w:rPr>
                <w:spacing w:val="-2"/>
                <w:szCs w:val="24"/>
              </w:rPr>
              <w:t xml:space="preserve"> </w:t>
            </w:r>
            <w:r w:rsidRPr="0059729F">
              <w:rPr>
                <w:szCs w:val="24"/>
              </w:rPr>
              <w:t>(bốn)</w:t>
            </w:r>
            <w:r w:rsidRPr="0059729F">
              <w:rPr>
                <w:spacing w:val="-3"/>
                <w:szCs w:val="24"/>
              </w:rPr>
              <w:t xml:space="preserve"> </w:t>
            </w:r>
            <w:r w:rsidRPr="0059729F">
              <w:rPr>
                <w:szCs w:val="24"/>
              </w:rPr>
              <w:t>năm</w:t>
            </w:r>
            <w:r w:rsidRPr="0059729F">
              <w:rPr>
                <w:spacing w:val="-3"/>
                <w:szCs w:val="24"/>
              </w:rPr>
              <w:t xml:space="preserve"> </w:t>
            </w:r>
            <w:r w:rsidRPr="0059729F">
              <w:rPr>
                <w:szCs w:val="24"/>
              </w:rPr>
              <w:t>xác định hành vi vi phạm là khá dài, đề nghị Cơ quan soạn thảo đưa về mức thông lệ là 0</w:t>
            </w:r>
            <w:r w:rsidR="009C1BA2">
              <w:rPr>
                <w:szCs w:val="24"/>
              </w:rPr>
              <w:t>chỉ tiêu</w:t>
            </w:r>
            <w:r w:rsidRPr="0059729F">
              <w:rPr>
                <w:szCs w:val="24"/>
              </w:rPr>
              <w:t xml:space="preserve"> vì khi Ngân hàng Nhà nước phát hiện một số vi phạm nhất đinh thì tổ chức tín dụng không thể khắc phục được nữa, rủi ro thực tế không còn và tổ chức tín dụng đã bị xử phạt rồi nhưng theo cách tính này vẫn bị xác định và trừ điểm, như vậy vô hình chung là bị trừ điểm nhiều lần.</w:t>
            </w:r>
          </w:p>
        </w:tc>
        <w:tc>
          <w:tcPr>
            <w:tcW w:w="4252" w:type="dxa"/>
          </w:tcPr>
          <w:p w14:paraId="299E6517" w14:textId="77777777" w:rsidR="00755E60" w:rsidRPr="0059729F" w:rsidRDefault="00755E60" w:rsidP="00B268EC">
            <w:pPr>
              <w:widowControl w:val="0"/>
              <w:tabs>
                <w:tab w:val="left" w:pos="5670"/>
              </w:tabs>
              <w:spacing w:before="0" w:after="0"/>
              <w:ind w:left="-41"/>
              <w:rPr>
                <w:b/>
                <w:szCs w:val="24"/>
                <w:lang w:val="pt-BR"/>
              </w:rPr>
            </w:pPr>
            <w:r w:rsidRPr="0059729F">
              <w:rPr>
                <w:b/>
                <w:szCs w:val="24"/>
                <w:lang w:val="pt-BR"/>
              </w:rPr>
              <w:t>Chưa tiếp thu</w:t>
            </w:r>
          </w:p>
          <w:p w14:paraId="3C98DFD3" w14:textId="77777777" w:rsidR="00755E60" w:rsidRPr="0059729F" w:rsidRDefault="00755E60" w:rsidP="00B268EC">
            <w:pPr>
              <w:widowControl w:val="0"/>
              <w:tabs>
                <w:tab w:val="left" w:pos="5670"/>
              </w:tabs>
              <w:spacing w:before="0" w:after="0"/>
              <w:ind w:left="-41"/>
              <w:rPr>
                <w:iCs/>
                <w:szCs w:val="24"/>
                <w:lang w:val="pt-BR"/>
              </w:rPr>
            </w:pPr>
            <w:r w:rsidRPr="0059729F">
              <w:rPr>
                <w:iCs/>
                <w:szCs w:val="24"/>
                <w:lang w:val="pt-BR"/>
              </w:rPr>
              <w:t xml:space="preserve">Điểm của nhóm chỉ tiêu định tính được xác định trên cơ sở đánh giá </w:t>
            </w:r>
            <w:r w:rsidRPr="0059729F">
              <w:rPr>
                <w:iCs/>
                <w:szCs w:val="24"/>
                <w:lang w:val="nl-NL"/>
              </w:rPr>
              <w:t xml:space="preserve">mức độ tuân thủ quy định pháp luật và </w:t>
            </w:r>
            <w:r w:rsidRPr="0059729F">
              <w:rPr>
                <w:iCs/>
                <w:szCs w:val="24"/>
                <w:lang w:val="pt-BR"/>
              </w:rPr>
              <w:t>việc tuân thủ chỉ đạo, điều hành của NHNN. Như vậy các văn bản chỉ đạo, điều hành có nội dung yêu cầu các TCTD cần tuân thủ sẽ được áp dụng để đánh giá mức độ tuân thủ của TCTD.</w:t>
            </w:r>
          </w:p>
          <w:p w14:paraId="4FCF6B88" w14:textId="4F3DF76F" w:rsidR="00755E60" w:rsidRPr="0002360B" w:rsidRDefault="00755E60" w:rsidP="00B268EC">
            <w:pPr>
              <w:widowControl w:val="0"/>
              <w:tabs>
                <w:tab w:val="left" w:pos="5670"/>
              </w:tabs>
              <w:spacing w:before="0" w:after="0"/>
              <w:ind w:left="-41"/>
              <w:rPr>
                <w:iCs/>
                <w:szCs w:val="24"/>
                <w:lang w:val="pt-BR"/>
              </w:rPr>
            </w:pPr>
            <w:r w:rsidRPr="0059729F">
              <w:rPr>
                <w:iCs/>
                <w:szCs w:val="24"/>
                <w:lang w:val="pt-BR"/>
              </w:rPr>
              <w:t xml:space="preserve">Hiện nay DTTT được sửa đổi, bổ sung theo hướng các hành vi vi phạm để xác định nhóm chỉ tiêu định tính bao gồm các hành vi được </w:t>
            </w:r>
            <w:r w:rsidRPr="0059729F">
              <w:rPr>
                <w:iCs/>
                <w:szCs w:val="24"/>
              </w:rPr>
              <w:t>quy</w:t>
            </w:r>
            <w:r w:rsidRPr="0059729F">
              <w:rPr>
                <w:iCs/>
                <w:spacing w:val="-4"/>
                <w:szCs w:val="24"/>
              </w:rPr>
              <w:t xml:space="preserve"> </w:t>
            </w:r>
            <w:r w:rsidRPr="0059729F">
              <w:rPr>
                <w:iCs/>
                <w:szCs w:val="24"/>
              </w:rPr>
              <w:t>định</w:t>
            </w:r>
            <w:r w:rsidRPr="0059729F">
              <w:rPr>
                <w:iCs/>
                <w:spacing w:val="-4"/>
                <w:szCs w:val="24"/>
              </w:rPr>
              <w:t xml:space="preserve"> </w:t>
            </w:r>
            <w:r w:rsidRPr="0059729F">
              <w:rPr>
                <w:iCs/>
                <w:szCs w:val="24"/>
              </w:rPr>
              <w:t>tại</w:t>
            </w:r>
            <w:r w:rsidRPr="0059729F">
              <w:rPr>
                <w:iCs/>
                <w:spacing w:val="-4"/>
                <w:szCs w:val="24"/>
              </w:rPr>
              <w:t xml:space="preserve"> </w:t>
            </w:r>
            <w:r w:rsidRPr="0059729F">
              <w:rPr>
                <w:iCs/>
                <w:szCs w:val="24"/>
              </w:rPr>
              <w:t>Nghị</w:t>
            </w:r>
            <w:r w:rsidRPr="0059729F">
              <w:rPr>
                <w:iCs/>
                <w:spacing w:val="-3"/>
                <w:szCs w:val="24"/>
              </w:rPr>
              <w:t xml:space="preserve"> </w:t>
            </w:r>
            <w:r w:rsidRPr="0059729F">
              <w:rPr>
                <w:iCs/>
                <w:szCs w:val="24"/>
              </w:rPr>
              <w:t xml:space="preserve">định xử phạt vi phạm hành chính trong lĩnh vực tiền tệ Ngân hàng và </w:t>
            </w:r>
            <w:r w:rsidRPr="0059729F">
              <w:rPr>
                <w:iCs/>
                <w:szCs w:val="24"/>
                <w:lang w:val="pt-BR"/>
              </w:rPr>
              <w:t xml:space="preserve">các hành vi không được </w:t>
            </w:r>
            <w:r w:rsidRPr="0059729F">
              <w:rPr>
                <w:iCs/>
                <w:szCs w:val="24"/>
              </w:rPr>
              <w:t>quy</w:t>
            </w:r>
            <w:r w:rsidRPr="0059729F">
              <w:rPr>
                <w:iCs/>
                <w:spacing w:val="-4"/>
                <w:szCs w:val="24"/>
              </w:rPr>
              <w:t xml:space="preserve"> </w:t>
            </w:r>
            <w:r w:rsidRPr="0059729F">
              <w:rPr>
                <w:iCs/>
                <w:szCs w:val="24"/>
              </w:rPr>
              <w:t>định</w:t>
            </w:r>
            <w:r w:rsidRPr="0059729F">
              <w:rPr>
                <w:iCs/>
                <w:spacing w:val="-4"/>
                <w:szCs w:val="24"/>
              </w:rPr>
              <w:t xml:space="preserve"> </w:t>
            </w:r>
            <w:r w:rsidRPr="0059729F">
              <w:rPr>
                <w:iCs/>
                <w:szCs w:val="24"/>
              </w:rPr>
              <w:t>tại</w:t>
            </w:r>
            <w:r w:rsidRPr="0059729F">
              <w:rPr>
                <w:iCs/>
                <w:spacing w:val="-4"/>
                <w:szCs w:val="24"/>
              </w:rPr>
              <w:t xml:space="preserve"> </w:t>
            </w:r>
            <w:r w:rsidRPr="0059729F">
              <w:rPr>
                <w:iCs/>
                <w:szCs w:val="24"/>
              </w:rPr>
              <w:t>Nghị</w:t>
            </w:r>
            <w:r w:rsidRPr="0059729F">
              <w:rPr>
                <w:iCs/>
                <w:spacing w:val="-3"/>
                <w:szCs w:val="24"/>
              </w:rPr>
              <w:t xml:space="preserve"> </w:t>
            </w:r>
            <w:r w:rsidRPr="0059729F">
              <w:rPr>
                <w:iCs/>
                <w:szCs w:val="24"/>
              </w:rPr>
              <w:t>định xử phạt vi phạm hành chính trong lĩnh vực tiền tệ Ngân hàng</w:t>
            </w:r>
            <w:r w:rsidR="00EE6633" w:rsidRPr="0059729F">
              <w:rPr>
                <w:iCs/>
                <w:szCs w:val="24"/>
              </w:rPr>
              <w:t xml:space="preserve">. Ngoài ra, việc quy định trừ điểm xếp hạng đối với </w:t>
            </w:r>
            <w:r w:rsidRPr="0059729F">
              <w:rPr>
                <w:szCs w:val="24"/>
              </w:rPr>
              <w:t xml:space="preserve">việc không chấp hành chỉ đạo của Ngân hàng Nhà nước </w:t>
            </w:r>
            <w:r w:rsidR="00EE6633" w:rsidRPr="0059729F">
              <w:rPr>
                <w:szCs w:val="24"/>
              </w:rPr>
              <w:t>nhằm nâng cao hiệu lực hiệu quả của hoạt động quản lý nhà nước.</w:t>
            </w:r>
          </w:p>
          <w:p w14:paraId="635D1DFD" w14:textId="77777777" w:rsidR="00755E60" w:rsidRPr="0002360B" w:rsidRDefault="00755E60" w:rsidP="00B268EC">
            <w:pPr>
              <w:widowControl w:val="0"/>
              <w:tabs>
                <w:tab w:val="left" w:pos="5670"/>
              </w:tabs>
              <w:spacing w:before="0" w:after="0"/>
              <w:ind w:left="-41"/>
              <w:rPr>
                <w:szCs w:val="24"/>
                <w:lang w:val="pt-BR"/>
              </w:rPr>
            </w:pPr>
          </w:p>
          <w:p w14:paraId="06546E19" w14:textId="77777777" w:rsidR="00755E60" w:rsidRPr="0002360B" w:rsidRDefault="00755E60" w:rsidP="00B268EC">
            <w:pPr>
              <w:widowControl w:val="0"/>
              <w:tabs>
                <w:tab w:val="left" w:pos="5670"/>
              </w:tabs>
              <w:spacing w:before="0" w:after="0"/>
              <w:ind w:left="-41"/>
              <w:rPr>
                <w:b/>
                <w:szCs w:val="24"/>
                <w:lang w:val="pt-BR"/>
              </w:rPr>
            </w:pPr>
            <w:r w:rsidRPr="0059729F">
              <w:rPr>
                <w:b/>
                <w:szCs w:val="24"/>
                <w:lang w:val="pt-BR"/>
              </w:rPr>
              <w:t>Chưa tiếp thu</w:t>
            </w:r>
          </w:p>
          <w:p w14:paraId="701059DF" w14:textId="77777777" w:rsidR="00755E60" w:rsidRPr="0002360B" w:rsidRDefault="00755E60" w:rsidP="00B268EC">
            <w:pPr>
              <w:widowControl w:val="0"/>
              <w:tabs>
                <w:tab w:val="left" w:pos="5670"/>
              </w:tabs>
              <w:spacing w:before="0" w:after="0"/>
              <w:ind w:left="-41"/>
              <w:rPr>
                <w:b/>
                <w:szCs w:val="24"/>
                <w:lang w:val="pt-BR"/>
              </w:rPr>
            </w:pPr>
            <w:r w:rsidRPr="0059729F">
              <w:rPr>
                <w:szCs w:val="24"/>
                <w:lang w:val="pt-BR"/>
              </w:rPr>
              <w:t>- Việc quy định khoảng thời gian 04 năm liền kề trước năm xếp hạng để xác định các hành vi vi phạm chưa khắc phục xong khi tính điểm trừ đối với chỉ tiêu định tính được xây dựng trên cơ sở chu kỳ thanh tra TCTD được lăp lại tối  đa trong vòng 05 năm. Do đó, quy định nêu trên đảm bảo các hành vi vi phạm (nếu có) của TCTD thuộc phạm vi bao phủ của hoạt động thanh tra.</w:t>
            </w:r>
          </w:p>
        </w:tc>
      </w:tr>
      <w:tr w:rsidR="0002360B" w:rsidRPr="0002360B" w14:paraId="0745583A" w14:textId="77777777" w:rsidTr="00776E98">
        <w:trPr>
          <w:cantSplit/>
        </w:trPr>
        <w:tc>
          <w:tcPr>
            <w:tcW w:w="3828" w:type="dxa"/>
          </w:tcPr>
          <w:p w14:paraId="4FB025BB" w14:textId="77777777" w:rsidR="00755E60" w:rsidRPr="00783EF9" w:rsidRDefault="00755E60" w:rsidP="00B268EC">
            <w:pPr>
              <w:widowControl w:val="0"/>
              <w:tabs>
                <w:tab w:val="left" w:pos="5670"/>
              </w:tabs>
              <w:spacing w:before="0" w:after="0"/>
              <w:rPr>
                <w:b/>
                <w:spacing w:val="-4"/>
                <w:sz w:val="21"/>
                <w:szCs w:val="21"/>
                <w:lang w:val="pt-BR"/>
              </w:rPr>
            </w:pPr>
            <w:r w:rsidRPr="00783EF9">
              <w:rPr>
                <w:b/>
                <w:spacing w:val="-4"/>
                <w:sz w:val="21"/>
                <w:szCs w:val="21"/>
                <w:lang w:val="pt-BR"/>
              </w:rPr>
              <w:lastRenderedPageBreak/>
              <w:t>Khoản 10 Điều 1 DTTT sửa đổi, bổ sung Điều 16 Thông tư 52 (liên quan đến điểm a khoản 2 Điều 16 Thông tư 52)</w:t>
            </w:r>
          </w:p>
          <w:p w14:paraId="33A45665" w14:textId="77777777" w:rsidR="00755E60" w:rsidRPr="00783EF9" w:rsidRDefault="00755E60" w:rsidP="00B268EC">
            <w:pPr>
              <w:widowControl w:val="0"/>
              <w:tabs>
                <w:tab w:val="left" w:pos="5670"/>
              </w:tabs>
              <w:spacing w:before="0" w:after="0"/>
              <w:rPr>
                <w:sz w:val="21"/>
                <w:szCs w:val="21"/>
              </w:rPr>
            </w:pPr>
            <w:r w:rsidRPr="00783EF9">
              <w:rPr>
                <w:spacing w:val="-4"/>
                <w:sz w:val="21"/>
                <w:szCs w:val="21"/>
                <w:lang w:val="pt-BR"/>
              </w:rPr>
              <w:t>“</w:t>
            </w:r>
            <w:r w:rsidRPr="00783EF9">
              <w:rPr>
                <w:sz w:val="21"/>
                <w:szCs w:val="21"/>
              </w:rPr>
              <w:t xml:space="preserve">2. </w:t>
            </w:r>
            <w:r w:rsidRPr="00783EF9">
              <w:rPr>
                <w:sz w:val="21"/>
                <w:szCs w:val="21"/>
                <w:lang w:val="nl-NL"/>
              </w:rPr>
              <w:t>Các hành vi vi phạm của tổ chức tín dụng, chi nhánh ngân hàng nước ngoài được sử dụng để tính điểm nhóm chỉ tiêu định tính của từng tiêu chí xếp hạng quy định tại Điều 7, 8, 9, 10, 11, 12 Thông tư này là các hành vi vi phạm được quy định tại Nghị định xử phạt vi phạm hành chính trong lĩnh vực tiền tệ ngân hàng và được xác định theo đồng thời 02 (hai) tiêu chí như sau:</w:t>
            </w:r>
          </w:p>
          <w:p w14:paraId="429323E7" w14:textId="77777777" w:rsidR="00755E60" w:rsidRPr="00783EF9" w:rsidRDefault="00755E60" w:rsidP="00B268EC">
            <w:pPr>
              <w:widowControl w:val="0"/>
              <w:tabs>
                <w:tab w:val="left" w:pos="5670"/>
              </w:tabs>
              <w:spacing w:before="0" w:after="0"/>
              <w:rPr>
                <w:sz w:val="21"/>
                <w:szCs w:val="21"/>
              </w:rPr>
            </w:pPr>
            <w:r w:rsidRPr="00783EF9">
              <w:rPr>
                <w:sz w:val="21"/>
                <w:szCs w:val="21"/>
                <w:lang w:val="nl-NL"/>
              </w:rPr>
              <w:t>a) Thời gian xác định hành vi vi phạm:</w:t>
            </w:r>
          </w:p>
          <w:p w14:paraId="21D52C23" w14:textId="77777777" w:rsidR="00755E60" w:rsidRPr="00783EF9" w:rsidRDefault="00755E60" w:rsidP="00B268EC">
            <w:pPr>
              <w:widowControl w:val="0"/>
              <w:tabs>
                <w:tab w:val="left" w:pos="5670"/>
              </w:tabs>
              <w:spacing w:before="0" w:after="0"/>
              <w:rPr>
                <w:sz w:val="21"/>
                <w:szCs w:val="21"/>
              </w:rPr>
            </w:pPr>
            <w:r w:rsidRPr="00783EF9">
              <w:rPr>
                <w:sz w:val="21"/>
                <w:szCs w:val="21"/>
                <w:lang w:val="nl-NL"/>
              </w:rPr>
              <w:t>(i) Các vi phạm được phát hiện trong vòng 04 (bốn) năm liền kề trước của năm xếp hạng nhưng chưa khắc phục xong trước 01/01 năm xếp hạng;</w:t>
            </w:r>
          </w:p>
          <w:p w14:paraId="0A0AFEAE" w14:textId="77777777" w:rsidR="00755E60" w:rsidRPr="00783EF9" w:rsidRDefault="00755E60" w:rsidP="00B268EC">
            <w:pPr>
              <w:widowControl w:val="0"/>
              <w:tabs>
                <w:tab w:val="left" w:pos="5670"/>
              </w:tabs>
              <w:spacing w:before="0" w:after="0"/>
              <w:rPr>
                <w:sz w:val="21"/>
                <w:szCs w:val="21"/>
                <w:lang w:val="nl-NL"/>
              </w:rPr>
            </w:pPr>
            <w:r w:rsidRPr="00783EF9">
              <w:rPr>
                <w:sz w:val="21"/>
                <w:szCs w:val="21"/>
                <w:lang w:val="nl-NL"/>
              </w:rPr>
              <w:t>(ii) Các vi phạm được phát hiện trong năm xếp hạng; ...”</w:t>
            </w:r>
          </w:p>
          <w:p w14:paraId="62D90305" w14:textId="77777777" w:rsidR="00755E60" w:rsidRPr="00783EF9" w:rsidRDefault="00755E60" w:rsidP="00B268EC">
            <w:pPr>
              <w:widowControl w:val="0"/>
              <w:tabs>
                <w:tab w:val="left" w:pos="5670"/>
              </w:tabs>
              <w:spacing w:before="0" w:after="0"/>
              <w:rPr>
                <w:sz w:val="21"/>
                <w:szCs w:val="21"/>
                <w:lang w:val="nl-NL"/>
              </w:rPr>
            </w:pPr>
            <w:r w:rsidRPr="00783EF9">
              <w:rPr>
                <w:sz w:val="21"/>
                <w:szCs w:val="21"/>
                <w:lang w:val="nl-NL"/>
              </w:rPr>
              <w:t>b) Hình thức xác định hành vi vi phạm:</w:t>
            </w:r>
          </w:p>
          <w:p w14:paraId="3A55BE4B" w14:textId="77777777" w:rsidR="00755E60" w:rsidRPr="00783EF9" w:rsidRDefault="00755E60" w:rsidP="00B268EC">
            <w:pPr>
              <w:widowControl w:val="0"/>
              <w:tabs>
                <w:tab w:val="left" w:pos="5670"/>
              </w:tabs>
              <w:spacing w:before="0" w:after="0"/>
              <w:rPr>
                <w:sz w:val="21"/>
                <w:szCs w:val="21"/>
                <w:lang w:val="nl-NL"/>
              </w:rPr>
            </w:pPr>
            <w:r w:rsidRPr="00783EF9">
              <w:rPr>
                <w:sz w:val="21"/>
                <w:szCs w:val="21"/>
                <w:lang w:val="nl-NL"/>
              </w:rPr>
              <w:t>(i) Quyết định xử phạt vi phạm hành chính của các cấp có thẩm quyền;</w:t>
            </w:r>
          </w:p>
          <w:p w14:paraId="0672172B" w14:textId="77777777" w:rsidR="00755E60" w:rsidRPr="00783EF9" w:rsidRDefault="00755E60" w:rsidP="00B268EC">
            <w:pPr>
              <w:widowControl w:val="0"/>
              <w:tabs>
                <w:tab w:val="left" w:pos="5670"/>
              </w:tabs>
              <w:spacing w:before="0" w:after="0"/>
              <w:rPr>
                <w:sz w:val="21"/>
                <w:szCs w:val="21"/>
                <w:lang w:val="nl-NL"/>
              </w:rPr>
            </w:pPr>
            <w:r w:rsidRPr="00783EF9">
              <w:rPr>
                <w:sz w:val="21"/>
                <w:szCs w:val="21"/>
                <w:lang w:val="nl-NL"/>
              </w:rPr>
              <w:t>(ii) Biên bản xử phạt vi phạm hành chính của các cấp có thẩm quyền;</w:t>
            </w:r>
          </w:p>
          <w:p w14:paraId="61EF90E1" w14:textId="77777777" w:rsidR="00755E60" w:rsidRPr="00783EF9" w:rsidRDefault="00755E60" w:rsidP="00B268EC">
            <w:pPr>
              <w:widowControl w:val="0"/>
              <w:tabs>
                <w:tab w:val="left" w:pos="5670"/>
              </w:tabs>
              <w:spacing w:before="0" w:after="0"/>
              <w:rPr>
                <w:sz w:val="21"/>
                <w:szCs w:val="21"/>
                <w:lang w:val="nl-NL"/>
              </w:rPr>
            </w:pPr>
            <w:r w:rsidRPr="00783EF9">
              <w:rPr>
                <w:sz w:val="21"/>
                <w:szCs w:val="21"/>
                <w:lang w:val="nl-NL"/>
              </w:rPr>
              <w:t xml:space="preserve">(ii) Kết quả giám sát, kết luận thanh tra, kiểm tra, kết quả kiểm toán của cơ quan, tổ chức có thẩm quyền theo quy định của pháp luật (bao gồm Ngân hàng Nhà nước, các cơ quan quản lý nhà nước khác và công ty kiểm toán độc lập), trừ các vi phạm đã có quyết định, biên bản xử phạt vi phạm hành chính theo quy định tại tiết (i), (ii) điểm b khoản 2 Điều này; </w:t>
            </w:r>
          </w:p>
          <w:p w14:paraId="3E95F3C9" w14:textId="77777777" w:rsidR="00755E60" w:rsidRPr="00783EF9" w:rsidRDefault="00755E60" w:rsidP="00B268EC">
            <w:pPr>
              <w:widowControl w:val="0"/>
              <w:tabs>
                <w:tab w:val="left" w:pos="5670"/>
              </w:tabs>
              <w:spacing w:before="0" w:after="0"/>
              <w:rPr>
                <w:sz w:val="21"/>
                <w:szCs w:val="21"/>
              </w:rPr>
            </w:pPr>
            <w:r w:rsidRPr="00783EF9">
              <w:rPr>
                <w:sz w:val="21"/>
                <w:szCs w:val="21"/>
                <w:lang w:val="nl-NL"/>
              </w:rPr>
              <w:t>(iii) Vi phạm do tổ chức tín dụng, chi nhánh ngân hàng nước ngoài tự phát hiện, báo cáo và chưa khắc phục xong trước 01/01 năm xếp hạng.</w:t>
            </w:r>
          </w:p>
          <w:p w14:paraId="19B63D04" w14:textId="77777777" w:rsidR="00755E60" w:rsidRPr="00783EF9" w:rsidRDefault="00755E60" w:rsidP="00B268EC">
            <w:pPr>
              <w:widowControl w:val="0"/>
              <w:tabs>
                <w:tab w:val="left" w:pos="5670"/>
              </w:tabs>
              <w:spacing w:before="0" w:after="0"/>
              <w:rPr>
                <w:b/>
                <w:spacing w:val="-4"/>
                <w:sz w:val="21"/>
                <w:szCs w:val="21"/>
                <w:lang w:val="pt-BR"/>
              </w:rPr>
            </w:pPr>
          </w:p>
        </w:tc>
        <w:tc>
          <w:tcPr>
            <w:tcW w:w="1730" w:type="dxa"/>
            <w:vAlign w:val="center"/>
          </w:tcPr>
          <w:p w14:paraId="7F4F7181" w14:textId="77777777" w:rsidR="00755E60" w:rsidRPr="0002360B" w:rsidRDefault="00755E60" w:rsidP="00B268EC">
            <w:pPr>
              <w:widowControl w:val="0"/>
              <w:tabs>
                <w:tab w:val="left" w:pos="5670"/>
              </w:tabs>
              <w:spacing w:before="0" w:after="0"/>
              <w:ind w:right="34" w:hanging="1"/>
              <w:jc w:val="left"/>
              <w:rPr>
                <w:szCs w:val="24"/>
                <w:lang w:val="pt-BR"/>
              </w:rPr>
            </w:pPr>
            <w:r w:rsidRPr="0059729F">
              <w:rPr>
                <w:szCs w:val="24"/>
                <w:lang w:val="pt-BR"/>
              </w:rPr>
              <w:t>NHTMCP Ngoại thương Việt Nam</w:t>
            </w:r>
          </w:p>
        </w:tc>
        <w:tc>
          <w:tcPr>
            <w:tcW w:w="5358" w:type="dxa"/>
          </w:tcPr>
          <w:p w14:paraId="25C264C4" w14:textId="77777777" w:rsidR="00755E60" w:rsidRPr="0002360B" w:rsidRDefault="00755E60" w:rsidP="00B268EC">
            <w:pPr>
              <w:widowControl w:val="0"/>
              <w:tabs>
                <w:tab w:val="left" w:pos="851"/>
                <w:tab w:val="left" w:pos="1418"/>
                <w:tab w:val="left" w:pos="2977"/>
                <w:tab w:val="left" w:pos="5670"/>
              </w:tabs>
              <w:spacing w:before="0" w:after="0"/>
              <w:rPr>
                <w:szCs w:val="24"/>
              </w:rPr>
            </w:pPr>
            <w:r w:rsidRPr="0059729F">
              <w:rPr>
                <w:szCs w:val="24"/>
              </w:rPr>
              <w:t>Đề xuất quy định rõ hơn về thời gian phát hiện hành vi vi phạm được xác định theo văn bản nào. Ví dụ: trường hợp kết luận thanh tra/kiểm tra/kiểm toán và quyết định xử phạt vi phạm hành chính được ban hành trong hai năm khác nhau.</w:t>
            </w:r>
          </w:p>
          <w:p w14:paraId="2DA07345" w14:textId="77777777" w:rsidR="00755E60" w:rsidRPr="0002360B" w:rsidRDefault="00755E60" w:rsidP="00B268EC">
            <w:pPr>
              <w:widowControl w:val="0"/>
              <w:tabs>
                <w:tab w:val="left" w:pos="5670"/>
              </w:tabs>
              <w:spacing w:before="0" w:after="0"/>
              <w:rPr>
                <w:szCs w:val="24"/>
              </w:rPr>
            </w:pPr>
            <w:r w:rsidRPr="0059729F">
              <w:rPr>
                <w:szCs w:val="24"/>
              </w:rPr>
              <w:t>Cơ sở đề xuất: Để làm rõ hơn phạm vi thống kê vi phạm.</w:t>
            </w:r>
          </w:p>
          <w:p w14:paraId="7F72DD27" w14:textId="77777777" w:rsidR="00755E60" w:rsidRPr="0002360B" w:rsidRDefault="00755E60" w:rsidP="00B268EC">
            <w:pPr>
              <w:widowControl w:val="0"/>
              <w:tabs>
                <w:tab w:val="left" w:pos="851"/>
                <w:tab w:val="left" w:pos="1418"/>
                <w:tab w:val="left" w:pos="2977"/>
                <w:tab w:val="left" w:pos="5670"/>
              </w:tabs>
              <w:spacing w:before="0" w:after="0"/>
              <w:rPr>
                <w:noProof/>
                <w:szCs w:val="24"/>
                <w:lang w:val="pl-PL"/>
              </w:rPr>
            </w:pPr>
          </w:p>
        </w:tc>
        <w:tc>
          <w:tcPr>
            <w:tcW w:w="4252" w:type="dxa"/>
          </w:tcPr>
          <w:p w14:paraId="749B1F1F" w14:textId="77777777" w:rsidR="00755E60" w:rsidRPr="0002360B" w:rsidRDefault="00755E60" w:rsidP="00B268EC">
            <w:pPr>
              <w:widowControl w:val="0"/>
              <w:tabs>
                <w:tab w:val="left" w:pos="5670"/>
              </w:tabs>
              <w:spacing w:before="0" w:after="0"/>
              <w:ind w:left="-41"/>
              <w:rPr>
                <w:b/>
                <w:szCs w:val="24"/>
                <w:lang w:val="pt-BR"/>
              </w:rPr>
            </w:pPr>
            <w:r w:rsidRPr="0059729F">
              <w:rPr>
                <w:b/>
                <w:szCs w:val="24"/>
                <w:lang w:val="pt-BR"/>
              </w:rPr>
              <w:t>Chưa tiếp thu</w:t>
            </w:r>
          </w:p>
          <w:p w14:paraId="7E05CF23" w14:textId="77777777" w:rsidR="00755E60" w:rsidRPr="0002360B" w:rsidRDefault="00755E60" w:rsidP="00B268EC">
            <w:pPr>
              <w:widowControl w:val="0"/>
              <w:tabs>
                <w:tab w:val="left" w:pos="851"/>
                <w:tab w:val="left" w:pos="1418"/>
                <w:tab w:val="left" w:pos="2977"/>
                <w:tab w:val="left" w:pos="5670"/>
              </w:tabs>
              <w:spacing w:before="0" w:after="0"/>
              <w:rPr>
                <w:szCs w:val="24"/>
                <w:lang w:val="pt-BR"/>
              </w:rPr>
            </w:pPr>
            <w:r w:rsidRPr="0059729F">
              <w:rPr>
                <w:szCs w:val="24"/>
                <w:lang w:val="pt-BR"/>
              </w:rPr>
              <w:t xml:space="preserve">Với các nội dung tại Điều 16 Thông tư 52 (đã được sửa đổi, bổ sung), Thông tư đã quy </w:t>
            </w:r>
            <w:r w:rsidR="002E1C45" w:rsidRPr="0059729F">
              <w:rPr>
                <w:szCs w:val="24"/>
                <w:lang w:val="pt-BR"/>
              </w:rPr>
              <w:t xml:space="preserve">định </w:t>
            </w:r>
            <w:r w:rsidRPr="0059729F">
              <w:rPr>
                <w:szCs w:val="24"/>
                <w:lang w:val="pt-BR"/>
              </w:rPr>
              <w:t>rõ về thời gian và hình thức xác định để thống kê các hành vi vi phạm. Theo đó:</w:t>
            </w:r>
          </w:p>
          <w:p w14:paraId="3FE85AB1" w14:textId="77777777" w:rsidR="00755E60" w:rsidRPr="0002360B" w:rsidRDefault="00755E60" w:rsidP="00B268EC">
            <w:pPr>
              <w:widowControl w:val="0"/>
              <w:tabs>
                <w:tab w:val="left" w:pos="851"/>
                <w:tab w:val="left" w:pos="1418"/>
                <w:tab w:val="left" w:pos="2977"/>
                <w:tab w:val="left" w:pos="5670"/>
              </w:tabs>
              <w:spacing w:before="0" w:after="0"/>
              <w:rPr>
                <w:szCs w:val="24"/>
                <w:lang w:val="pt-BR"/>
              </w:rPr>
            </w:pPr>
            <w:r w:rsidRPr="0059729F">
              <w:rPr>
                <w:szCs w:val="24"/>
                <w:lang w:val="pt-BR"/>
              </w:rPr>
              <w:t xml:space="preserve">- Một hành vi vi phạm được thống kê là (i) hành vi vi phạm đươc phát hiện trong năm xếp hạng (bao gồm cả việc chưa hoặc đã khắc phục xong) và (ii) hành vi vi phạm được phát hiện trong 4 năm liền kề trước năm xếp hạng mà chưa khắc phục xong. </w:t>
            </w:r>
          </w:p>
          <w:p w14:paraId="4FEBFE35" w14:textId="77777777" w:rsidR="00755E60" w:rsidRPr="0002360B" w:rsidRDefault="00755E60" w:rsidP="00B268EC">
            <w:pPr>
              <w:widowControl w:val="0"/>
              <w:tabs>
                <w:tab w:val="left" w:pos="851"/>
                <w:tab w:val="left" w:pos="1418"/>
                <w:tab w:val="left" w:pos="2977"/>
                <w:tab w:val="left" w:pos="5670"/>
              </w:tabs>
              <w:spacing w:before="0" w:after="0"/>
              <w:rPr>
                <w:szCs w:val="24"/>
                <w:lang w:val="pt-BR"/>
              </w:rPr>
            </w:pPr>
            <w:r w:rsidRPr="0059729F">
              <w:rPr>
                <w:szCs w:val="24"/>
              </w:rPr>
              <w:t xml:space="preserve">- Tuy nhiên, để đảm bảo </w:t>
            </w:r>
            <w:r w:rsidRPr="0059729F">
              <w:rPr>
                <w:szCs w:val="24"/>
                <w:lang w:val="pt-BR"/>
              </w:rPr>
              <w:t>chặt chẽ và không bỏ sót các hành vi vi phạm được phát hiện khi đã hết thời hiệu xử phạt, DTTT được sửa đổi theo hướng bổ sung 01 hình thức xác định hành vi vi phạm là “Quyết định buộc thực hiện biện pháp khắc phục hậu quả”</w:t>
            </w:r>
            <w:r w:rsidR="00EE6633" w:rsidRPr="0059729F">
              <w:rPr>
                <w:szCs w:val="24"/>
                <w:lang w:val="pt-BR"/>
              </w:rPr>
              <w:t xml:space="preserve"> và “</w:t>
            </w:r>
            <w:r w:rsidR="00EE6633" w:rsidRPr="0059729F">
              <w:rPr>
                <w:rFonts w:cs="Times New Roman"/>
                <w:szCs w:val="24"/>
                <w:lang w:val="nl-NL"/>
              </w:rPr>
              <w:t>Biên bản vi phạm hành chính”</w:t>
            </w:r>
            <w:r w:rsidRPr="0059729F">
              <w:rPr>
                <w:szCs w:val="24"/>
                <w:lang w:val="pt-BR"/>
              </w:rPr>
              <w:t xml:space="preserve">. </w:t>
            </w:r>
          </w:p>
          <w:p w14:paraId="2B842327" w14:textId="77777777" w:rsidR="00755E60" w:rsidRPr="0002360B" w:rsidRDefault="00755E60" w:rsidP="00B268EC">
            <w:pPr>
              <w:widowControl w:val="0"/>
              <w:tabs>
                <w:tab w:val="left" w:pos="851"/>
                <w:tab w:val="left" w:pos="1418"/>
                <w:tab w:val="left" w:pos="2977"/>
                <w:tab w:val="left" w:pos="5670"/>
              </w:tabs>
              <w:spacing w:before="0" w:after="0"/>
              <w:rPr>
                <w:b/>
                <w:szCs w:val="24"/>
                <w:lang w:val="pt-BR"/>
              </w:rPr>
            </w:pPr>
            <w:r w:rsidRPr="0059729F">
              <w:rPr>
                <w:szCs w:val="24"/>
                <w:lang w:val="pt-BR"/>
              </w:rPr>
              <w:t xml:space="preserve">- Đối với hành vi vi phạm như phân tích ở trên sẽ chỉ tính một lần trong một năm xếp hạng dù có thể xuất hiện tại hơn một loại hình văn bản như </w:t>
            </w:r>
            <w:r w:rsidRPr="0059729F">
              <w:rPr>
                <w:szCs w:val="24"/>
              </w:rPr>
              <w:t xml:space="preserve">nêu tại mục 2 Điều 16. </w:t>
            </w:r>
            <w:r w:rsidRPr="0059729F">
              <w:rPr>
                <w:szCs w:val="24"/>
                <w:lang w:val="pt-BR"/>
              </w:rPr>
              <w:t>Để mô tả nội dung này rõ ràng hơn, DTTT được sửa đổi theo hướng bổ sung thêm 01 nội dung tại điểm b khoản 2 Điều 16 theo hướng: hành vi vi phạm được xác định đồng thời tại nhiều hơn một trong các hình thức văn bản quy định tại điểm b khoản 2 Điều này thì sẽ được tính là 01 hành vi vi phạm.</w:t>
            </w:r>
          </w:p>
        </w:tc>
      </w:tr>
      <w:tr w:rsidR="0002360B" w:rsidRPr="0002360B" w14:paraId="75CB05CC" w14:textId="77777777" w:rsidTr="00776E98">
        <w:trPr>
          <w:cantSplit/>
        </w:trPr>
        <w:tc>
          <w:tcPr>
            <w:tcW w:w="3828" w:type="dxa"/>
          </w:tcPr>
          <w:p w14:paraId="0A56605F" w14:textId="77777777" w:rsidR="00755E60" w:rsidRPr="0002360B" w:rsidRDefault="00755E60" w:rsidP="00B268EC">
            <w:pPr>
              <w:widowControl w:val="0"/>
              <w:tabs>
                <w:tab w:val="left" w:pos="5670"/>
              </w:tabs>
              <w:spacing w:before="0" w:after="0"/>
              <w:rPr>
                <w:b/>
                <w:spacing w:val="-4"/>
                <w:szCs w:val="24"/>
                <w:lang w:val="pt-BR"/>
              </w:rPr>
            </w:pPr>
            <w:r w:rsidRPr="0059729F">
              <w:rPr>
                <w:b/>
                <w:spacing w:val="-4"/>
                <w:szCs w:val="24"/>
                <w:lang w:val="pt-BR"/>
              </w:rPr>
              <w:lastRenderedPageBreak/>
              <w:t>Khoản 10 Điều 1 DTTT sửa đổi, bổ sung Điều 16 Thông tư 52 (liên quan đến tiết i điểm a khoản 2 Điều 16 Thông tư 52)</w:t>
            </w:r>
          </w:p>
          <w:p w14:paraId="2EBBD1F0" w14:textId="77777777" w:rsidR="00755E60" w:rsidRPr="0002360B" w:rsidRDefault="00755E60" w:rsidP="00B268EC">
            <w:pPr>
              <w:widowControl w:val="0"/>
              <w:tabs>
                <w:tab w:val="left" w:pos="5670"/>
              </w:tabs>
              <w:spacing w:before="0" w:after="0"/>
              <w:rPr>
                <w:szCs w:val="24"/>
              </w:rPr>
            </w:pPr>
            <w:r w:rsidRPr="0059729F">
              <w:rPr>
                <w:spacing w:val="-4"/>
                <w:szCs w:val="24"/>
                <w:lang w:val="pt-BR"/>
              </w:rPr>
              <w:t>“</w:t>
            </w:r>
            <w:r w:rsidRPr="0059729F">
              <w:rPr>
                <w:szCs w:val="24"/>
              </w:rPr>
              <w:t xml:space="preserve">2. </w:t>
            </w:r>
            <w:r w:rsidRPr="0059729F">
              <w:rPr>
                <w:szCs w:val="24"/>
                <w:lang w:val="nl-NL"/>
              </w:rPr>
              <w:t>Các hành vi vi phạm của tổ chức tín dụng, chi nhánh ngân hàng nước ngoài được sử dụng để tính điểm nhóm chỉ tiêu định tính của từng tiêu chí xếp hạng quy định tại Điều 7, 8, 9, 10, 11, 12 Thông tư này là các hành vi vi phạm được quy định tại Nghị định xử phạt vi phạm hành chính trong lĩnh vực tiền tệ ngân hàng và được xác định theo đồng thời 02 (hai) tiêu chí như sau:</w:t>
            </w:r>
          </w:p>
          <w:p w14:paraId="7671AB37" w14:textId="77777777" w:rsidR="00755E60" w:rsidRPr="0002360B" w:rsidRDefault="00755E60" w:rsidP="00B268EC">
            <w:pPr>
              <w:widowControl w:val="0"/>
              <w:tabs>
                <w:tab w:val="left" w:pos="5670"/>
              </w:tabs>
              <w:spacing w:before="0" w:after="0"/>
              <w:rPr>
                <w:szCs w:val="24"/>
              </w:rPr>
            </w:pPr>
            <w:r w:rsidRPr="0059729F">
              <w:rPr>
                <w:szCs w:val="24"/>
                <w:lang w:val="nl-NL"/>
              </w:rPr>
              <w:t>a) Thời gian xác định hành vi vi phạm:</w:t>
            </w:r>
          </w:p>
          <w:p w14:paraId="01C264AE" w14:textId="77777777" w:rsidR="00755E60" w:rsidRPr="0002360B" w:rsidRDefault="00755E60" w:rsidP="00B268EC">
            <w:pPr>
              <w:widowControl w:val="0"/>
              <w:tabs>
                <w:tab w:val="left" w:pos="5670"/>
              </w:tabs>
              <w:spacing w:before="0" w:after="0"/>
              <w:rPr>
                <w:szCs w:val="24"/>
              </w:rPr>
            </w:pPr>
            <w:r w:rsidRPr="0059729F">
              <w:rPr>
                <w:szCs w:val="24"/>
                <w:lang w:val="nl-NL"/>
              </w:rPr>
              <w:t>(i) Các vi phạm được phát hiện trong vòng 04 (bốn) năm liền kề trước của năm xếp hạng nhưng chưa khắc phục xong trước 01/01 năm xếp hạng;...”</w:t>
            </w:r>
          </w:p>
          <w:p w14:paraId="199D18E4" w14:textId="77777777" w:rsidR="00755E60" w:rsidRPr="0002360B" w:rsidRDefault="00755E60" w:rsidP="00B268EC">
            <w:pPr>
              <w:widowControl w:val="0"/>
              <w:tabs>
                <w:tab w:val="left" w:pos="5670"/>
              </w:tabs>
              <w:spacing w:before="0" w:after="0"/>
              <w:rPr>
                <w:b/>
                <w:spacing w:val="-4"/>
                <w:szCs w:val="24"/>
                <w:lang w:val="pt-BR"/>
              </w:rPr>
            </w:pPr>
          </w:p>
          <w:p w14:paraId="3AD0A6B7"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71989AB0" w14:textId="77777777" w:rsidR="00755E60" w:rsidRPr="0002360B" w:rsidRDefault="00755E60" w:rsidP="00B268EC">
            <w:pPr>
              <w:widowControl w:val="0"/>
              <w:tabs>
                <w:tab w:val="left" w:pos="5670"/>
              </w:tabs>
              <w:spacing w:before="0" w:after="0"/>
              <w:ind w:right="34" w:hanging="1"/>
              <w:jc w:val="left"/>
              <w:rPr>
                <w:szCs w:val="24"/>
                <w:lang w:val="pt-BR"/>
              </w:rPr>
            </w:pPr>
            <w:r w:rsidRPr="0059729F">
              <w:rPr>
                <w:szCs w:val="24"/>
                <w:lang w:val="pt-BR"/>
              </w:rPr>
              <w:t>NHTMCP Quân đội</w:t>
            </w:r>
          </w:p>
        </w:tc>
        <w:tc>
          <w:tcPr>
            <w:tcW w:w="5358" w:type="dxa"/>
          </w:tcPr>
          <w:p w14:paraId="06733479" w14:textId="77777777" w:rsidR="00755E60" w:rsidRPr="0002360B" w:rsidRDefault="00755E60" w:rsidP="00B268EC">
            <w:pPr>
              <w:widowControl w:val="0"/>
              <w:tabs>
                <w:tab w:val="left" w:pos="5670"/>
              </w:tabs>
              <w:spacing w:before="0" w:after="0"/>
              <w:rPr>
                <w:b/>
                <w:iCs/>
                <w:szCs w:val="24"/>
              </w:rPr>
            </w:pPr>
            <w:r w:rsidRPr="0059729F">
              <w:rPr>
                <w:b/>
                <w:iCs/>
                <w:szCs w:val="24"/>
              </w:rPr>
              <w:t xml:space="preserve">Đề xuất Cơ quan soạn thảo bổ sung làm rõ: </w:t>
            </w:r>
          </w:p>
          <w:p w14:paraId="0CB0B40B" w14:textId="77777777" w:rsidR="00755E60" w:rsidRPr="0002360B" w:rsidRDefault="00755E60" w:rsidP="00B268EC">
            <w:pPr>
              <w:widowControl w:val="0"/>
              <w:tabs>
                <w:tab w:val="left" w:pos="5670"/>
              </w:tabs>
              <w:spacing w:before="0" w:after="0"/>
              <w:rPr>
                <w:iCs/>
                <w:szCs w:val="24"/>
              </w:rPr>
            </w:pPr>
            <w:r w:rsidRPr="0059729F">
              <w:rPr>
                <w:iCs/>
                <w:szCs w:val="24"/>
              </w:rPr>
              <w:t xml:space="preserve">+ Thời gian khắc phục trước 01/01 năm xếp hạng được tính dựa trên thời gian TCTD báo cáo khắc phục xong hay thời gian cơ quan quản lý gửi văn bản xác nhận hoàn thành khắc phục. </w:t>
            </w:r>
          </w:p>
          <w:p w14:paraId="71F7B24E" w14:textId="77777777" w:rsidR="00755E60" w:rsidRPr="0002360B" w:rsidRDefault="00755E60" w:rsidP="00B268EC">
            <w:pPr>
              <w:widowControl w:val="0"/>
              <w:tabs>
                <w:tab w:val="left" w:pos="5670"/>
              </w:tabs>
              <w:spacing w:before="0" w:after="0"/>
              <w:rPr>
                <w:b/>
                <w:i/>
                <w:iCs/>
                <w:szCs w:val="24"/>
              </w:rPr>
            </w:pPr>
            <w:r w:rsidRPr="0059729F">
              <w:rPr>
                <w:b/>
                <w:i/>
                <w:iCs/>
                <w:szCs w:val="24"/>
              </w:rPr>
              <w:t>Khuyến nghị Ngân hàng nhà nước xem xét điều chỉnh xác định thời gian hoàn thành khắc phục dựa trên công văn báo cáo khắc phục của TCTD</w:t>
            </w:r>
          </w:p>
          <w:p w14:paraId="46804FE6" w14:textId="77777777" w:rsidR="00755E60" w:rsidRPr="0002360B" w:rsidRDefault="00755E60" w:rsidP="00B268EC">
            <w:pPr>
              <w:widowControl w:val="0"/>
              <w:tabs>
                <w:tab w:val="left" w:pos="851"/>
                <w:tab w:val="left" w:pos="1418"/>
                <w:tab w:val="left" w:pos="2977"/>
                <w:tab w:val="left" w:pos="5670"/>
              </w:tabs>
              <w:spacing w:before="0" w:after="0"/>
              <w:rPr>
                <w:iCs/>
                <w:szCs w:val="24"/>
              </w:rPr>
            </w:pPr>
            <w:r w:rsidRPr="0059729F">
              <w:rPr>
                <w:b/>
                <w:iCs/>
                <w:szCs w:val="24"/>
              </w:rPr>
              <w:t xml:space="preserve">+ </w:t>
            </w:r>
            <w:r w:rsidRPr="0059729F">
              <w:rPr>
                <w:iCs/>
                <w:szCs w:val="24"/>
              </w:rPr>
              <w:t>Đối với các hành vi vi phạm của tổ chức tín dụng đã được báo cáo, nhưng đến thời điểm xếp hạng, cơ quan quản lý chưa có văn bản xác nhận hoàn thành khắc phục do nguyên nhân khách quan hoặc do chậm trễ từ phía cơ quan quản lý, thì các vi phạm này có được tính là hành vi vi phạm phát hiện trong vòng 4 năm liền kề trước năm xếp hạng không. Nếu tính vào sẽ không phản ánh đúng xếp hạng do TCTD đã thực hiện khắc phục rồi.</w:t>
            </w:r>
          </w:p>
          <w:p w14:paraId="4386043E" w14:textId="77777777" w:rsidR="00755E60" w:rsidRPr="0002360B" w:rsidRDefault="00755E60" w:rsidP="00B268EC">
            <w:pPr>
              <w:widowControl w:val="0"/>
              <w:tabs>
                <w:tab w:val="left" w:pos="851"/>
                <w:tab w:val="left" w:pos="1418"/>
                <w:tab w:val="left" w:pos="2977"/>
                <w:tab w:val="left" w:pos="5670"/>
              </w:tabs>
              <w:spacing w:before="0" w:after="0"/>
              <w:rPr>
                <w:szCs w:val="24"/>
              </w:rPr>
            </w:pPr>
            <w:r w:rsidRPr="0059729F">
              <w:rPr>
                <w:iCs/>
                <w:szCs w:val="24"/>
              </w:rPr>
              <w:t>Đề xuất Ngân hàng nhà nước ban hành sửa đổi/bổ sung quy định có liên quan đến báo cáo và xác nhận khắc phục các hành vi vi phạm bao gồm thời gian phản hồi khắc phục</w:t>
            </w:r>
          </w:p>
        </w:tc>
        <w:tc>
          <w:tcPr>
            <w:tcW w:w="4252" w:type="dxa"/>
          </w:tcPr>
          <w:p w14:paraId="075DA8A0" w14:textId="174A3DD6" w:rsidR="00755E60" w:rsidRPr="0002360B" w:rsidRDefault="00E57604" w:rsidP="00B268EC">
            <w:pPr>
              <w:widowControl w:val="0"/>
              <w:tabs>
                <w:tab w:val="left" w:pos="5670"/>
              </w:tabs>
              <w:spacing w:before="0" w:after="0"/>
              <w:rPr>
                <w:b/>
                <w:iCs/>
                <w:szCs w:val="24"/>
              </w:rPr>
            </w:pPr>
            <w:r w:rsidRPr="0059729F">
              <w:rPr>
                <w:b/>
                <w:iCs/>
                <w:szCs w:val="24"/>
              </w:rPr>
              <w:t>T</w:t>
            </w:r>
            <w:r w:rsidR="00755E60" w:rsidRPr="0059729F">
              <w:rPr>
                <w:b/>
                <w:iCs/>
                <w:szCs w:val="24"/>
              </w:rPr>
              <w:t>iếp thu</w:t>
            </w:r>
            <w:r w:rsidRPr="0059729F">
              <w:rPr>
                <w:b/>
                <w:iCs/>
                <w:szCs w:val="24"/>
              </w:rPr>
              <w:t xml:space="preserve"> một phần</w:t>
            </w:r>
          </w:p>
          <w:p w14:paraId="2F1ABD65" w14:textId="3654DD9D" w:rsidR="00755E60" w:rsidRPr="0002360B" w:rsidRDefault="00755E60" w:rsidP="00B268EC">
            <w:pPr>
              <w:widowControl w:val="0"/>
              <w:tabs>
                <w:tab w:val="left" w:pos="5670"/>
              </w:tabs>
              <w:spacing w:before="0" w:after="0"/>
              <w:rPr>
                <w:iCs/>
                <w:szCs w:val="24"/>
              </w:rPr>
            </w:pPr>
            <w:r w:rsidRPr="0059729F">
              <w:rPr>
                <w:iCs/>
                <w:szCs w:val="24"/>
              </w:rPr>
              <w:t xml:space="preserve">- Thời gian khắc phục trước 01/01 (đã được điều chỉnh thành 31/12) năm xếp hạng </w:t>
            </w:r>
            <w:r w:rsidR="00E57604" w:rsidRPr="0059729F">
              <w:rPr>
                <w:iCs/>
                <w:szCs w:val="24"/>
              </w:rPr>
              <w:t>nhằm đảm bảo về mặt thời gian đối với việc xác nhận hoàn thành</w:t>
            </w:r>
            <w:r w:rsidRPr="0059729F">
              <w:rPr>
                <w:iCs/>
                <w:szCs w:val="24"/>
              </w:rPr>
              <w:t xml:space="preserve">. </w:t>
            </w:r>
          </w:p>
          <w:p w14:paraId="2FE0992B" w14:textId="77777777" w:rsidR="00755E60" w:rsidRPr="0002360B" w:rsidRDefault="00755E60" w:rsidP="00B268EC">
            <w:pPr>
              <w:widowControl w:val="0"/>
              <w:tabs>
                <w:tab w:val="left" w:pos="5670"/>
              </w:tabs>
              <w:spacing w:before="0" w:after="0"/>
              <w:rPr>
                <w:szCs w:val="24"/>
                <w:lang w:val="pt-BR"/>
              </w:rPr>
            </w:pPr>
            <w:r w:rsidRPr="0059729F">
              <w:rPr>
                <w:iCs/>
                <w:szCs w:val="24"/>
              </w:rPr>
              <w:t xml:space="preserve">- </w:t>
            </w:r>
            <w:r w:rsidRPr="0059729F">
              <w:rPr>
                <w:szCs w:val="24"/>
                <w:lang w:val="pt-BR"/>
              </w:rPr>
              <w:t xml:space="preserve">Theo quy định tại điểm g, khoản 1 Điều 13 Luật Thanh tra (Luật số 84/2025/QH15 ngày 25/6/2025), việc </w:t>
            </w:r>
            <w:r w:rsidRPr="0059729F">
              <w:rPr>
                <w:szCs w:val="24"/>
                <w:u w:val="single"/>
                <w:lang w:val="pt-BR"/>
              </w:rPr>
              <w:t>theo dõi, đôn đốc, kiểm tra</w:t>
            </w:r>
            <w:r w:rsidRPr="0059729F">
              <w:rPr>
                <w:szCs w:val="24"/>
                <w:lang w:val="pt-BR"/>
              </w:rPr>
              <w:t xml:space="preserve"> việc thực hiện kết luận, kiến nghị thanh tra là một trong những nhiệm vụ, quyền hạn của Thanh tra Ngân hàng Nhà nước.</w:t>
            </w:r>
          </w:p>
          <w:p w14:paraId="5660D96A" w14:textId="77777777" w:rsidR="00755E60" w:rsidRPr="0002360B" w:rsidRDefault="00755E60" w:rsidP="00B268EC">
            <w:pPr>
              <w:widowControl w:val="0"/>
              <w:tabs>
                <w:tab w:val="left" w:pos="5670"/>
              </w:tabs>
              <w:spacing w:before="0" w:after="0"/>
              <w:rPr>
                <w:szCs w:val="24"/>
              </w:rPr>
            </w:pPr>
            <w:r w:rsidRPr="0059729F">
              <w:rPr>
                <w:szCs w:val="24"/>
                <w:lang w:val="pt-BR"/>
              </w:rPr>
              <w:t xml:space="preserve">- Theo khoản 2 Điều 73 Luật Xử lý vi phạm hành chính, </w:t>
            </w:r>
            <w:r w:rsidRPr="0059729F">
              <w:rPr>
                <w:szCs w:val="24"/>
              </w:rPr>
              <w:t xml:space="preserve">người có thẩm quyền xử phạt đã ra quyết định xử phạt có trách nhiệm </w:t>
            </w:r>
            <w:r w:rsidRPr="0059729F">
              <w:rPr>
                <w:szCs w:val="24"/>
                <w:u w:val="single"/>
              </w:rPr>
              <w:t>theo dõi</w:t>
            </w:r>
            <w:r w:rsidRPr="0059729F">
              <w:rPr>
                <w:szCs w:val="24"/>
              </w:rPr>
              <w:t xml:space="preserve">, </w:t>
            </w:r>
            <w:r w:rsidRPr="0059729F">
              <w:rPr>
                <w:szCs w:val="24"/>
                <w:u w:val="single"/>
              </w:rPr>
              <w:t>kiểm tra</w:t>
            </w:r>
            <w:r w:rsidRPr="0059729F">
              <w:rPr>
                <w:szCs w:val="24"/>
              </w:rPr>
              <w:t xml:space="preserve"> việc chấp hành quyết định xử phạt của cá nhân, tổ chức bị xử phạt.</w:t>
            </w:r>
          </w:p>
          <w:p w14:paraId="5C81ACB2" w14:textId="54FFC6C0" w:rsidR="00755E60" w:rsidRPr="0002360B" w:rsidRDefault="00E57604">
            <w:pPr>
              <w:widowControl w:val="0"/>
              <w:tabs>
                <w:tab w:val="left" w:pos="5670"/>
              </w:tabs>
              <w:spacing w:before="0" w:after="0"/>
              <w:rPr>
                <w:szCs w:val="24"/>
              </w:rPr>
            </w:pPr>
            <w:r w:rsidRPr="0059729F">
              <w:rPr>
                <w:szCs w:val="24"/>
                <w:lang w:val="pt-BR"/>
              </w:rPr>
              <w:t>-Việc hoàn thành cần</w:t>
            </w:r>
            <w:r w:rsidR="00755E60" w:rsidRPr="0059729F">
              <w:rPr>
                <w:szCs w:val="24"/>
              </w:rPr>
              <w:t xml:space="preserve"> </w:t>
            </w:r>
            <w:r w:rsidRPr="0059729F">
              <w:rPr>
                <w:szCs w:val="24"/>
              </w:rPr>
              <w:t>dựa vào kết quả</w:t>
            </w:r>
            <w:r w:rsidR="00755E60" w:rsidRPr="0059729F">
              <w:rPr>
                <w:szCs w:val="24"/>
              </w:rPr>
              <w:t xml:space="preserve"> theo dõi, đánh giá </w:t>
            </w:r>
            <w:r w:rsidRPr="0059729F">
              <w:rPr>
                <w:szCs w:val="24"/>
              </w:rPr>
              <w:t xml:space="preserve">của cơ quan quản lý, </w:t>
            </w:r>
            <w:r w:rsidR="00755E60" w:rsidRPr="0059729F">
              <w:rPr>
                <w:szCs w:val="24"/>
              </w:rPr>
              <w:t>không thể chỉ cần căn cứ vào báo cáo của TCTD.</w:t>
            </w:r>
          </w:p>
        </w:tc>
      </w:tr>
      <w:tr w:rsidR="0002360B" w:rsidRPr="0002360B" w14:paraId="498F3420" w14:textId="77777777" w:rsidTr="00776E98">
        <w:trPr>
          <w:cantSplit/>
        </w:trPr>
        <w:tc>
          <w:tcPr>
            <w:tcW w:w="3828" w:type="dxa"/>
          </w:tcPr>
          <w:p w14:paraId="6C86CC60"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0A5B6F7F" w14:textId="77777777" w:rsidR="00755E60" w:rsidRPr="0002360B" w:rsidRDefault="00755E60" w:rsidP="00B268EC">
            <w:pPr>
              <w:widowControl w:val="0"/>
              <w:tabs>
                <w:tab w:val="left" w:pos="5670"/>
              </w:tabs>
              <w:spacing w:before="0" w:after="0"/>
              <w:ind w:right="34" w:hanging="1"/>
              <w:jc w:val="left"/>
              <w:rPr>
                <w:szCs w:val="24"/>
                <w:lang w:val="pt-BR"/>
              </w:rPr>
            </w:pPr>
            <w:r w:rsidRPr="0059729F">
              <w:rPr>
                <w:szCs w:val="24"/>
                <w:lang w:val="pt-BR"/>
              </w:rPr>
              <w:t>NHTMCP Hàng hải</w:t>
            </w:r>
          </w:p>
        </w:tc>
        <w:tc>
          <w:tcPr>
            <w:tcW w:w="5358" w:type="dxa"/>
          </w:tcPr>
          <w:p w14:paraId="70D10EE9" w14:textId="77777777" w:rsidR="00755E60" w:rsidRPr="0059729F" w:rsidRDefault="00755E60" w:rsidP="00B268EC">
            <w:pPr>
              <w:pStyle w:val="TableParagraph"/>
              <w:tabs>
                <w:tab w:val="left" w:pos="5670"/>
              </w:tabs>
              <w:ind w:left="0"/>
              <w:rPr>
                <w:sz w:val="24"/>
                <w:szCs w:val="24"/>
              </w:rPr>
            </w:pPr>
            <w:r w:rsidRPr="0059729F">
              <w:rPr>
                <w:sz w:val="24"/>
                <w:szCs w:val="24"/>
              </w:rPr>
              <w:t>Đề</w:t>
            </w:r>
            <w:r w:rsidRPr="0059729F">
              <w:rPr>
                <w:spacing w:val="62"/>
                <w:w w:val="150"/>
                <w:sz w:val="24"/>
                <w:szCs w:val="24"/>
              </w:rPr>
              <w:t xml:space="preserve"> </w:t>
            </w:r>
            <w:r w:rsidRPr="0059729F">
              <w:rPr>
                <w:sz w:val="24"/>
                <w:szCs w:val="24"/>
              </w:rPr>
              <w:t>nghị</w:t>
            </w:r>
            <w:r w:rsidRPr="0059729F">
              <w:rPr>
                <w:spacing w:val="64"/>
                <w:w w:val="150"/>
                <w:sz w:val="24"/>
                <w:szCs w:val="24"/>
              </w:rPr>
              <w:t xml:space="preserve"> </w:t>
            </w:r>
            <w:r w:rsidRPr="0059729F">
              <w:rPr>
                <w:sz w:val="24"/>
                <w:szCs w:val="24"/>
              </w:rPr>
              <w:t>Cơ</w:t>
            </w:r>
            <w:r w:rsidRPr="0059729F">
              <w:rPr>
                <w:spacing w:val="65"/>
                <w:w w:val="150"/>
                <w:sz w:val="24"/>
                <w:szCs w:val="24"/>
              </w:rPr>
              <w:t xml:space="preserve"> </w:t>
            </w:r>
            <w:r w:rsidRPr="0059729F">
              <w:rPr>
                <w:sz w:val="24"/>
                <w:szCs w:val="24"/>
              </w:rPr>
              <w:t>quan</w:t>
            </w:r>
            <w:r w:rsidRPr="0059729F">
              <w:rPr>
                <w:spacing w:val="64"/>
                <w:w w:val="150"/>
                <w:sz w:val="24"/>
                <w:szCs w:val="24"/>
              </w:rPr>
              <w:t xml:space="preserve"> </w:t>
            </w:r>
            <w:r w:rsidRPr="0059729F">
              <w:rPr>
                <w:sz w:val="24"/>
                <w:szCs w:val="24"/>
              </w:rPr>
              <w:t>soạn</w:t>
            </w:r>
            <w:r w:rsidRPr="0059729F">
              <w:rPr>
                <w:spacing w:val="64"/>
                <w:w w:val="150"/>
                <w:sz w:val="24"/>
                <w:szCs w:val="24"/>
              </w:rPr>
              <w:t xml:space="preserve"> </w:t>
            </w:r>
            <w:r w:rsidRPr="0059729F">
              <w:rPr>
                <w:sz w:val="24"/>
                <w:szCs w:val="24"/>
              </w:rPr>
              <w:t>thảo</w:t>
            </w:r>
            <w:r w:rsidRPr="0059729F">
              <w:rPr>
                <w:spacing w:val="65"/>
                <w:w w:val="150"/>
                <w:sz w:val="24"/>
                <w:szCs w:val="24"/>
              </w:rPr>
              <w:t xml:space="preserve"> </w:t>
            </w:r>
            <w:r w:rsidRPr="0059729F">
              <w:rPr>
                <w:spacing w:val="-4"/>
                <w:sz w:val="24"/>
                <w:szCs w:val="24"/>
              </w:rPr>
              <w:t>giải</w:t>
            </w:r>
            <w:r w:rsidRPr="0059729F">
              <w:rPr>
                <w:spacing w:val="-4"/>
                <w:sz w:val="24"/>
                <w:szCs w:val="24"/>
                <w:lang w:val="en-US"/>
              </w:rPr>
              <w:t xml:space="preserve"> </w:t>
            </w:r>
            <w:r w:rsidRPr="0059729F">
              <w:rPr>
                <w:sz w:val="24"/>
                <w:szCs w:val="24"/>
              </w:rPr>
              <w:t>thích rõ thuật ngữ “</w:t>
            </w:r>
            <w:r w:rsidRPr="0059729F">
              <w:rPr>
                <w:i/>
                <w:sz w:val="24"/>
                <w:szCs w:val="24"/>
              </w:rPr>
              <w:t xml:space="preserve">trước 01/01 năm xếp hạng” </w:t>
            </w:r>
            <w:r w:rsidRPr="0059729F">
              <w:rPr>
                <w:sz w:val="24"/>
                <w:szCs w:val="24"/>
              </w:rPr>
              <w:t>để áp dụng thống nhất.</w:t>
            </w:r>
          </w:p>
        </w:tc>
        <w:tc>
          <w:tcPr>
            <w:tcW w:w="4252" w:type="dxa"/>
          </w:tcPr>
          <w:p w14:paraId="1F35EE31" w14:textId="77777777" w:rsidR="00755E60" w:rsidRPr="0002360B" w:rsidRDefault="00755E60" w:rsidP="00B268EC">
            <w:pPr>
              <w:widowControl w:val="0"/>
              <w:tabs>
                <w:tab w:val="left" w:pos="5670"/>
              </w:tabs>
              <w:spacing w:before="0" w:after="0"/>
              <w:rPr>
                <w:b/>
                <w:szCs w:val="24"/>
                <w:lang w:val="pt-BR"/>
              </w:rPr>
            </w:pPr>
            <w:r w:rsidRPr="0059729F">
              <w:rPr>
                <w:b/>
                <w:szCs w:val="24"/>
                <w:lang w:val="pt-BR"/>
              </w:rPr>
              <w:t>Chưa tiếp thu</w:t>
            </w:r>
          </w:p>
          <w:p w14:paraId="72FF96DA" w14:textId="77777777" w:rsidR="00755E60" w:rsidRPr="0002360B" w:rsidRDefault="00755E60" w:rsidP="00B268EC">
            <w:pPr>
              <w:widowControl w:val="0"/>
              <w:tabs>
                <w:tab w:val="left" w:pos="5670"/>
              </w:tabs>
              <w:spacing w:before="0" w:after="0"/>
              <w:rPr>
                <w:szCs w:val="24"/>
                <w:lang w:val="pt-BR"/>
              </w:rPr>
            </w:pPr>
            <w:r w:rsidRPr="0059729F">
              <w:rPr>
                <w:szCs w:val="24"/>
                <w:lang w:val="pt-BR"/>
              </w:rPr>
              <w:t>DTTT đã quy định rõ ràng về năm xếp hạng nên không cần thiết bổ sung thêm về mặt giải thích từ ngữ.</w:t>
            </w:r>
          </w:p>
          <w:p w14:paraId="524B2D38" w14:textId="77777777" w:rsidR="00755E60" w:rsidRPr="0002360B" w:rsidRDefault="00755E60" w:rsidP="00B268EC">
            <w:pPr>
              <w:widowControl w:val="0"/>
              <w:tabs>
                <w:tab w:val="left" w:pos="5670"/>
              </w:tabs>
              <w:spacing w:before="0" w:after="0"/>
              <w:rPr>
                <w:szCs w:val="24"/>
                <w:lang w:val="pt-BR"/>
              </w:rPr>
            </w:pPr>
            <w:r w:rsidRPr="0059729F">
              <w:rPr>
                <w:szCs w:val="24"/>
                <w:lang w:val="pt-BR"/>
              </w:rPr>
              <w:t>Ví dụ: khi thực hiện xếp hạng các TCTD năm 2024 thì thời điểm 01/01/2024 là thời điểm 01/01 năm xếp hạng.</w:t>
            </w:r>
          </w:p>
          <w:p w14:paraId="29129948" w14:textId="77777777" w:rsidR="00755E60" w:rsidRPr="0002360B" w:rsidRDefault="00755E60" w:rsidP="00B268EC">
            <w:pPr>
              <w:widowControl w:val="0"/>
              <w:tabs>
                <w:tab w:val="left" w:pos="5670"/>
              </w:tabs>
              <w:spacing w:before="0" w:after="0"/>
              <w:rPr>
                <w:i/>
                <w:szCs w:val="24"/>
                <w:lang w:val="pt-BR"/>
              </w:rPr>
            </w:pPr>
            <w:r w:rsidRPr="0059729F">
              <w:rPr>
                <w:szCs w:val="24"/>
                <w:lang w:val="pt-BR"/>
              </w:rPr>
              <w:t xml:space="preserve">Tuy nhiên, tại DTTT được hoàn thiện sau khi thực hiện lấy ý kiến rộng rãi, mốc thời gian trên đã được điều chỉnh thành </w:t>
            </w:r>
            <w:r w:rsidRPr="0059729F">
              <w:rPr>
                <w:i/>
                <w:szCs w:val="24"/>
                <w:lang w:val="pt-BR"/>
              </w:rPr>
              <w:t>“trước 31/12 năm xếp hạng”</w:t>
            </w:r>
          </w:p>
        </w:tc>
      </w:tr>
      <w:tr w:rsidR="0002360B" w:rsidRPr="0002360B" w14:paraId="0B8CB3A2" w14:textId="77777777" w:rsidTr="00776E98">
        <w:trPr>
          <w:cantSplit/>
        </w:trPr>
        <w:tc>
          <w:tcPr>
            <w:tcW w:w="3828" w:type="dxa"/>
          </w:tcPr>
          <w:p w14:paraId="15CF88B8" w14:textId="77777777" w:rsidR="00755E60" w:rsidRPr="0002360B" w:rsidRDefault="00755E60" w:rsidP="00B268EC">
            <w:pPr>
              <w:widowControl w:val="0"/>
              <w:tabs>
                <w:tab w:val="left" w:pos="5670"/>
              </w:tabs>
              <w:spacing w:before="0" w:after="0"/>
              <w:rPr>
                <w:b/>
                <w:spacing w:val="-4"/>
                <w:szCs w:val="24"/>
                <w:lang w:val="pt-BR"/>
              </w:rPr>
            </w:pPr>
            <w:r w:rsidRPr="0059729F">
              <w:rPr>
                <w:b/>
                <w:spacing w:val="-4"/>
                <w:szCs w:val="24"/>
                <w:lang w:val="pt-BR"/>
              </w:rPr>
              <w:lastRenderedPageBreak/>
              <w:t>Khoản 10 Điều 1 DTTT sửa đổi, bổ sung Điều 16 Thông tư 52 (liên quan đến tiết i điểm a khoản 2 Điều 16 Thông tư 52)</w:t>
            </w:r>
          </w:p>
          <w:p w14:paraId="55BCAD32" w14:textId="77777777" w:rsidR="00755E60" w:rsidRPr="0002360B" w:rsidRDefault="00755E60" w:rsidP="00B268EC">
            <w:pPr>
              <w:widowControl w:val="0"/>
              <w:tabs>
                <w:tab w:val="left" w:pos="5670"/>
              </w:tabs>
              <w:spacing w:before="0" w:after="0"/>
              <w:rPr>
                <w:i/>
                <w:iCs/>
                <w:szCs w:val="24"/>
              </w:rPr>
            </w:pPr>
            <w:r w:rsidRPr="0059729F">
              <w:rPr>
                <w:i/>
                <w:iCs/>
                <w:szCs w:val="24"/>
              </w:rPr>
              <w:t>“a) Thời gian xác định hành vi vi phạm:</w:t>
            </w:r>
          </w:p>
          <w:p w14:paraId="424D3367" w14:textId="77777777" w:rsidR="00755E60" w:rsidRPr="0002360B" w:rsidRDefault="00755E60" w:rsidP="00B268EC">
            <w:pPr>
              <w:widowControl w:val="0"/>
              <w:tabs>
                <w:tab w:val="left" w:pos="5670"/>
              </w:tabs>
              <w:spacing w:before="0" w:after="0"/>
              <w:rPr>
                <w:i/>
                <w:iCs/>
                <w:szCs w:val="24"/>
              </w:rPr>
            </w:pPr>
            <w:r w:rsidRPr="0059729F">
              <w:rPr>
                <w:i/>
                <w:iCs/>
                <w:szCs w:val="24"/>
              </w:rPr>
              <w:t xml:space="preserve">(i) Các vi phạm được phát hiện trong vòng 04 (bốn) năm liền kề trước của năm xếp hạng nhưng chưa khắc phục xong trước 01/01 năm xếp hạng; </w:t>
            </w:r>
          </w:p>
          <w:p w14:paraId="26B9C0E6" w14:textId="77777777" w:rsidR="00755E60" w:rsidRPr="0002360B" w:rsidRDefault="00755E60" w:rsidP="00B268EC">
            <w:pPr>
              <w:widowControl w:val="0"/>
              <w:tabs>
                <w:tab w:val="left" w:pos="5670"/>
              </w:tabs>
              <w:spacing w:before="0" w:after="0"/>
              <w:rPr>
                <w:i/>
                <w:iCs/>
                <w:szCs w:val="24"/>
              </w:rPr>
            </w:pPr>
            <w:r w:rsidRPr="0059729F">
              <w:rPr>
                <w:i/>
                <w:iCs/>
                <w:szCs w:val="24"/>
              </w:rPr>
              <w:t>(ii) Các vi phạm được phát hiện trong năm xếp hạng;</w:t>
            </w:r>
          </w:p>
          <w:p w14:paraId="3F2A0029" w14:textId="77777777" w:rsidR="00755E60" w:rsidRPr="0002360B" w:rsidRDefault="00755E60" w:rsidP="00B268EC">
            <w:pPr>
              <w:widowControl w:val="0"/>
              <w:tabs>
                <w:tab w:val="left" w:pos="5670"/>
              </w:tabs>
              <w:spacing w:before="0" w:after="0"/>
              <w:rPr>
                <w:i/>
                <w:iCs/>
                <w:szCs w:val="24"/>
              </w:rPr>
            </w:pPr>
            <w:r w:rsidRPr="0059729F">
              <w:rPr>
                <w:i/>
                <w:iCs/>
                <w:szCs w:val="24"/>
              </w:rPr>
              <w:t>b) Hình thức xác định hành vi vi phạm:</w:t>
            </w:r>
          </w:p>
          <w:p w14:paraId="4954FF1C" w14:textId="77777777" w:rsidR="00755E60" w:rsidRPr="0002360B" w:rsidRDefault="00755E60" w:rsidP="00B268EC">
            <w:pPr>
              <w:widowControl w:val="0"/>
              <w:tabs>
                <w:tab w:val="left" w:pos="5670"/>
              </w:tabs>
              <w:spacing w:before="0" w:after="0"/>
              <w:rPr>
                <w:i/>
                <w:iCs/>
                <w:szCs w:val="24"/>
              </w:rPr>
            </w:pPr>
            <w:r w:rsidRPr="0059729F">
              <w:rPr>
                <w:i/>
                <w:iCs/>
                <w:szCs w:val="24"/>
              </w:rPr>
              <w:t xml:space="preserve">(i) Quyết định xử phạt vi phạm hành chính của các cấp có thẩm quyền; </w:t>
            </w:r>
          </w:p>
          <w:p w14:paraId="5CCBA352" w14:textId="77777777" w:rsidR="00755E60" w:rsidRPr="0002360B" w:rsidRDefault="00755E60" w:rsidP="00B268EC">
            <w:pPr>
              <w:widowControl w:val="0"/>
              <w:tabs>
                <w:tab w:val="left" w:pos="5670"/>
              </w:tabs>
              <w:spacing w:before="0" w:after="0"/>
              <w:rPr>
                <w:b/>
                <w:spacing w:val="-4"/>
                <w:szCs w:val="24"/>
                <w:lang w:val="pt-BR"/>
              </w:rPr>
            </w:pPr>
            <w:r w:rsidRPr="0059729F">
              <w:rPr>
                <w:i/>
                <w:iCs/>
                <w:szCs w:val="24"/>
              </w:rPr>
              <w:t xml:space="preserve">(ii) </w:t>
            </w:r>
            <w:r w:rsidRPr="0059729F">
              <w:rPr>
                <w:i/>
                <w:iCs/>
                <w:szCs w:val="24"/>
                <w:u w:val="single"/>
              </w:rPr>
              <w:t xml:space="preserve">Biên bản xử phạt </w:t>
            </w:r>
            <w:r w:rsidRPr="0059729F">
              <w:rPr>
                <w:i/>
                <w:iCs/>
                <w:szCs w:val="24"/>
              </w:rPr>
              <w:t>vi phạm hành chính của các cấp có thẩm quyền;</w:t>
            </w:r>
          </w:p>
        </w:tc>
        <w:tc>
          <w:tcPr>
            <w:tcW w:w="1730" w:type="dxa"/>
            <w:vAlign w:val="center"/>
          </w:tcPr>
          <w:p w14:paraId="0B456BF1" w14:textId="77777777" w:rsidR="00755E60" w:rsidRPr="0002360B" w:rsidRDefault="00755E60" w:rsidP="00B268EC">
            <w:pPr>
              <w:widowControl w:val="0"/>
              <w:tabs>
                <w:tab w:val="left" w:pos="5670"/>
              </w:tabs>
              <w:spacing w:before="0" w:after="0"/>
              <w:ind w:right="34" w:hanging="1"/>
              <w:jc w:val="left"/>
              <w:rPr>
                <w:szCs w:val="24"/>
                <w:lang w:val="pt-BR"/>
              </w:rPr>
            </w:pPr>
            <w:r w:rsidRPr="0059729F">
              <w:rPr>
                <w:szCs w:val="24"/>
                <w:lang w:val="pt-BR"/>
              </w:rPr>
              <w:t>NHTMCP Hàng hải</w:t>
            </w:r>
          </w:p>
        </w:tc>
        <w:tc>
          <w:tcPr>
            <w:tcW w:w="5358" w:type="dxa"/>
          </w:tcPr>
          <w:p w14:paraId="014AA64A" w14:textId="77777777" w:rsidR="00755E60" w:rsidRPr="0059729F" w:rsidRDefault="00755E60" w:rsidP="00B268EC">
            <w:pPr>
              <w:pStyle w:val="TableParagraph"/>
              <w:tabs>
                <w:tab w:val="left" w:pos="5670"/>
              </w:tabs>
              <w:ind w:left="0" w:right="95"/>
              <w:rPr>
                <w:spacing w:val="-2"/>
                <w:sz w:val="24"/>
                <w:szCs w:val="24"/>
              </w:rPr>
            </w:pPr>
            <w:r w:rsidRPr="0059729F">
              <w:rPr>
                <w:sz w:val="24"/>
                <w:szCs w:val="24"/>
                <w:lang w:val="en-US"/>
              </w:rPr>
              <w:t xml:space="preserve">- </w:t>
            </w:r>
            <w:r w:rsidRPr="0059729F">
              <w:rPr>
                <w:sz w:val="24"/>
                <w:szCs w:val="24"/>
              </w:rPr>
              <w:t>Vì không thể xử phạt vi phạm hành chính do đã hết thời hiệu, do đó đề nghị sửa tên biên bản thành:</w:t>
            </w:r>
            <w:r w:rsidRPr="0059729F">
              <w:rPr>
                <w:sz w:val="24"/>
                <w:szCs w:val="24"/>
                <w:lang w:val="en-US"/>
              </w:rPr>
              <w:t xml:space="preserve"> “</w:t>
            </w:r>
            <w:r w:rsidRPr="0059729F">
              <w:rPr>
                <w:i/>
                <w:sz w:val="24"/>
                <w:szCs w:val="24"/>
              </w:rPr>
              <w:t>Biên</w:t>
            </w:r>
            <w:r w:rsidRPr="0059729F">
              <w:rPr>
                <w:i/>
                <w:spacing w:val="37"/>
                <w:sz w:val="24"/>
                <w:szCs w:val="24"/>
              </w:rPr>
              <w:t xml:space="preserve"> </w:t>
            </w:r>
            <w:r w:rsidRPr="0059729F">
              <w:rPr>
                <w:i/>
                <w:sz w:val="24"/>
                <w:szCs w:val="24"/>
              </w:rPr>
              <w:t>bản</w:t>
            </w:r>
            <w:r w:rsidRPr="0059729F">
              <w:rPr>
                <w:i/>
                <w:spacing w:val="38"/>
                <w:sz w:val="24"/>
                <w:szCs w:val="24"/>
              </w:rPr>
              <w:t xml:space="preserve"> </w:t>
            </w:r>
            <w:r w:rsidRPr="0059729F">
              <w:rPr>
                <w:i/>
                <w:sz w:val="24"/>
                <w:szCs w:val="24"/>
              </w:rPr>
              <w:t>vi</w:t>
            </w:r>
            <w:r w:rsidRPr="0059729F">
              <w:rPr>
                <w:i/>
                <w:spacing w:val="37"/>
                <w:sz w:val="24"/>
                <w:szCs w:val="24"/>
              </w:rPr>
              <w:t xml:space="preserve"> </w:t>
            </w:r>
            <w:r w:rsidRPr="0059729F">
              <w:rPr>
                <w:i/>
                <w:sz w:val="24"/>
                <w:szCs w:val="24"/>
              </w:rPr>
              <w:t>phạm</w:t>
            </w:r>
            <w:r w:rsidRPr="0059729F">
              <w:rPr>
                <w:i/>
                <w:spacing w:val="38"/>
                <w:sz w:val="24"/>
                <w:szCs w:val="24"/>
              </w:rPr>
              <w:t xml:space="preserve"> </w:t>
            </w:r>
            <w:r w:rsidRPr="0059729F">
              <w:rPr>
                <w:i/>
                <w:sz w:val="24"/>
                <w:szCs w:val="24"/>
              </w:rPr>
              <w:t>hành</w:t>
            </w:r>
            <w:r w:rsidRPr="0059729F">
              <w:rPr>
                <w:i/>
                <w:spacing w:val="37"/>
                <w:sz w:val="24"/>
                <w:szCs w:val="24"/>
              </w:rPr>
              <w:t xml:space="preserve"> </w:t>
            </w:r>
            <w:r w:rsidRPr="0059729F">
              <w:rPr>
                <w:i/>
                <w:sz w:val="24"/>
                <w:szCs w:val="24"/>
              </w:rPr>
              <w:t>chính</w:t>
            </w:r>
            <w:r w:rsidRPr="0059729F">
              <w:rPr>
                <w:i/>
                <w:spacing w:val="38"/>
                <w:sz w:val="24"/>
                <w:szCs w:val="24"/>
              </w:rPr>
              <w:t xml:space="preserve"> </w:t>
            </w:r>
            <w:r w:rsidRPr="0059729F">
              <w:rPr>
                <w:i/>
                <w:spacing w:val="-5"/>
                <w:sz w:val="24"/>
                <w:szCs w:val="24"/>
              </w:rPr>
              <w:t>củ</w:t>
            </w:r>
            <w:r w:rsidRPr="0059729F">
              <w:rPr>
                <w:i/>
                <w:sz w:val="24"/>
                <w:szCs w:val="24"/>
                <w:lang w:val="en-US"/>
              </w:rPr>
              <w:t xml:space="preserve">a </w:t>
            </w:r>
            <w:r w:rsidRPr="0059729F">
              <w:rPr>
                <w:i/>
                <w:sz w:val="24"/>
                <w:szCs w:val="24"/>
              </w:rPr>
              <w:t>các</w:t>
            </w:r>
            <w:r w:rsidRPr="0059729F">
              <w:rPr>
                <w:i/>
                <w:spacing w:val="-1"/>
                <w:sz w:val="24"/>
                <w:szCs w:val="24"/>
              </w:rPr>
              <w:t xml:space="preserve"> </w:t>
            </w:r>
            <w:r w:rsidRPr="0059729F">
              <w:rPr>
                <w:i/>
                <w:sz w:val="24"/>
                <w:szCs w:val="24"/>
              </w:rPr>
              <w:t>cấp</w:t>
            </w:r>
            <w:r w:rsidRPr="0059729F">
              <w:rPr>
                <w:i/>
                <w:spacing w:val="-1"/>
                <w:sz w:val="24"/>
                <w:szCs w:val="24"/>
              </w:rPr>
              <w:t xml:space="preserve"> </w:t>
            </w:r>
            <w:r w:rsidRPr="0059729F">
              <w:rPr>
                <w:i/>
                <w:sz w:val="24"/>
                <w:szCs w:val="24"/>
              </w:rPr>
              <w:t>có</w:t>
            </w:r>
            <w:r w:rsidRPr="0059729F">
              <w:rPr>
                <w:i/>
                <w:spacing w:val="-2"/>
                <w:sz w:val="24"/>
                <w:szCs w:val="24"/>
              </w:rPr>
              <w:t xml:space="preserve"> </w:t>
            </w:r>
            <w:r w:rsidRPr="0059729F">
              <w:rPr>
                <w:i/>
                <w:sz w:val="24"/>
                <w:szCs w:val="24"/>
              </w:rPr>
              <w:t>thẩm</w:t>
            </w:r>
            <w:r w:rsidRPr="0059729F">
              <w:rPr>
                <w:i/>
                <w:spacing w:val="-1"/>
                <w:sz w:val="24"/>
                <w:szCs w:val="24"/>
              </w:rPr>
              <w:t xml:space="preserve"> </w:t>
            </w:r>
            <w:r w:rsidRPr="0059729F">
              <w:rPr>
                <w:i/>
                <w:spacing w:val="-2"/>
                <w:sz w:val="24"/>
                <w:szCs w:val="24"/>
              </w:rPr>
              <w:t>quyền”</w:t>
            </w:r>
            <w:r w:rsidRPr="0059729F">
              <w:rPr>
                <w:spacing w:val="-2"/>
                <w:sz w:val="24"/>
                <w:szCs w:val="24"/>
              </w:rPr>
              <w:t>.</w:t>
            </w:r>
          </w:p>
          <w:p w14:paraId="27DA1F07" w14:textId="77777777" w:rsidR="00755E60" w:rsidRPr="0059729F" w:rsidRDefault="00755E60" w:rsidP="00B268EC">
            <w:pPr>
              <w:pStyle w:val="TableParagraph"/>
              <w:tabs>
                <w:tab w:val="left" w:pos="5670"/>
              </w:tabs>
              <w:ind w:left="0"/>
              <w:rPr>
                <w:sz w:val="24"/>
                <w:szCs w:val="24"/>
              </w:rPr>
            </w:pPr>
            <w:r w:rsidRPr="0059729F">
              <w:rPr>
                <w:sz w:val="24"/>
                <w:szCs w:val="24"/>
                <w:lang w:val="en-US"/>
              </w:rPr>
              <w:t xml:space="preserve">- </w:t>
            </w:r>
            <w:r w:rsidRPr="0059729F">
              <w:rPr>
                <w:sz w:val="24"/>
                <w:szCs w:val="24"/>
              </w:rPr>
              <w:t>Điểm</w:t>
            </w:r>
            <w:r w:rsidRPr="0059729F">
              <w:rPr>
                <w:spacing w:val="-2"/>
                <w:sz w:val="24"/>
                <w:szCs w:val="24"/>
              </w:rPr>
              <w:t xml:space="preserve"> </w:t>
            </w:r>
            <w:r w:rsidRPr="0059729F">
              <w:rPr>
                <w:sz w:val="24"/>
                <w:szCs w:val="24"/>
              </w:rPr>
              <w:t>b</w:t>
            </w:r>
            <w:r w:rsidRPr="0059729F">
              <w:rPr>
                <w:spacing w:val="-2"/>
                <w:sz w:val="24"/>
                <w:szCs w:val="24"/>
              </w:rPr>
              <w:t xml:space="preserve"> </w:t>
            </w:r>
            <w:r w:rsidRPr="0059729F">
              <w:rPr>
                <w:sz w:val="24"/>
                <w:szCs w:val="24"/>
              </w:rPr>
              <w:t>này</w:t>
            </w:r>
            <w:r w:rsidRPr="0059729F">
              <w:rPr>
                <w:spacing w:val="-2"/>
                <w:sz w:val="24"/>
                <w:szCs w:val="24"/>
              </w:rPr>
              <w:t xml:space="preserve"> </w:t>
            </w:r>
            <w:r w:rsidRPr="0059729F">
              <w:rPr>
                <w:sz w:val="24"/>
                <w:szCs w:val="24"/>
              </w:rPr>
              <w:t>ghi</w:t>
            </w:r>
            <w:r w:rsidRPr="0059729F">
              <w:rPr>
                <w:spacing w:val="-2"/>
                <w:sz w:val="24"/>
                <w:szCs w:val="24"/>
              </w:rPr>
              <w:t xml:space="preserve"> </w:t>
            </w:r>
            <w:r w:rsidRPr="0059729F">
              <w:rPr>
                <w:sz w:val="24"/>
                <w:szCs w:val="24"/>
              </w:rPr>
              <w:t>trùng</w:t>
            </w:r>
            <w:r w:rsidRPr="0059729F">
              <w:rPr>
                <w:spacing w:val="-2"/>
                <w:sz w:val="24"/>
                <w:szCs w:val="24"/>
              </w:rPr>
              <w:t xml:space="preserve"> </w:t>
            </w:r>
            <w:r w:rsidRPr="0059729F">
              <w:rPr>
                <w:sz w:val="24"/>
                <w:szCs w:val="24"/>
              </w:rPr>
              <w:t>hai</w:t>
            </w:r>
            <w:r w:rsidRPr="0059729F">
              <w:rPr>
                <w:spacing w:val="-2"/>
                <w:sz w:val="24"/>
                <w:szCs w:val="24"/>
              </w:rPr>
              <w:t xml:space="preserve"> </w:t>
            </w:r>
            <w:r w:rsidRPr="0059729F">
              <w:rPr>
                <w:sz w:val="24"/>
                <w:szCs w:val="24"/>
              </w:rPr>
              <w:t>Tiết</w:t>
            </w:r>
            <w:r w:rsidRPr="0059729F">
              <w:rPr>
                <w:spacing w:val="-2"/>
                <w:sz w:val="24"/>
                <w:szCs w:val="24"/>
              </w:rPr>
              <w:t xml:space="preserve"> </w:t>
            </w:r>
            <w:r w:rsidRPr="0059729F">
              <w:rPr>
                <w:sz w:val="24"/>
                <w:szCs w:val="24"/>
              </w:rPr>
              <w:t>(ii),</w:t>
            </w:r>
            <w:r w:rsidRPr="0059729F">
              <w:rPr>
                <w:spacing w:val="-2"/>
                <w:sz w:val="24"/>
                <w:szCs w:val="24"/>
              </w:rPr>
              <w:t xml:space="preserve"> </w:t>
            </w:r>
            <w:r w:rsidRPr="0059729F">
              <w:rPr>
                <w:sz w:val="24"/>
                <w:szCs w:val="24"/>
              </w:rPr>
              <w:t>đề nghị Cơ quan soạn thảo điều chỉnh lại để thống nhất.</w:t>
            </w:r>
          </w:p>
        </w:tc>
        <w:tc>
          <w:tcPr>
            <w:tcW w:w="4252" w:type="dxa"/>
          </w:tcPr>
          <w:p w14:paraId="75E52795" w14:textId="77777777" w:rsidR="00755E60" w:rsidRPr="0002360B" w:rsidRDefault="00755E60" w:rsidP="00B268EC">
            <w:pPr>
              <w:widowControl w:val="0"/>
              <w:tabs>
                <w:tab w:val="left" w:pos="5670"/>
              </w:tabs>
              <w:spacing w:before="0" w:after="0"/>
              <w:rPr>
                <w:b/>
                <w:szCs w:val="24"/>
                <w:lang w:val="pt-BR"/>
              </w:rPr>
            </w:pPr>
            <w:r w:rsidRPr="0059729F">
              <w:rPr>
                <w:b/>
                <w:szCs w:val="24"/>
                <w:lang w:val="pt-BR"/>
              </w:rPr>
              <w:t>Tiếp thu</w:t>
            </w:r>
          </w:p>
          <w:p w14:paraId="732C74E0" w14:textId="77777777" w:rsidR="00755E60" w:rsidRPr="0002360B" w:rsidRDefault="00755E60" w:rsidP="00B268EC">
            <w:pPr>
              <w:widowControl w:val="0"/>
              <w:tabs>
                <w:tab w:val="left" w:pos="5670"/>
              </w:tabs>
              <w:spacing w:before="0" w:after="0"/>
              <w:rPr>
                <w:szCs w:val="24"/>
                <w:lang w:val="pt-BR"/>
              </w:rPr>
            </w:pPr>
          </w:p>
        </w:tc>
      </w:tr>
      <w:tr w:rsidR="0002360B" w:rsidRPr="0002360B" w14:paraId="4FB899CB" w14:textId="77777777" w:rsidTr="00776E98">
        <w:trPr>
          <w:cantSplit/>
        </w:trPr>
        <w:tc>
          <w:tcPr>
            <w:tcW w:w="3828" w:type="dxa"/>
          </w:tcPr>
          <w:p w14:paraId="2FD403E0" w14:textId="77777777" w:rsidR="00755E60" w:rsidRPr="0002360B" w:rsidRDefault="00755E60" w:rsidP="00B268EC">
            <w:pPr>
              <w:widowControl w:val="0"/>
              <w:tabs>
                <w:tab w:val="left" w:pos="5670"/>
              </w:tabs>
              <w:spacing w:before="0" w:after="0"/>
              <w:rPr>
                <w:b/>
                <w:spacing w:val="-4"/>
                <w:szCs w:val="24"/>
                <w:lang w:val="pt-BR"/>
              </w:rPr>
            </w:pPr>
            <w:r w:rsidRPr="0059729F">
              <w:rPr>
                <w:b/>
                <w:spacing w:val="-4"/>
                <w:szCs w:val="24"/>
                <w:lang w:val="pt-BR"/>
              </w:rPr>
              <w:lastRenderedPageBreak/>
              <w:t>Khoản 10 Điều 1 DTTT sửa đổi, bổ sung Điều 16 Thông tư 52 (liên quan đến tiết i điểm a khoản 2 Điều 16 Thông tư 52)</w:t>
            </w:r>
          </w:p>
          <w:p w14:paraId="73A580CA" w14:textId="77777777" w:rsidR="00755E60" w:rsidRPr="0002360B" w:rsidRDefault="00755E60" w:rsidP="00B268EC">
            <w:pPr>
              <w:widowControl w:val="0"/>
              <w:tabs>
                <w:tab w:val="left" w:pos="5670"/>
              </w:tabs>
              <w:spacing w:before="0" w:after="0"/>
              <w:rPr>
                <w:i/>
                <w:iCs/>
                <w:szCs w:val="24"/>
              </w:rPr>
            </w:pPr>
            <w:r w:rsidRPr="0059729F">
              <w:rPr>
                <w:i/>
                <w:iCs/>
                <w:szCs w:val="24"/>
              </w:rPr>
              <w:t>“a) Thời gian xác định hành vi vi phạm:</w:t>
            </w:r>
          </w:p>
          <w:p w14:paraId="2F4AAC1C" w14:textId="77777777" w:rsidR="00755E60" w:rsidRPr="0002360B" w:rsidRDefault="00755E60" w:rsidP="00B268EC">
            <w:pPr>
              <w:widowControl w:val="0"/>
              <w:tabs>
                <w:tab w:val="left" w:pos="5670"/>
              </w:tabs>
              <w:spacing w:before="0" w:after="0"/>
              <w:rPr>
                <w:i/>
                <w:iCs/>
                <w:szCs w:val="24"/>
              </w:rPr>
            </w:pPr>
            <w:r w:rsidRPr="0059729F">
              <w:rPr>
                <w:i/>
                <w:iCs/>
                <w:szCs w:val="24"/>
              </w:rPr>
              <w:t xml:space="preserve">(i) Các vi phạm được phát hiện trong vòng 04 (bốn) năm liền kề trước của năm xếp hạng nhưng </w:t>
            </w:r>
            <w:r w:rsidRPr="0059729F">
              <w:rPr>
                <w:b/>
                <w:i/>
                <w:iCs/>
                <w:szCs w:val="24"/>
                <w:u w:val="single"/>
              </w:rPr>
              <w:t>chưa khắc phục xong trước 01/01 năm xếp hạng</w:t>
            </w:r>
            <w:r w:rsidRPr="0059729F">
              <w:rPr>
                <w:i/>
                <w:iCs/>
                <w:szCs w:val="24"/>
              </w:rPr>
              <w:t xml:space="preserve">; </w:t>
            </w:r>
          </w:p>
          <w:p w14:paraId="5EB98935" w14:textId="77777777" w:rsidR="00755E60" w:rsidRPr="0002360B" w:rsidRDefault="00755E60" w:rsidP="00B268EC">
            <w:pPr>
              <w:widowControl w:val="0"/>
              <w:tabs>
                <w:tab w:val="left" w:pos="5670"/>
              </w:tabs>
              <w:spacing w:before="0" w:after="0"/>
              <w:rPr>
                <w:i/>
                <w:iCs/>
                <w:szCs w:val="24"/>
              </w:rPr>
            </w:pPr>
            <w:r w:rsidRPr="0059729F">
              <w:rPr>
                <w:i/>
                <w:iCs/>
                <w:szCs w:val="24"/>
              </w:rPr>
              <w:t>(ii) Các vi phạm được phát hiện trong năm xếp hạng;</w:t>
            </w:r>
          </w:p>
          <w:p w14:paraId="0ED1AAB2" w14:textId="77777777" w:rsidR="00755E60" w:rsidRPr="0002360B" w:rsidRDefault="00755E60" w:rsidP="00B268EC">
            <w:pPr>
              <w:widowControl w:val="0"/>
              <w:tabs>
                <w:tab w:val="left" w:pos="5670"/>
              </w:tabs>
              <w:spacing w:before="0" w:after="0"/>
              <w:rPr>
                <w:i/>
                <w:iCs/>
                <w:szCs w:val="24"/>
              </w:rPr>
            </w:pPr>
            <w:r w:rsidRPr="0059729F">
              <w:rPr>
                <w:i/>
                <w:iCs/>
                <w:szCs w:val="24"/>
              </w:rPr>
              <w:t>b) Hình thức xác định hành vi vi phạm:</w:t>
            </w:r>
          </w:p>
          <w:p w14:paraId="1C8E2C7B" w14:textId="77777777" w:rsidR="00755E60" w:rsidRPr="0002360B" w:rsidRDefault="00755E60" w:rsidP="00B268EC">
            <w:pPr>
              <w:widowControl w:val="0"/>
              <w:tabs>
                <w:tab w:val="left" w:pos="5670"/>
              </w:tabs>
              <w:spacing w:before="0" w:after="0"/>
              <w:rPr>
                <w:i/>
                <w:iCs/>
                <w:szCs w:val="24"/>
              </w:rPr>
            </w:pPr>
            <w:r w:rsidRPr="0059729F">
              <w:rPr>
                <w:i/>
                <w:iCs/>
                <w:szCs w:val="24"/>
              </w:rPr>
              <w:t xml:space="preserve">(i) Quyết định xử phạt vi phạm hành chính của các cấp có thẩm quyền; </w:t>
            </w:r>
          </w:p>
          <w:p w14:paraId="154D3EE8" w14:textId="77777777" w:rsidR="00755E60" w:rsidRPr="0002360B" w:rsidRDefault="00755E60" w:rsidP="00B268EC">
            <w:pPr>
              <w:widowControl w:val="0"/>
              <w:tabs>
                <w:tab w:val="left" w:pos="5670"/>
              </w:tabs>
              <w:spacing w:before="0" w:after="0"/>
              <w:rPr>
                <w:i/>
                <w:iCs/>
                <w:szCs w:val="24"/>
              </w:rPr>
            </w:pPr>
            <w:r w:rsidRPr="0059729F">
              <w:rPr>
                <w:i/>
                <w:iCs/>
                <w:szCs w:val="24"/>
              </w:rPr>
              <w:t>(ii) Biên bản xử phạt vi phạm hành chính của các cấp có thẩm quyền;</w:t>
            </w:r>
          </w:p>
          <w:p w14:paraId="4F73040D" w14:textId="77777777" w:rsidR="00755E60" w:rsidRPr="0002360B" w:rsidRDefault="00755E60" w:rsidP="00B268EC">
            <w:pPr>
              <w:widowControl w:val="0"/>
              <w:tabs>
                <w:tab w:val="left" w:pos="5670"/>
              </w:tabs>
              <w:spacing w:before="0" w:after="0"/>
              <w:rPr>
                <w:i/>
                <w:iCs/>
                <w:szCs w:val="24"/>
              </w:rPr>
            </w:pPr>
            <w:r w:rsidRPr="0059729F">
              <w:rPr>
                <w:i/>
                <w:iCs/>
                <w:szCs w:val="24"/>
              </w:rPr>
              <w:t>(iii) Kết quả giám sát, kết luận thanh tra, kiểm tra, kết quả kiểm toán của cơ quan, tổ chức có thẩm quyền theo quy định của pháp luật (bao gồm Ngân hàng Nhà nước, các cơ quan quản lý nhà nước khác và công ty kiểm toán độc lập), trừ các vi phạm đã có quyết định, biên bản xử phạt vi phạm hành chính theo quy định tại tiết (i), (ii) điểm b khoản 2 Điều này;</w:t>
            </w:r>
          </w:p>
          <w:p w14:paraId="0A6F424A" w14:textId="77777777" w:rsidR="00755E60" w:rsidRPr="0002360B" w:rsidRDefault="00755E60" w:rsidP="00B268EC">
            <w:pPr>
              <w:widowControl w:val="0"/>
              <w:tabs>
                <w:tab w:val="left" w:pos="5670"/>
              </w:tabs>
              <w:spacing w:before="0" w:after="0"/>
              <w:rPr>
                <w:b/>
                <w:spacing w:val="-4"/>
                <w:szCs w:val="24"/>
                <w:lang w:val="pt-BR"/>
              </w:rPr>
            </w:pPr>
            <w:r w:rsidRPr="0059729F">
              <w:rPr>
                <w:i/>
                <w:iCs/>
                <w:szCs w:val="24"/>
              </w:rPr>
              <w:t xml:space="preserve">(iv) Vi phạm do tổ chức tín dụng, chi nhánh ngân hàng nước ngoài tự phát hiện, báo cáo và </w:t>
            </w:r>
            <w:r w:rsidRPr="0059729F">
              <w:rPr>
                <w:b/>
                <w:i/>
                <w:iCs/>
                <w:szCs w:val="24"/>
                <w:u w:val="single"/>
              </w:rPr>
              <w:t>chưa khắc phục xong trước 01/01 năm xếp hạng</w:t>
            </w:r>
            <w:r w:rsidRPr="0059729F">
              <w:rPr>
                <w:i/>
                <w:iCs/>
                <w:szCs w:val="24"/>
              </w:rPr>
              <w:t>.”</w:t>
            </w:r>
          </w:p>
        </w:tc>
        <w:tc>
          <w:tcPr>
            <w:tcW w:w="1730" w:type="dxa"/>
            <w:vAlign w:val="center"/>
          </w:tcPr>
          <w:p w14:paraId="694EC302" w14:textId="77777777" w:rsidR="00755E60" w:rsidRPr="0002360B" w:rsidRDefault="00755E60" w:rsidP="00B268EC">
            <w:pPr>
              <w:widowControl w:val="0"/>
              <w:tabs>
                <w:tab w:val="left" w:pos="5670"/>
              </w:tabs>
              <w:spacing w:before="0" w:after="0"/>
              <w:ind w:right="34" w:hanging="1"/>
              <w:jc w:val="left"/>
              <w:rPr>
                <w:szCs w:val="24"/>
                <w:lang w:val="pt-BR"/>
              </w:rPr>
            </w:pPr>
            <w:r w:rsidRPr="0059729F">
              <w:rPr>
                <w:szCs w:val="24"/>
                <w:lang w:val="pt-BR"/>
              </w:rPr>
              <w:t>NHTMCP Quốc dân</w:t>
            </w:r>
          </w:p>
        </w:tc>
        <w:tc>
          <w:tcPr>
            <w:tcW w:w="5358" w:type="dxa"/>
          </w:tcPr>
          <w:p w14:paraId="0D9C116D"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Đề xuất NHNN:</w:t>
            </w:r>
          </w:p>
          <w:p w14:paraId="37553314"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 Điều chỉnh nội dung “</w:t>
            </w:r>
            <w:r w:rsidRPr="0059729F">
              <w:rPr>
                <w:b/>
                <w:i/>
                <w:sz w:val="24"/>
              </w:rPr>
              <w:t>chưa khắc phục xong trước 01/01 năm xếp hạng</w:t>
            </w:r>
            <w:r w:rsidRPr="0059729F">
              <w:rPr>
                <w:sz w:val="24"/>
              </w:rPr>
              <w:t>” thành “</w:t>
            </w:r>
            <w:r w:rsidRPr="0059729F">
              <w:rPr>
                <w:b/>
                <w:i/>
                <w:sz w:val="24"/>
              </w:rPr>
              <w:t>chưa khắc phục xong trước 31/12 năm xếp hạng</w:t>
            </w:r>
            <w:r w:rsidRPr="0059729F">
              <w:rPr>
                <w:sz w:val="24"/>
              </w:rPr>
              <w:t>”: Nhằm phản ánh đúng thực trạng tại thời điểm kết thúc năm xếp hàng về tình hình sức khỏe của ngân hàng.</w:t>
            </w:r>
          </w:p>
          <w:p w14:paraId="5A954DBF" w14:textId="77777777" w:rsidR="00755E60" w:rsidRPr="0002360B" w:rsidRDefault="00755E60" w:rsidP="00B268EC">
            <w:pPr>
              <w:widowControl w:val="0"/>
              <w:tabs>
                <w:tab w:val="left" w:pos="5670"/>
              </w:tabs>
              <w:spacing w:before="0" w:after="0"/>
              <w:rPr>
                <w:b/>
                <w:iCs/>
                <w:szCs w:val="24"/>
              </w:rPr>
            </w:pPr>
            <w:r w:rsidRPr="0059729F">
              <w:rPr>
                <w:szCs w:val="24"/>
              </w:rPr>
              <w:t>- Tại mục b nêu trên, để đảm bảo áp dụng thống nhất và phản ánh đúng thực trạng sức khỏe của ngân hàng, kiến nghị quy định hình thức xác định hành vi vi phạm bao gồm: Quyết định xử phạt vi phạm hành chính/Biên bản xử phạt vi phạm hành chính/Kết luận thanh tra, kiểm tra của NHNN; kết quả kiểm toán độc lập; và các vi phạm do TCTD tự phát hiện, báo cáo.</w:t>
            </w:r>
          </w:p>
        </w:tc>
        <w:tc>
          <w:tcPr>
            <w:tcW w:w="4252" w:type="dxa"/>
          </w:tcPr>
          <w:p w14:paraId="2CD47D2B" w14:textId="77777777" w:rsidR="00755E60" w:rsidRPr="0002360B" w:rsidRDefault="00755E60" w:rsidP="00B268EC">
            <w:pPr>
              <w:widowControl w:val="0"/>
              <w:tabs>
                <w:tab w:val="left" w:pos="5670"/>
              </w:tabs>
              <w:spacing w:before="0" w:after="0"/>
              <w:rPr>
                <w:szCs w:val="24"/>
              </w:rPr>
            </w:pPr>
            <w:r w:rsidRPr="0059729F">
              <w:rPr>
                <w:b/>
                <w:szCs w:val="24"/>
                <w:lang w:val="pt-BR"/>
              </w:rPr>
              <w:t xml:space="preserve">Tiếp thu </w:t>
            </w:r>
            <w:r w:rsidRPr="0059729F">
              <w:rPr>
                <w:szCs w:val="24"/>
                <w:lang w:val="pt-BR"/>
              </w:rPr>
              <w:t>đối với đề xuất điều chỉnh nội dung “</w:t>
            </w:r>
            <w:r w:rsidRPr="0059729F">
              <w:rPr>
                <w:b/>
                <w:i/>
                <w:szCs w:val="24"/>
              </w:rPr>
              <w:t>chưa khắc phục xong trước 01/01 năm xếp hạng</w:t>
            </w:r>
            <w:r w:rsidRPr="0059729F">
              <w:rPr>
                <w:szCs w:val="24"/>
              </w:rPr>
              <w:t>” thành “</w:t>
            </w:r>
            <w:r w:rsidRPr="0059729F">
              <w:rPr>
                <w:b/>
                <w:i/>
                <w:szCs w:val="24"/>
              </w:rPr>
              <w:t>chưa khắc phục xong trước 31/12 năm xếp hạng</w:t>
            </w:r>
            <w:r w:rsidRPr="0059729F">
              <w:rPr>
                <w:szCs w:val="24"/>
              </w:rPr>
              <w:t>”:</w:t>
            </w:r>
          </w:p>
          <w:p w14:paraId="6ED299DC" w14:textId="77777777" w:rsidR="00755E60" w:rsidRPr="0002360B" w:rsidRDefault="00755E60" w:rsidP="00B268EC">
            <w:pPr>
              <w:widowControl w:val="0"/>
              <w:tabs>
                <w:tab w:val="left" w:pos="5670"/>
              </w:tabs>
              <w:spacing w:before="0" w:after="0"/>
              <w:ind w:left="-41"/>
              <w:rPr>
                <w:szCs w:val="24"/>
                <w:lang w:val="pt-BR"/>
              </w:rPr>
            </w:pPr>
          </w:p>
          <w:p w14:paraId="20657274" w14:textId="77777777" w:rsidR="00E57604" w:rsidRPr="0002360B" w:rsidRDefault="00E57604" w:rsidP="00B268EC">
            <w:pPr>
              <w:widowControl w:val="0"/>
              <w:tabs>
                <w:tab w:val="left" w:pos="5670"/>
              </w:tabs>
              <w:spacing w:before="0" w:after="0"/>
              <w:rPr>
                <w:szCs w:val="24"/>
              </w:rPr>
            </w:pPr>
          </w:p>
          <w:p w14:paraId="6EE48469" w14:textId="7378A411" w:rsidR="00755E60" w:rsidRPr="0002360B" w:rsidRDefault="00755E60" w:rsidP="00B268EC">
            <w:pPr>
              <w:widowControl w:val="0"/>
              <w:tabs>
                <w:tab w:val="left" w:pos="5670"/>
              </w:tabs>
              <w:spacing w:before="0" w:after="0"/>
              <w:rPr>
                <w:szCs w:val="24"/>
                <w:lang w:val="pt-BR"/>
              </w:rPr>
            </w:pPr>
            <w:r w:rsidRPr="0059729F">
              <w:rPr>
                <w:szCs w:val="24"/>
              </w:rPr>
              <w:t>- Liên quan đến đề xuất quy định hình thức xác định hành vi vi phạm bao gồm: Quyết định xử phạt vi phạm hành chính/Biên bản xử phạt vi phạm hành chính/Kết luận thanh tra, kiểm tra của NHNN; kết quả kiểm toán độc lập; và các vi phạm do TCTD tự phát hiện, báo cáo: Hiện nay, kết quả của hoạt động giám sát an toàn vi mô là khuyến nghị, cảnh báo và các biện pháp xử lý trên cơ sở kết quả giám sát. Đây là nguồn thông tin quan trọng để xác định các hành vi vi phạm. Do đó, k</w:t>
            </w:r>
            <w:r w:rsidR="00E57604" w:rsidRPr="0059729F">
              <w:rPr>
                <w:szCs w:val="24"/>
              </w:rPr>
              <w:t>hông</w:t>
            </w:r>
            <w:r w:rsidRPr="0059729F">
              <w:rPr>
                <w:szCs w:val="24"/>
              </w:rPr>
              <w:t xml:space="preserve"> thể lược bỏ nội dung này trong các hình thức xác định hành vi vi phạm.</w:t>
            </w:r>
          </w:p>
        </w:tc>
      </w:tr>
      <w:tr w:rsidR="0002360B" w:rsidRPr="0002360B" w14:paraId="154B491B" w14:textId="77777777" w:rsidTr="00776E98">
        <w:trPr>
          <w:cantSplit/>
        </w:trPr>
        <w:tc>
          <w:tcPr>
            <w:tcW w:w="3828" w:type="dxa"/>
          </w:tcPr>
          <w:p w14:paraId="77F0DF14"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6EAAF667" w14:textId="77777777" w:rsidR="00755E60" w:rsidRPr="0002360B" w:rsidRDefault="00755E60" w:rsidP="00B268EC">
            <w:pPr>
              <w:widowControl w:val="0"/>
              <w:tabs>
                <w:tab w:val="left" w:pos="5670"/>
              </w:tabs>
              <w:spacing w:before="0" w:after="0"/>
              <w:ind w:right="-108" w:hanging="1"/>
              <w:jc w:val="left"/>
              <w:rPr>
                <w:szCs w:val="24"/>
                <w:lang w:val="pt-BR"/>
              </w:rPr>
            </w:pPr>
            <w:r w:rsidRPr="0059729F">
              <w:rPr>
                <w:szCs w:val="24"/>
                <w:lang w:val="pt-BR"/>
              </w:rPr>
              <w:t>NHTMCP Kỹ thương Việt Nam,</w:t>
            </w:r>
          </w:p>
          <w:p w14:paraId="2FBBBC3D" w14:textId="77777777" w:rsidR="00755E60" w:rsidRPr="0002360B" w:rsidRDefault="00755E60" w:rsidP="00B268EC">
            <w:pPr>
              <w:widowControl w:val="0"/>
              <w:tabs>
                <w:tab w:val="left" w:pos="5670"/>
              </w:tabs>
              <w:spacing w:before="0" w:after="0"/>
              <w:ind w:right="34" w:hanging="1"/>
              <w:jc w:val="left"/>
              <w:rPr>
                <w:szCs w:val="24"/>
                <w:lang w:val="pt-BR"/>
              </w:rPr>
            </w:pPr>
            <w:r w:rsidRPr="0059729F">
              <w:rPr>
                <w:szCs w:val="24"/>
                <w:lang w:val="pt-BR"/>
              </w:rPr>
              <w:t>NHTMCP Lộc Phát</w:t>
            </w:r>
          </w:p>
        </w:tc>
        <w:tc>
          <w:tcPr>
            <w:tcW w:w="5358" w:type="dxa"/>
          </w:tcPr>
          <w:p w14:paraId="50313C83" w14:textId="77777777" w:rsidR="00755E60" w:rsidRPr="0002360B" w:rsidRDefault="00755E60" w:rsidP="00B268EC">
            <w:pPr>
              <w:widowControl w:val="0"/>
              <w:tabs>
                <w:tab w:val="left" w:pos="5670"/>
              </w:tabs>
              <w:spacing w:before="0" w:after="0"/>
              <w:rPr>
                <w:szCs w:val="24"/>
              </w:rPr>
            </w:pPr>
            <w:r w:rsidRPr="0059729F">
              <w:rPr>
                <w:szCs w:val="24"/>
              </w:rPr>
              <w:t>Đề nghị Ngân hàng Nhà nước xem xét, chỉnh sửa như sau: “Các vi phạm được phát hiện trong vòng 04 (bốn) năm liền kề trước của năm xếp hạng nhưng chưa khắc phục xong trước 31/12 năm xếp hạng” do q</w:t>
            </w:r>
            <w:r w:rsidRPr="0059729F">
              <w:rPr>
                <w:szCs w:val="24"/>
                <w:lang w:val="nl-NL"/>
              </w:rPr>
              <w:t>uy định như tại DTTT là chưa phù hợp đối với các Kết luận thanh tra, kiểm tra được ban hành trước năm xếp hạng nhưng có thời gian khắc phục đến hết năm xếp hạng, đặc biệt là các Kết luận thanh tra, kiểm tra được ban hành vào thời điểm cuối năm.</w:t>
            </w:r>
          </w:p>
        </w:tc>
        <w:tc>
          <w:tcPr>
            <w:tcW w:w="4252" w:type="dxa"/>
          </w:tcPr>
          <w:p w14:paraId="0BEB4AF4" w14:textId="77777777" w:rsidR="00755E60" w:rsidRPr="0002360B" w:rsidRDefault="00755E60" w:rsidP="00B268EC">
            <w:pPr>
              <w:widowControl w:val="0"/>
              <w:tabs>
                <w:tab w:val="left" w:pos="5670"/>
              </w:tabs>
              <w:spacing w:before="0" w:after="0"/>
              <w:ind w:left="-41"/>
              <w:rPr>
                <w:b/>
                <w:szCs w:val="24"/>
                <w:lang w:val="pt-BR"/>
              </w:rPr>
            </w:pPr>
            <w:r w:rsidRPr="0059729F">
              <w:rPr>
                <w:b/>
                <w:szCs w:val="24"/>
                <w:lang w:val="pt-BR"/>
              </w:rPr>
              <w:t xml:space="preserve">Tiếp thu </w:t>
            </w:r>
            <w:r w:rsidRPr="0059729F">
              <w:rPr>
                <w:szCs w:val="24"/>
                <w:lang w:val="pt-BR"/>
              </w:rPr>
              <w:t>đối với đề xuất điều chỉnh nội dung “</w:t>
            </w:r>
            <w:r w:rsidRPr="0059729F">
              <w:rPr>
                <w:b/>
                <w:i/>
                <w:szCs w:val="24"/>
              </w:rPr>
              <w:t>chưa khắc phục xong trước 01/01 năm xếp hạng</w:t>
            </w:r>
            <w:r w:rsidRPr="0059729F">
              <w:rPr>
                <w:szCs w:val="24"/>
              </w:rPr>
              <w:t>” thành “</w:t>
            </w:r>
            <w:r w:rsidRPr="0059729F">
              <w:rPr>
                <w:b/>
                <w:i/>
                <w:szCs w:val="24"/>
              </w:rPr>
              <w:t>chưa khắc phục xong trước 31/12 năm xếp hạng</w:t>
            </w:r>
            <w:r w:rsidRPr="0059729F">
              <w:rPr>
                <w:szCs w:val="24"/>
              </w:rPr>
              <w:t>”:</w:t>
            </w:r>
          </w:p>
          <w:p w14:paraId="5CA7328E" w14:textId="77777777" w:rsidR="00755E60" w:rsidRPr="0002360B" w:rsidRDefault="00755E60" w:rsidP="00B268EC">
            <w:pPr>
              <w:widowControl w:val="0"/>
              <w:tabs>
                <w:tab w:val="left" w:pos="5670"/>
              </w:tabs>
              <w:spacing w:before="0" w:after="0"/>
              <w:rPr>
                <w:szCs w:val="24"/>
                <w:lang w:val="pt-BR"/>
              </w:rPr>
            </w:pPr>
          </w:p>
        </w:tc>
      </w:tr>
      <w:tr w:rsidR="0002360B" w:rsidRPr="0002360B" w14:paraId="228D48BD" w14:textId="77777777" w:rsidTr="00776E98">
        <w:trPr>
          <w:cantSplit/>
        </w:trPr>
        <w:tc>
          <w:tcPr>
            <w:tcW w:w="3828" w:type="dxa"/>
          </w:tcPr>
          <w:p w14:paraId="04404A48" w14:textId="77777777" w:rsidR="00755E60" w:rsidRPr="0002360B" w:rsidRDefault="00755E60" w:rsidP="00B268EC">
            <w:pPr>
              <w:widowControl w:val="0"/>
              <w:tabs>
                <w:tab w:val="left" w:pos="5670"/>
              </w:tabs>
              <w:spacing w:before="0" w:after="0"/>
              <w:rPr>
                <w:b/>
                <w:spacing w:val="-4"/>
                <w:szCs w:val="24"/>
                <w:lang w:val="pt-BR"/>
              </w:rPr>
            </w:pPr>
            <w:r w:rsidRPr="0059729F">
              <w:rPr>
                <w:b/>
                <w:spacing w:val="-4"/>
                <w:szCs w:val="24"/>
                <w:lang w:val="pt-BR"/>
              </w:rPr>
              <w:lastRenderedPageBreak/>
              <w:t>Khoản 10 Điều 10 DTTT sửa đổi, bổ sung Điều 16 Thông tư 52 (liên quan đến điểm b khoản 2 Điều 16 Thông tư 52)</w:t>
            </w:r>
          </w:p>
          <w:p w14:paraId="316E6BD9" w14:textId="77777777" w:rsidR="00755E60" w:rsidRPr="0002360B" w:rsidRDefault="00755E60" w:rsidP="00B268EC">
            <w:pPr>
              <w:widowControl w:val="0"/>
              <w:tabs>
                <w:tab w:val="left" w:pos="5670"/>
              </w:tabs>
              <w:spacing w:before="0" w:after="0"/>
              <w:rPr>
                <w:szCs w:val="24"/>
                <w:lang w:val="nl-NL"/>
              </w:rPr>
            </w:pPr>
            <w:r w:rsidRPr="0059729F">
              <w:rPr>
                <w:szCs w:val="24"/>
                <w:lang w:val="nl-NL"/>
              </w:rPr>
              <w:t>“b) Hình thức xác định hành vi vi phạm:</w:t>
            </w:r>
          </w:p>
          <w:p w14:paraId="742C2671" w14:textId="77777777" w:rsidR="00755E60" w:rsidRPr="0002360B" w:rsidRDefault="00755E60" w:rsidP="00B268EC">
            <w:pPr>
              <w:widowControl w:val="0"/>
              <w:tabs>
                <w:tab w:val="left" w:pos="5670"/>
              </w:tabs>
              <w:spacing w:before="0" w:after="0"/>
              <w:rPr>
                <w:szCs w:val="24"/>
                <w:lang w:val="nl-NL"/>
              </w:rPr>
            </w:pPr>
            <w:r w:rsidRPr="0059729F">
              <w:rPr>
                <w:szCs w:val="24"/>
                <w:lang w:val="nl-NL"/>
              </w:rPr>
              <w:t>(i) Quyết định xử phạt vi phạm hành chính của các cấp có thẩm quyền;</w:t>
            </w:r>
          </w:p>
          <w:p w14:paraId="5CCBA93F" w14:textId="77777777" w:rsidR="00755E60" w:rsidRPr="0002360B" w:rsidRDefault="00755E60" w:rsidP="00B268EC">
            <w:pPr>
              <w:widowControl w:val="0"/>
              <w:tabs>
                <w:tab w:val="left" w:pos="5670"/>
              </w:tabs>
              <w:spacing w:before="0" w:after="0"/>
              <w:rPr>
                <w:szCs w:val="24"/>
                <w:lang w:val="nl-NL"/>
              </w:rPr>
            </w:pPr>
            <w:r w:rsidRPr="0059729F">
              <w:rPr>
                <w:szCs w:val="24"/>
                <w:lang w:val="nl-NL"/>
              </w:rPr>
              <w:t>(ii) Biên bản xử phạt vi phạm hành chính của các cấp có thẩm quyền;</w:t>
            </w:r>
          </w:p>
          <w:p w14:paraId="0C28BAD2" w14:textId="77777777" w:rsidR="00755E60" w:rsidRPr="0002360B" w:rsidRDefault="00755E60" w:rsidP="00B268EC">
            <w:pPr>
              <w:widowControl w:val="0"/>
              <w:tabs>
                <w:tab w:val="left" w:pos="5670"/>
              </w:tabs>
              <w:spacing w:before="0" w:after="0"/>
              <w:rPr>
                <w:szCs w:val="24"/>
                <w:lang w:val="nl-NL"/>
              </w:rPr>
            </w:pPr>
            <w:r w:rsidRPr="0059729F">
              <w:rPr>
                <w:szCs w:val="24"/>
                <w:lang w:val="nl-NL"/>
              </w:rPr>
              <w:t>(iii) Kết quả giám sát, kết luận thanh tra, kiểm tra, kết quả kiểm toán của cơ quan, tổ chức có thẩm quyền theo quy định của pháp luật (bao gồm Ngân hàng Nhà nước, các cơ quan quản lý nhà nước khác và công ty kiểm toán độc lập), trừ các vi phạm đã có quyết định, biên bản xử phạt vi phạm hành chính theo quy định tại tiết (i),(ii) điểm b khoản 2 Điều này;</w:t>
            </w:r>
          </w:p>
          <w:p w14:paraId="1193B11B" w14:textId="77777777" w:rsidR="00755E60" w:rsidRPr="0002360B" w:rsidRDefault="00755E60" w:rsidP="00B268EC">
            <w:pPr>
              <w:widowControl w:val="0"/>
              <w:tabs>
                <w:tab w:val="left" w:pos="5670"/>
              </w:tabs>
              <w:spacing w:before="0" w:after="0"/>
              <w:rPr>
                <w:szCs w:val="24"/>
                <w:lang w:val="nl-NL"/>
              </w:rPr>
            </w:pPr>
            <w:r w:rsidRPr="0059729F">
              <w:rPr>
                <w:szCs w:val="24"/>
                <w:lang w:val="nl-NL"/>
              </w:rPr>
              <w:t>(iv) Vi phạm do tổ chức tín dụng, chi nhánh ngân hàng nước ngoài tự phát hiện, báo cáo và chưa khắc phục xong trước 01/01 năm xếp hạng”</w:t>
            </w:r>
          </w:p>
          <w:p w14:paraId="69FE0FBB"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52AE583E" w14:textId="79D95580" w:rsidR="00755E60" w:rsidRPr="0002360B" w:rsidRDefault="00755E60" w:rsidP="00B268EC">
            <w:pPr>
              <w:widowControl w:val="0"/>
              <w:tabs>
                <w:tab w:val="left" w:pos="5670"/>
              </w:tabs>
              <w:spacing w:before="0" w:after="0"/>
              <w:ind w:right="34" w:hanging="1"/>
              <w:rPr>
                <w:szCs w:val="24"/>
                <w:lang w:val="pt-BR"/>
              </w:rPr>
            </w:pPr>
            <w:r w:rsidRPr="0059729F">
              <w:rPr>
                <w:szCs w:val="24"/>
                <w:lang w:val="pt-BR"/>
              </w:rPr>
              <w:t>NHTMCP Đầu tư và phát triển Việt Nam</w:t>
            </w:r>
            <w:r w:rsidR="005C7654">
              <w:rPr>
                <w:szCs w:val="24"/>
                <w:lang w:val="pt-BR"/>
              </w:rPr>
              <w:t>, Hiệp hội ngân hàng Việt Nam</w:t>
            </w:r>
          </w:p>
        </w:tc>
        <w:tc>
          <w:tcPr>
            <w:tcW w:w="5358" w:type="dxa"/>
          </w:tcPr>
          <w:p w14:paraId="057C1E2A"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rPr>
              <w:t xml:space="preserve">BIDV đề xuất NHNN xem xét không bổ sung căn cứ xác định hành vi vi phạm để tính điểm nhóm chỉ tiêu định tính là </w:t>
            </w:r>
            <w:r w:rsidRPr="0059729F">
              <w:rPr>
                <w:b/>
                <w:sz w:val="24"/>
              </w:rPr>
              <w:t>biên bản xử phạt vi phạm hành chính</w:t>
            </w:r>
            <w:r w:rsidRPr="0059729F">
              <w:rPr>
                <w:sz w:val="24"/>
              </w:rPr>
              <w:t xml:space="preserve"> do: (i) </w:t>
            </w:r>
            <w:r w:rsidRPr="0059729F">
              <w:rPr>
                <w:bCs/>
                <w:sz w:val="24"/>
              </w:rPr>
              <w:t>Biên bản xử phạt không phải là văn bản kết luận chính thức,</w:t>
            </w:r>
            <w:r w:rsidRPr="0059729F">
              <w:rPr>
                <w:sz w:val="24"/>
              </w:rPr>
              <w:t xml:space="preserve"> mà chỉ là tài liệu ghi nhận bước đầu, chưa có giá trị pháp lý khẳng định việc vi phạm; trong nhiều trường hợp, biên bản được lập nhưng sau đó không ban hành quyết định xử phạt - điều này cho thấy chưa đủ căn cứ pháp lý để khẳng định có vi phạm xảy ra; (ii) </w:t>
            </w:r>
            <w:r w:rsidRPr="0059729F">
              <w:rPr>
                <w:rStyle w:val="Strong"/>
                <w:sz w:val="24"/>
              </w:rPr>
              <w:t>Hết thời hiệu xử phạt</w:t>
            </w:r>
            <w:r w:rsidRPr="0059729F">
              <w:rPr>
                <w:sz w:val="24"/>
              </w:rPr>
              <w:t>, cơ quan chức năng không ra quyết định xử phạt, đồng nghĩa với việc hành vi không được xử lý hoặc chưa được kết luận rõ ràng.</w:t>
            </w:r>
          </w:p>
          <w:p w14:paraId="059DEA5B" w14:textId="77777777" w:rsidR="00755E60" w:rsidRPr="0002360B" w:rsidRDefault="00755E60" w:rsidP="00B268EC">
            <w:pPr>
              <w:widowControl w:val="0"/>
              <w:tabs>
                <w:tab w:val="left" w:pos="851"/>
                <w:tab w:val="left" w:pos="1418"/>
                <w:tab w:val="left" w:pos="2977"/>
                <w:tab w:val="left" w:pos="5670"/>
              </w:tabs>
              <w:spacing w:before="0" w:after="0"/>
              <w:rPr>
                <w:noProof/>
                <w:szCs w:val="24"/>
                <w:lang w:val="pl-PL"/>
              </w:rPr>
            </w:pPr>
          </w:p>
        </w:tc>
        <w:tc>
          <w:tcPr>
            <w:tcW w:w="4252" w:type="dxa"/>
          </w:tcPr>
          <w:p w14:paraId="16346846" w14:textId="77777777" w:rsidR="00755E60" w:rsidRPr="0002360B" w:rsidRDefault="00755E60" w:rsidP="00B268EC">
            <w:pPr>
              <w:widowControl w:val="0"/>
              <w:tabs>
                <w:tab w:val="left" w:pos="5670"/>
              </w:tabs>
              <w:spacing w:before="0" w:after="0"/>
              <w:ind w:left="-41"/>
              <w:rPr>
                <w:b/>
                <w:szCs w:val="24"/>
                <w:lang w:val="pt-BR"/>
              </w:rPr>
            </w:pPr>
            <w:r w:rsidRPr="0059729F">
              <w:rPr>
                <w:b/>
                <w:szCs w:val="24"/>
                <w:lang w:val="pt-BR"/>
              </w:rPr>
              <w:t>Chưa tiếp thu</w:t>
            </w:r>
          </w:p>
          <w:p w14:paraId="7390F648" w14:textId="77777777" w:rsidR="00755E60" w:rsidRPr="0002360B" w:rsidRDefault="00755E60" w:rsidP="00B268EC">
            <w:pPr>
              <w:widowControl w:val="0"/>
              <w:tabs>
                <w:tab w:val="left" w:pos="5670"/>
              </w:tabs>
              <w:spacing w:before="0" w:after="0"/>
              <w:ind w:left="-41"/>
              <w:rPr>
                <w:szCs w:val="24"/>
                <w:lang w:val="pt-BR"/>
              </w:rPr>
            </w:pPr>
            <w:r w:rsidRPr="0059729F">
              <w:rPr>
                <w:szCs w:val="24"/>
                <w:lang w:val="pt-BR"/>
              </w:rPr>
              <w:t>- Việc bổ sung thêm hình thức xác định hành vi vi phạm là biên bản vi phạm hành chính là cần thiết để áp dụng trong trường hợp không ban hành Quyết định xử phạt vi phạm hành chính đối với hành vi vi phạm hành chính đã hết thời hiệu xử phạt. Trong trường hợp này mặc dù cơ quan chức năng không ra quyết định xử phạt, tuy nhiên bản chất là TCTD vẫn có hành vi vi phạm và phải được ghi nhận để tính điểm nhóm chỉ tiêu định tính.</w:t>
            </w:r>
          </w:p>
          <w:p w14:paraId="1B45127B" w14:textId="77777777" w:rsidR="00755E60" w:rsidRPr="0002360B" w:rsidRDefault="00755E60" w:rsidP="00B268EC">
            <w:pPr>
              <w:widowControl w:val="0"/>
              <w:tabs>
                <w:tab w:val="left" w:pos="5670"/>
              </w:tabs>
              <w:spacing w:before="0" w:after="0"/>
              <w:ind w:left="-41"/>
              <w:rPr>
                <w:szCs w:val="24"/>
                <w:lang w:val="pt-BR"/>
              </w:rPr>
            </w:pPr>
            <w:r w:rsidRPr="0059729F">
              <w:rPr>
                <w:szCs w:val="24"/>
                <w:lang w:val="pt-BR"/>
              </w:rPr>
              <w:t>- Theo quy định tại khoản 1 Điều 58 Luật Xử lý vi phạm hành chính, biên bản vi phạm hành chính được lập khi đã có phát hiện hành vi vi phạm hành chính. Như vậy, việc sử dụng biên bản vi phạm hành chính là một trong các hình thức xác định hành vi vi phạm là phù hợp.</w:t>
            </w:r>
          </w:p>
          <w:p w14:paraId="43E2C8EF" w14:textId="77777777" w:rsidR="00755E60" w:rsidRPr="0002360B" w:rsidRDefault="00755E60" w:rsidP="00B268EC">
            <w:pPr>
              <w:widowControl w:val="0"/>
              <w:tabs>
                <w:tab w:val="left" w:pos="5670"/>
              </w:tabs>
              <w:spacing w:before="0" w:after="0"/>
              <w:ind w:left="-41"/>
              <w:rPr>
                <w:szCs w:val="24"/>
                <w:lang w:val="pt-BR"/>
              </w:rPr>
            </w:pPr>
            <w:r w:rsidRPr="0059729F">
              <w:rPr>
                <w:szCs w:val="24"/>
                <w:lang w:val="pt-BR"/>
              </w:rPr>
              <w:t xml:space="preserve">Tuy nhiên, đơn vị soạn thảo đã thực hiện rà soát, chỉnh sửa cụm từ này tại DTTT thành “Biên bản vi phạm hành chính của các cấp có thẩm quyền” để đảm bảo tính chính xác. </w:t>
            </w:r>
          </w:p>
          <w:p w14:paraId="6E4340E7" w14:textId="77777777" w:rsidR="00755E60" w:rsidRPr="0002360B" w:rsidRDefault="00755E60" w:rsidP="00B268EC">
            <w:pPr>
              <w:widowControl w:val="0"/>
              <w:tabs>
                <w:tab w:val="left" w:pos="851"/>
                <w:tab w:val="left" w:pos="1418"/>
                <w:tab w:val="left" w:pos="2977"/>
                <w:tab w:val="left" w:pos="5670"/>
              </w:tabs>
              <w:spacing w:before="0" w:after="0"/>
              <w:rPr>
                <w:szCs w:val="24"/>
                <w:lang w:val="pt-BR"/>
              </w:rPr>
            </w:pPr>
            <w:r w:rsidRPr="0059729F">
              <w:rPr>
                <w:szCs w:val="24"/>
                <w:lang w:val="pt-BR"/>
              </w:rPr>
              <w:t xml:space="preserve">- Đồng thời, </w:t>
            </w:r>
            <w:r w:rsidRPr="0059729F">
              <w:rPr>
                <w:szCs w:val="24"/>
              </w:rPr>
              <w:t xml:space="preserve">để đảm bảo </w:t>
            </w:r>
            <w:r w:rsidRPr="0059729F">
              <w:rPr>
                <w:szCs w:val="24"/>
                <w:lang w:val="pt-BR"/>
              </w:rPr>
              <w:t xml:space="preserve">chặt chẽ và không bỏ sót các hành vi vi phạm được phát hiện khi đã hết thời hiệu xử phạt, DTTT được sửa đổi theo hướng bổ sung 01 hình thức xác định hành vi vi phạm là “Quyết định buộc thực hiện biện pháp khắc phục hậu quả”. </w:t>
            </w:r>
          </w:p>
          <w:p w14:paraId="251DD415" w14:textId="77777777" w:rsidR="00755E60" w:rsidRPr="0002360B" w:rsidRDefault="00755E60" w:rsidP="00B268EC">
            <w:pPr>
              <w:widowControl w:val="0"/>
              <w:tabs>
                <w:tab w:val="left" w:pos="5670"/>
              </w:tabs>
              <w:spacing w:before="0" w:after="0"/>
              <w:ind w:left="-41"/>
              <w:rPr>
                <w:szCs w:val="24"/>
                <w:lang w:val="pt-BR"/>
              </w:rPr>
            </w:pPr>
          </w:p>
          <w:p w14:paraId="045DEE58"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3C3BD8B7" w14:textId="77777777" w:rsidTr="00776E98">
        <w:trPr>
          <w:cantSplit/>
        </w:trPr>
        <w:tc>
          <w:tcPr>
            <w:tcW w:w="3828" w:type="dxa"/>
          </w:tcPr>
          <w:p w14:paraId="212C38EE" w14:textId="77777777" w:rsidR="00755E60" w:rsidRPr="0002360B" w:rsidRDefault="00755E60" w:rsidP="00B268EC">
            <w:pPr>
              <w:widowControl w:val="0"/>
              <w:tabs>
                <w:tab w:val="left" w:pos="5670"/>
              </w:tabs>
              <w:spacing w:before="0" w:after="0"/>
              <w:rPr>
                <w:b/>
                <w:spacing w:val="-4"/>
                <w:szCs w:val="24"/>
                <w:lang w:val="pt-BR"/>
              </w:rPr>
            </w:pPr>
            <w:r w:rsidRPr="0059729F">
              <w:rPr>
                <w:b/>
                <w:spacing w:val="-4"/>
                <w:szCs w:val="24"/>
                <w:lang w:val="pt-BR"/>
              </w:rPr>
              <w:lastRenderedPageBreak/>
              <w:t>Khoản 10 Điều 1 DTTT sửa đổi bổ sung Điều 16 Thông tư 52 (liên quan đến khoản 4 Điều 16 Thông tư 52)</w:t>
            </w:r>
          </w:p>
          <w:p w14:paraId="3890B3C4" w14:textId="77777777" w:rsidR="00755E60" w:rsidRPr="0002360B" w:rsidRDefault="00755E60" w:rsidP="00B268EC">
            <w:pPr>
              <w:widowControl w:val="0"/>
              <w:shd w:val="clear" w:color="auto" w:fill="FFFFFF"/>
              <w:tabs>
                <w:tab w:val="left" w:pos="5670"/>
              </w:tabs>
              <w:spacing w:before="0" w:after="0"/>
              <w:rPr>
                <w:szCs w:val="24"/>
                <w:lang w:val="nl-NL"/>
              </w:rPr>
            </w:pPr>
            <w:r w:rsidRPr="0059729F">
              <w:rPr>
                <w:szCs w:val="24"/>
                <w:lang w:val="nl-NL"/>
              </w:rPr>
              <w:t>4. Giá trị của nhóm chỉ tiêu định tính là giá trị phản ánh mức độ vi phạm quy định pháp luật về tiền tệ và ngân hàng của tổ chức tín dụng, chi nhánh ngân hàng nước ngoài có xem xét đến yếu tố quy mô của tổ chức tín dụng, chi nhánh ngân hàng nước ngoài tại từng tiêu chí xếp hạng. Giá trị của nhóm chỉ tiêu định tính được xác định như sau:</w:t>
            </w:r>
          </w:p>
          <w:p w14:paraId="224D2D9D" w14:textId="77777777" w:rsidR="00755E60" w:rsidRPr="0002360B" w:rsidRDefault="00755E60" w:rsidP="00B268EC">
            <w:pPr>
              <w:widowControl w:val="0"/>
              <w:shd w:val="clear" w:color="auto" w:fill="FFFFFF"/>
              <w:tabs>
                <w:tab w:val="left" w:pos="5670"/>
              </w:tabs>
              <w:spacing w:before="0" w:after="0"/>
              <w:rPr>
                <w:szCs w:val="24"/>
                <w:lang w:val="nl-NL"/>
              </w:rPr>
            </w:pPr>
            <m:oMathPara>
              <m:oMath>
                <m:r>
                  <w:rPr>
                    <w:rFonts w:ascii="Cambria Math" w:hAnsi="Cambria Math"/>
                    <w:szCs w:val="24"/>
                    <w:lang w:val="nl-NL"/>
                  </w:rPr>
                  <m:t>Gi</m:t>
                </m:r>
                <m:r>
                  <w:rPr>
                    <w:rFonts w:ascii="Cambria Math" w:hAnsi="Cambria Math" w:hint="eastAsia"/>
                    <w:szCs w:val="24"/>
                    <w:lang w:val="nl-NL"/>
                  </w:rPr>
                  <m:t>á</m:t>
                </m:r>
                <m:r>
                  <w:rPr>
                    <w:rFonts w:ascii="Cambria Math" w:hAnsi="Cambria Math"/>
                    <w:szCs w:val="24"/>
                    <w:lang w:val="nl-NL"/>
                  </w:rPr>
                  <m:t xml:space="preserve"> trị của nh</m:t>
                </m:r>
                <m:r>
                  <w:rPr>
                    <w:rFonts w:ascii="Cambria Math" w:hAnsi="Cambria Math" w:hint="eastAsia"/>
                    <w:szCs w:val="24"/>
                    <w:lang w:val="nl-NL"/>
                  </w:rPr>
                  <m:t>ó</m:t>
                </m:r>
                <m:r>
                  <w:rPr>
                    <w:rFonts w:ascii="Cambria Math" w:hAnsi="Cambria Math"/>
                    <w:szCs w:val="24"/>
                    <w:lang w:val="nl-NL"/>
                  </w:rPr>
                  <m:t>m chỉ ti</m:t>
                </m:r>
                <m:r>
                  <w:rPr>
                    <w:rFonts w:ascii="Cambria Math" w:hAnsi="Cambria Math" w:hint="eastAsia"/>
                    <w:szCs w:val="24"/>
                    <w:lang w:val="nl-NL"/>
                  </w:rPr>
                  <m:t>ê</m:t>
                </m:r>
                <m:r>
                  <w:rPr>
                    <w:rFonts w:ascii="Cambria Math" w:hAnsi="Cambria Math"/>
                    <w:szCs w:val="24"/>
                    <w:lang w:val="nl-NL"/>
                  </w:rPr>
                  <m:t xml:space="preserve">u </m:t>
                </m:r>
                <m:r>
                  <w:rPr>
                    <w:rFonts w:ascii="Cambria Math" w:hAnsi="Cambria Math" w:hint="eastAsia"/>
                    <w:szCs w:val="24"/>
                    <w:lang w:val="nl-NL"/>
                  </w:rPr>
                  <m:t>đ</m:t>
                </m:r>
                <m:r>
                  <w:rPr>
                    <w:rFonts w:ascii="Cambria Math" w:hAnsi="Cambria Math"/>
                    <w:szCs w:val="24"/>
                    <w:lang w:val="nl-NL"/>
                  </w:rPr>
                  <m:t>ịnh t</m:t>
                </m:r>
                <m:r>
                  <w:rPr>
                    <w:rFonts w:ascii="Cambria Math" w:hAnsi="Cambria Math" w:hint="eastAsia"/>
                    <w:szCs w:val="24"/>
                    <w:lang w:val="nl-NL"/>
                  </w:rPr>
                  <m:t>í</m:t>
                </m:r>
                <m:r>
                  <w:rPr>
                    <w:rFonts w:ascii="Cambria Math" w:hAnsi="Cambria Math"/>
                    <w:szCs w:val="24"/>
                    <w:lang w:val="nl-NL"/>
                  </w:rPr>
                  <m:t>nh=</m:t>
                </m:r>
                <m:f>
                  <m:fPr>
                    <m:ctrlPr>
                      <w:rPr>
                        <w:rFonts w:ascii="Cambria Math" w:hAnsi="Cambria Math"/>
                        <w:szCs w:val="24"/>
                        <w:lang w:val="nl-NL"/>
                      </w:rPr>
                    </m:ctrlPr>
                  </m:fPr>
                  <m:num>
                    <m:r>
                      <w:rPr>
                        <w:rFonts w:ascii="Cambria Math" w:hAnsi="Cambria Math"/>
                        <w:szCs w:val="24"/>
                        <w:lang w:val="nl-NL"/>
                      </w:rPr>
                      <m:t>Tổng mức tiền phạt (</m:t>
                    </m:r>
                    <m:r>
                      <w:rPr>
                        <w:rFonts w:ascii="Cambria Math" w:hAnsi="Cambria Math" w:hint="eastAsia"/>
                        <w:szCs w:val="24"/>
                        <w:lang w:val="nl-NL"/>
                      </w:rPr>
                      <m:t>đ</m:t>
                    </m:r>
                    <m:r>
                      <w:rPr>
                        <w:rFonts w:ascii="Cambria Math" w:hAnsi="Cambria Math"/>
                        <w:szCs w:val="24"/>
                        <w:lang w:val="nl-NL"/>
                      </w:rPr>
                      <m:t>ồng)</m:t>
                    </m:r>
                  </m:num>
                  <m:den>
                    <m:r>
                      <w:rPr>
                        <w:rFonts w:ascii="Cambria Math" w:hAnsi="Cambria Math"/>
                        <w:szCs w:val="24"/>
                        <w:lang w:val="nl-NL"/>
                      </w:rPr>
                      <m:t>Vốn tự c</m:t>
                    </m:r>
                    <m:r>
                      <w:rPr>
                        <w:rFonts w:ascii="Cambria Math" w:hAnsi="Cambria Math" w:hint="eastAsia"/>
                        <w:szCs w:val="24"/>
                        <w:lang w:val="nl-NL"/>
                      </w:rPr>
                      <m:t>ó</m:t>
                    </m:r>
                    <m:r>
                      <w:rPr>
                        <w:rFonts w:ascii="Cambria Math" w:hAnsi="Cambria Math"/>
                        <w:szCs w:val="24"/>
                        <w:lang w:val="nl-NL"/>
                      </w:rPr>
                      <m:t xml:space="preserve"> ri</m:t>
                    </m:r>
                    <m:r>
                      <w:rPr>
                        <w:rFonts w:ascii="Cambria Math" w:hAnsi="Cambria Math" w:hint="eastAsia"/>
                        <w:szCs w:val="24"/>
                        <w:lang w:val="nl-NL"/>
                      </w:rPr>
                      <m:t>ê</m:t>
                    </m:r>
                    <m:r>
                      <w:rPr>
                        <w:rFonts w:ascii="Cambria Math" w:hAnsi="Cambria Math"/>
                        <w:szCs w:val="24"/>
                        <w:lang w:val="nl-NL"/>
                      </w:rPr>
                      <m:t>ng lẻ (</m:t>
                    </m:r>
                    <m:r>
                      <w:rPr>
                        <w:rFonts w:ascii="Cambria Math" w:hAnsi="Cambria Math" w:hint="eastAsia"/>
                        <w:szCs w:val="24"/>
                        <w:lang w:val="nl-NL"/>
                      </w:rPr>
                      <m:t>đ</m:t>
                    </m:r>
                    <m:r>
                      <w:rPr>
                        <w:rFonts w:ascii="Cambria Math" w:hAnsi="Cambria Math"/>
                        <w:szCs w:val="24"/>
                        <w:lang w:val="nl-NL"/>
                      </w:rPr>
                      <m:t>ồng)</m:t>
                    </m:r>
                  </m:den>
                </m:f>
                <m:r>
                  <w:rPr>
                    <w:rFonts w:ascii="Cambria Math" w:hAnsi="Cambria Math"/>
                    <w:szCs w:val="24"/>
                    <w:lang w:val="nl-NL"/>
                  </w:rPr>
                  <m:t>x</m:t>
                </m:r>
                <m:r>
                  <m:rPr>
                    <m:sty m:val="p"/>
                  </m:rPr>
                  <w:rPr>
                    <w:rFonts w:ascii="Cambria Math" w:hAnsi="Cambria Math"/>
                    <w:szCs w:val="24"/>
                    <w:lang w:val="nl-NL"/>
                  </w:rPr>
                  <m:t>100.000</m:t>
                </m:r>
              </m:oMath>
            </m:oMathPara>
          </w:p>
          <w:p w14:paraId="05DB977C" w14:textId="77777777" w:rsidR="00755E60" w:rsidRPr="0002360B" w:rsidRDefault="00755E60" w:rsidP="00B268EC">
            <w:pPr>
              <w:widowControl w:val="0"/>
              <w:shd w:val="clear" w:color="auto" w:fill="FFFFFF"/>
              <w:tabs>
                <w:tab w:val="left" w:pos="5670"/>
              </w:tabs>
              <w:spacing w:before="0" w:after="0"/>
              <w:rPr>
                <w:szCs w:val="24"/>
                <w:lang w:val="nl-NL"/>
              </w:rPr>
            </w:pPr>
          </w:p>
          <w:p w14:paraId="544F3368" w14:textId="77777777" w:rsidR="00755E60" w:rsidRPr="0002360B" w:rsidRDefault="00755E60" w:rsidP="00B268EC">
            <w:pPr>
              <w:widowControl w:val="0"/>
              <w:shd w:val="clear" w:color="auto" w:fill="FFFFFF"/>
              <w:tabs>
                <w:tab w:val="left" w:pos="5670"/>
              </w:tabs>
              <w:spacing w:before="0" w:after="0"/>
              <w:ind w:firstLine="720"/>
              <w:rPr>
                <w:szCs w:val="24"/>
                <w:lang w:val="nl-NL"/>
              </w:rPr>
            </w:pPr>
          </w:p>
          <w:p w14:paraId="7D7401EE" w14:textId="77777777" w:rsidR="00755E60" w:rsidRPr="0002360B" w:rsidRDefault="00755E60" w:rsidP="00B268EC">
            <w:pPr>
              <w:widowControl w:val="0"/>
              <w:tabs>
                <w:tab w:val="left" w:pos="5670"/>
              </w:tabs>
              <w:spacing w:before="0" w:after="0"/>
              <w:rPr>
                <w:b/>
                <w:spacing w:val="-4"/>
                <w:szCs w:val="24"/>
                <w:lang w:val="pt-BR"/>
              </w:rPr>
            </w:pPr>
          </w:p>
          <w:p w14:paraId="667B0FE7"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1A1E0848" w14:textId="77777777" w:rsidR="00755E60" w:rsidRPr="0002360B" w:rsidRDefault="00755E60" w:rsidP="00B268EC">
            <w:pPr>
              <w:widowControl w:val="0"/>
              <w:tabs>
                <w:tab w:val="left" w:pos="5670"/>
              </w:tabs>
              <w:spacing w:before="0" w:after="0"/>
              <w:ind w:right="34" w:hanging="1"/>
              <w:rPr>
                <w:szCs w:val="24"/>
                <w:lang w:val="pt-BR"/>
              </w:rPr>
            </w:pPr>
            <w:r w:rsidRPr="0059729F">
              <w:rPr>
                <w:szCs w:val="24"/>
                <w:lang w:val="pt-BR"/>
              </w:rPr>
              <w:t>NH Nông nghiệp và Phát triển nông thôn Việt Nam</w:t>
            </w:r>
          </w:p>
        </w:tc>
        <w:tc>
          <w:tcPr>
            <w:tcW w:w="5358" w:type="dxa"/>
          </w:tcPr>
          <w:p w14:paraId="0D307333" w14:textId="77777777" w:rsidR="00755E60" w:rsidRPr="0002360B" w:rsidRDefault="00755E60" w:rsidP="00B268EC">
            <w:pPr>
              <w:widowControl w:val="0"/>
              <w:tabs>
                <w:tab w:val="left" w:pos="680"/>
                <w:tab w:val="left" w:pos="5670"/>
              </w:tabs>
              <w:spacing w:before="0" w:after="0"/>
              <w:rPr>
                <w:szCs w:val="24"/>
              </w:rPr>
            </w:pPr>
            <w:r w:rsidRPr="0059729F">
              <w:rPr>
                <w:szCs w:val="24"/>
              </w:rPr>
              <w:t xml:space="preserve">Theo quy định của Thông tư 52/2018/TT-NHNN, việc tính và trừ điểm dựa trên số lần vi phạm bị xử phạt nhưng không xét trên cùng một mặt bằng về quy mô, mạng lưới, số lượng lao động… giữa các nhóm NHTM, gây nhiều khó khăn cho Agribank (trên thực tế, số đơn vị có vi phạm chiếm tỷ lệ thấp so với quy mô, mạng lưới giao dịch của Agribank). Do vậy, khi tính điểm nhóm chỉ tiêu định tính cần xét đến các yếu tố đặc thù để việc đánh giá mức độ tuân thủ quy định pháp luật phản ánh khách quan và phù hợp thực tế hơn, tạo điều kiện cho các TCTD được ghi nhận toàn diện kết quả hoạt động trong năm xếp hạng. </w:t>
            </w:r>
          </w:p>
          <w:p w14:paraId="16C0121E" w14:textId="77777777" w:rsidR="00755E60" w:rsidRPr="0002360B" w:rsidRDefault="00755E60" w:rsidP="00B268EC">
            <w:pPr>
              <w:widowControl w:val="0"/>
              <w:tabs>
                <w:tab w:val="left" w:pos="680"/>
                <w:tab w:val="left" w:pos="5670"/>
              </w:tabs>
              <w:spacing w:before="0" w:after="0"/>
              <w:rPr>
                <w:i/>
                <w:iCs/>
                <w:szCs w:val="24"/>
              </w:rPr>
            </w:pPr>
            <w:r w:rsidRPr="0059729F">
              <w:rPr>
                <w:i/>
                <w:iCs/>
                <w:szCs w:val="24"/>
              </w:rPr>
              <w:t>Trên cơ sở đó, đề nghị NHNN xem xét chỉnh sửa quy định tại Khoản 4 Điều 16 Thông tư 52/2018/TT-NHNN về cách tính điểm nhóm chỉ tiêu định tính (đã được sửa đổi, bổ sung tại Thông tư 23/2021/TT-NHNN); cụ thể như sau:</w:t>
            </w:r>
          </w:p>
          <w:p w14:paraId="6183D147" w14:textId="77777777" w:rsidR="00755E60" w:rsidRPr="0002360B" w:rsidRDefault="00755E60" w:rsidP="00B268EC">
            <w:pPr>
              <w:widowControl w:val="0"/>
              <w:tabs>
                <w:tab w:val="left" w:pos="680"/>
                <w:tab w:val="left" w:pos="5670"/>
              </w:tabs>
              <w:spacing w:before="0" w:after="0"/>
              <w:rPr>
                <w:i/>
                <w:iCs/>
                <w:szCs w:val="24"/>
              </w:rPr>
            </w:pPr>
            <m:oMathPara>
              <m:oMath>
                <m:r>
                  <w:rPr>
                    <w:rFonts w:ascii="Cambria Math" w:hAnsi="Cambria Math"/>
                    <w:szCs w:val="24"/>
                    <w:lang w:val="nl-NL"/>
                  </w:rPr>
                  <m:t>Gi</m:t>
                </m:r>
                <m:r>
                  <w:rPr>
                    <w:rFonts w:ascii="Cambria Math" w:hAnsi="Cambria Math" w:hint="eastAsia"/>
                    <w:szCs w:val="24"/>
                    <w:lang w:val="nl-NL"/>
                  </w:rPr>
                  <m:t>á</m:t>
                </m:r>
                <m:r>
                  <w:rPr>
                    <w:rFonts w:ascii="Cambria Math" w:hAnsi="Cambria Math"/>
                    <w:szCs w:val="24"/>
                    <w:lang w:val="nl-NL"/>
                  </w:rPr>
                  <m:t xml:space="preserve"> trị của nh</m:t>
                </m:r>
                <m:r>
                  <w:rPr>
                    <w:rFonts w:ascii="Cambria Math" w:hAnsi="Cambria Math" w:hint="eastAsia"/>
                    <w:szCs w:val="24"/>
                    <w:lang w:val="nl-NL"/>
                  </w:rPr>
                  <m:t>ó</m:t>
                </m:r>
                <m:r>
                  <w:rPr>
                    <w:rFonts w:ascii="Cambria Math" w:hAnsi="Cambria Math"/>
                    <w:szCs w:val="24"/>
                    <w:lang w:val="nl-NL"/>
                  </w:rPr>
                  <m:t>m chỉ ti</m:t>
                </m:r>
                <m:r>
                  <w:rPr>
                    <w:rFonts w:ascii="Cambria Math" w:hAnsi="Cambria Math" w:hint="eastAsia"/>
                    <w:szCs w:val="24"/>
                    <w:lang w:val="nl-NL"/>
                  </w:rPr>
                  <m:t>ê</m:t>
                </m:r>
                <m:r>
                  <w:rPr>
                    <w:rFonts w:ascii="Cambria Math" w:hAnsi="Cambria Math"/>
                    <w:szCs w:val="24"/>
                    <w:lang w:val="nl-NL"/>
                  </w:rPr>
                  <m:t xml:space="preserve">u </m:t>
                </m:r>
                <m:r>
                  <w:rPr>
                    <w:rFonts w:ascii="Cambria Math" w:hAnsi="Cambria Math" w:hint="eastAsia"/>
                    <w:szCs w:val="24"/>
                    <w:lang w:val="nl-NL"/>
                  </w:rPr>
                  <m:t>đ</m:t>
                </m:r>
                <m:r>
                  <w:rPr>
                    <w:rFonts w:ascii="Cambria Math" w:hAnsi="Cambria Math"/>
                    <w:szCs w:val="24"/>
                    <w:lang w:val="nl-NL"/>
                  </w:rPr>
                  <m:t>ịnh t</m:t>
                </m:r>
                <m:r>
                  <w:rPr>
                    <w:rFonts w:ascii="Cambria Math" w:hAnsi="Cambria Math" w:hint="eastAsia"/>
                    <w:szCs w:val="24"/>
                    <w:lang w:val="nl-NL"/>
                  </w:rPr>
                  <m:t>í</m:t>
                </m:r>
                <m:r>
                  <w:rPr>
                    <w:rFonts w:ascii="Cambria Math" w:hAnsi="Cambria Math"/>
                    <w:szCs w:val="24"/>
                    <w:lang w:val="nl-NL"/>
                  </w:rPr>
                  <m:t>nh=</m:t>
                </m:r>
                <m:f>
                  <m:fPr>
                    <m:ctrlPr>
                      <w:rPr>
                        <w:rFonts w:ascii="Cambria Math" w:hAnsi="Cambria Math"/>
                        <w:szCs w:val="24"/>
                        <w:lang w:val="nl-NL"/>
                      </w:rPr>
                    </m:ctrlPr>
                  </m:fPr>
                  <m:num>
                    <m:r>
                      <w:rPr>
                        <w:rFonts w:ascii="Cambria Math" w:hAnsi="Cambria Math"/>
                        <w:szCs w:val="24"/>
                        <w:lang w:val="nl-NL"/>
                      </w:rPr>
                      <m:t>Tổng mức tiền phạt (</m:t>
                    </m:r>
                    <m:r>
                      <w:rPr>
                        <w:rFonts w:ascii="Cambria Math" w:hAnsi="Cambria Math" w:hint="eastAsia"/>
                        <w:szCs w:val="24"/>
                        <w:lang w:val="nl-NL"/>
                      </w:rPr>
                      <m:t>đ</m:t>
                    </m:r>
                    <m:r>
                      <w:rPr>
                        <w:rFonts w:ascii="Cambria Math" w:hAnsi="Cambria Math"/>
                        <w:szCs w:val="24"/>
                        <w:lang w:val="nl-NL"/>
                      </w:rPr>
                      <m:t>ồng)</m:t>
                    </m:r>
                  </m:num>
                  <m:den>
                    <m:r>
                      <w:rPr>
                        <w:rFonts w:ascii="Cambria Math" w:hAnsi="Cambria Math"/>
                        <w:szCs w:val="24"/>
                        <w:lang w:val="nl-NL"/>
                      </w:rPr>
                      <m:t>Vốn tự c</m:t>
                    </m:r>
                    <m:r>
                      <w:rPr>
                        <w:rFonts w:ascii="Cambria Math" w:hAnsi="Cambria Math" w:hint="eastAsia"/>
                        <w:szCs w:val="24"/>
                        <w:lang w:val="nl-NL"/>
                      </w:rPr>
                      <m:t>ó</m:t>
                    </m:r>
                    <m:r>
                      <w:rPr>
                        <w:rFonts w:ascii="Cambria Math" w:hAnsi="Cambria Math"/>
                        <w:szCs w:val="24"/>
                        <w:lang w:val="nl-NL"/>
                      </w:rPr>
                      <m:t xml:space="preserve"> ri</m:t>
                    </m:r>
                    <m:r>
                      <w:rPr>
                        <w:rFonts w:ascii="Cambria Math" w:hAnsi="Cambria Math" w:hint="eastAsia"/>
                        <w:szCs w:val="24"/>
                        <w:lang w:val="nl-NL"/>
                      </w:rPr>
                      <m:t>ê</m:t>
                    </m:r>
                    <m:r>
                      <w:rPr>
                        <w:rFonts w:ascii="Cambria Math" w:hAnsi="Cambria Math"/>
                        <w:szCs w:val="24"/>
                        <w:lang w:val="nl-NL"/>
                      </w:rPr>
                      <m:t>ng lẻ (</m:t>
                    </m:r>
                    <m:r>
                      <w:rPr>
                        <w:rFonts w:ascii="Cambria Math" w:hAnsi="Cambria Math" w:hint="eastAsia"/>
                        <w:szCs w:val="24"/>
                        <w:lang w:val="nl-NL"/>
                      </w:rPr>
                      <m:t>đ</m:t>
                    </m:r>
                    <m:r>
                      <w:rPr>
                        <w:rFonts w:ascii="Cambria Math" w:hAnsi="Cambria Math"/>
                        <w:szCs w:val="24"/>
                        <w:lang w:val="nl-NL"/>
                      </w:rPr>
                      <m:t>ồng)</m:t>
                    </m:r>
                  </m:den>
                </m:f>
                <m:r>
                  <w:rPr>
                    <w:rFonts w:ascii="Cambria Math" w:hAnsi="Cambria Math"/>
                    <w:szCs w:val="24"/>
                    <w:lang w:val="nl-NL"/>
                  </w:rPr>
                  <m:t>x</m:t>
                </m:r>
                <m:r>
                  <m:rPr>
                    <m:sty m:val="p"/>
                  </m:rPr>
                  <w:rPr>
                    <w:rFonts w:ascii="Cambria Math" w:hAnsi="Cambria Math"/>
                    <w:szCs w:val="24"/>
                    <w:lang w:val="nl-NL"/>
                  </w:rPr>
                  <m:t>100.000</m:t>
                </m:r>
              </m:oMath>
            </m:oMathPara>
          </w:p>
          <w:p w14:paraId="19007C78" w14:textId="77777777" w:rsidR="00755E60" w:rsidRPr="0002360B" w:rsidRDefault="00755E60" w:rsidP="00B268EC">
            <w:pPr>
              <w:widowControl w:val="0"/>
              <w:tabs>
                <w:tab w:val="left" w:pos="851"/>
                <w:tab w:val="left" w:pos="1418"/>
                <w:tab w:val="left" w:pos="2977"/>
                <w:tab w:val="left" w:pos="5670"/>
              </w:tabs>
              <w:spacing w:before="0" w:after="0"/>
              <w:rPr>
                <w:noProof/>
                <w:szCs w:val="24"/>
                <w:lang w:val="pl-PL"/>
              </w:rPr>
            </w:pPr>
          </w:p>
        </w:tc>
        <w:tc>
          <w:tcPr>
            <w:tcW w:w="4252" w:type="dxa"/>
          </w:tcPr>
          <w:p w14:paraId="42B3BBBE" w14:textId="77777777" w:rsidR="00755E60" w:rsidRPr="0002360B" w:rsidRDefault="00755E60" w:rsidP="00B268EC">
            <w:pPr>
              <w:widowControl w:val="0"/>
              <w:tabs>
                <w:tab w:val="left" w:pos="5670"/>
              </w:tabs>
              <w:spacing w:before="0" w:after="0"/>
              <w:ind w:left="-41"/>
              <w:rPr>
                <w:b/>
                <w:szCs w:val="24"/>
                <w:lang w:val="pt-BR"/>
              </w:rPr>
            </w:pPr>
            <w:r w:rsidRPr="0059729F">
              <w:rPr>
                <w:b/>
                <w:szCs w:val="24"/>
                <w:lang w:val="pt-BR"/>
              </w:rPr>
              <w:t>Chưa tiếp thu</w:t>
            </w:r>
          </w:p>
          <w:p w14:paraId="0436520D" w14:textId="77777777" w:rsidR="00755E60" w:rsidRPr="00B674B7" w:rsidRDefault="00755E60" w:rsidP="00B268EC">
            <w:pPr>
              <w:widowControl w:val="0"/>
              <w:tabs>
                <w:tab w:val="left" w:pos="5670"/>
              </w:tabs>
              <w:spacing w:before="0" w:after="0"/>
              <w:ind w:left="-41"/>
              <w:rPr>
                <w:szCs w:val="24"/>
                <w:lang w:val="pt-BR"/>
              </w:rPr>
            </w:pPr>
            <w:r w:rsidRPr="0059729F">
              <w:rPr>
                <w:szCs w:val="24"/>
                <w:lang w:val="pt-BR"/>
              </w:rPr>
              <w:t xml:space="preserve">Việc sử dung Vốn tự có để tính toán Giá trị nhóm chỉ tiêu định tính giúp phản ánh đúng mức độ phòng ngừa rủi ro và phù hợp với thông lệ quốc tế về giám sát an toàn hoạt động ngân hàng. </w:t>
            </w:r>
          </w:p>
          <w:p w14:paraId="335AC4C7" w14:textId="0AB9CDEA" w:rsidR="00755E60" w:rsidRPr="0002360B" w:rsidRDefault="00755E60" w:rsidP="00B268EC">
            <w:pPr>
              <w:widowControl w:val="0"/>
              <w:tabs>
                <w:tab w:val="left" w:pos="5670"/>
              </w:tabs>
              <w:spacing w:before="0" w:after="0"/>
              <w:ind w:left="-41"/>
              <w:rPr>
                <w:szCs w:val="24"/>
                <w:lang w:val="pt-BR"/>
              </w:rPr>
            </w:pPr>
          </w:p>
        </w:tc>
      </w:tr>
      <w:tr w:rsidR="0002360B" w:rsidRPr="0002360B" w14:paraId="72B48BD2" w14:textId="77777777" w:rsidTr="00776E98">
        <w:trPr>
          <w:cantSplit/>
        </w:trPr>
        <w:tc>
          <w:tcPr>
            <w:tcW w:w="3828" w:type="dxa"/>
          </w:tcPr>
          <w:p w14:paraId="5EF5B6D3" w14:textId="77777777" w:rsidR="00755E60" w:rsidRPr="0002360B" w:rsidRDefault="00755E60" w:rsidP="00B268EC">
            <w:pPr>
              <w:widowControl w:val="0"/>
              <w:tabs>
                <w:tab w:val="left" w:pos="5670"/>
              </w:tabs>
              <w:spacing w:before="0" w:after="0"/>
              <w:rPr>
                <w:b/>
                <w:spacing w:val="-4"/>
                <w:szCs w:val="24"/>
                <w:lang w:val="pt-BR"/>
              </w:rPr>
            </w:pPr>
          </w:p>
        </w:tc>
        <w:tc>
          <w:tcPr>
            <w:tcW w:w="1730" w:type="dxa"/>
            <w:vAlign w:val="center"/>
          </w:tcPr>
          <w:p w14:paraId="1373AE66" w14:textId="77777777" w:rsidR="00755E60" w:rsidRPr="0002360B" w:rsidRDefault="00755E60" w:rsidP="00B268EC">
            <w:pPr>
              <w:widowControl w:val="0"/>
              <w:tabs>
                <w:tab w:val="left" w:pos="5670"/>
              </w:tabs>
              <w:spacing w:before="0" w:after="0"/>
              <w:ind w:right="34" w:hanging="1"/>
              <w:rPr>
                <w:szCs w:val="24"/>
                <w:lang w:val="pt-BR"/>
              </w:rPr>
            </w:pPr>
            <w:r w:rsidRPr="0059729F">
              <w:rPr>
                <w:szCs w:val="24"/>
                <w:lang w:val="pt-BR"/>
              </w:rPr>
              <w:t xml:space="preserve">NHTMCP Lộc Phát </w:t>
            </w:r>
          </w:p>
        </w:tc>
        <w:tc>
          <w:tcPr>
            <w:tcW w:w="5358" w:type="dxa"/>
          </w:tcPr>
          <w:p w14:paraId="57F62830" w14:textId="77777777" w:rsidR="00755E60" w:rsidRPr="0002360B" w:rsidRDefault="00755E60" w:rsidP="00B268EC">
            <w:pPr>
              <w:widowControl w:val="0"/>
              <w:shd w:val="clear" w:color="auto" w:fill="FFFFFF"/>
              <w:tabs>
                <w:tab w:val="left" w:pos="5670"/>
              </w:tabs>
              <w:spacing w:before="0" w:after="0"/>
              <w:rPr>
                <w:rFonts w:eastAsia="Calibri"/>
                <w:szCs w:val="24"/>
              </w:rPr>
            </w:pPr>
            <w:r w:rsidRPr="0059729F">
              <w:rPr>
                <w:rFonts w:eastAsia="Calibri"/>
                <w:szCs w:val="24"/>
              </w:rPr>
              <w:t>Dự thảo ghi nhận, sau khi xác định mức điểm đối với nhóm chỉ tiêu định tính tại từng tiêu chí xếp hạng, TCTD sẽ tiếp tục bị trừ điểm với điều kiện số điểm trừ tối đa không nhiều hơn 0,9 điểm nếu tại cùng một nhóm chỉ tiêu định tính tại từng tiêu chí xếp hạng, trường hợp TCTD có từ 02 (hai) vi phạm trở lên thì điểm của nhóm chỉ tiêu định tính sẽ bị trừ 0,1 điểm đối với mỗi lần vi phạm (áp dụng từ lần vi phạm thứ hai trở lên).</w:t>
            </w:r>
          </w:p>
          <w:p w14:paraId="1970AEEE" w14:textId="77777777" w:rsidR="00755E60" w:rsidRPr="0002360B" w:rsidRDefault="00755E60" w:rsidP="00B268EC">
            <w:pPr>
              <w:widowControl w:val="0"/>
              <w:shd w:val="clear" w:color="auto" w:fill="FFFFFF"/>
              <w:tabs>
                <w:tab w:val="left" w:pos="5670"/>
              </w:tabs>
              <w:spacing w:before="0" w:after="0"/>
              <w:rPr>
                <w:rFonts w:eastAsia="Calibri"/>
                <w:szCs w:val="24"/>
              </w:rPr>
            </w:pPr>
            <w:r w:rsidRPr="0059729F">
              <w:rPr>
                <w:rFonts w:eastAsia="Calibri"/>
                <w:szCs w:val="24"/>
              </w:rPr>
              <w:t>LPBank kính đề nghị Quý cơ quan làm rõ căn cứ tính số lần vi phạm (số biên bản/báo cáo kiểm toán… hay số lỗi vi phạm ghi nhận tại 01 biên bản/báo cáo kiểm toán). Thực tế, tại mọi chương trình thanh, kiểm tra số lượng chọn mẫu thanh tra, kiểm tra rất lớn nên Dự thảo ghi nhận 02 vi phạm bị trừ điểm là là số lượng rất nhỏ trên tổng thể nội dung của biên bản/báo cáo kiểm toán. Vì vậy, LPBank kính đề nghị Quý cơ quan xác định tỷ lệ này tính trên tỷ trọng (ví dụ tỷ trọng so với tổng dư nợ…).</w:t>
            </w:r>
          </w:p>
          <w:p w14:paraId="12F38CBF" w14:textId="77777777" w:rsidR="00755E60" w:rsidRPr="0002360B" w:rsidRDefault="00755E60" w:rsidP="00B268EC">
            <w:pPr>
              <w:widowControl w:val="0"/>
              <w:tabs>
                <w:tab w:val="left" w:pos="680"/>
                <w:tab w:val="left" w:pos="5670"/>
              </w:tabs>
              <w:spacing w:before="0" w:after="0"/>
              <w:rPr>
                <w:szCs w:val="24"/>
              </w:rPr>
            </w:pPr>
          </w:p>
        </w:tc>
        <w:tc>
          <w:tcPr>
            <w:tcW w:w="4252" w:type="dxa"/>
          </w:tcPr>
          <w:p w14:paraId="246B3C47" w14:textId="77777777" w:rsidR="00E57604" w:rsidRPr="0059729F" w:rsidRDefault="00E57604" w:rsidP="00B268EC">
            <w:pPr>
              <w:widowControl w:val="0"/>
              <w:tabs>
                <w:tab w:val="left" w:pos="5670"/>
              </w:tabs>
              <w:spacing w:before="0" w:after="0"/>
              <w:ind w:left="-41"/>
              <w:rPr>
                <w:b/>
                <w:szCs w:val="24"/>
                <w:lang w:val="pt-BR"/>
              </w:rPr>
            </w:pPr>
            <w:r w:rsidRPr="0059729F">
              <w:rPr>
                <w:b/>
                <w:szCs w:val="24"/>
                <w:lang w:val="pt-BR"/>
              </w:rPr>
              <w:t>Chưa tiếp thu</w:t>
            </w:r>
          </w:p>
          <w:p w14:paraId="40F42ECF" w14:textId="77777777" w:rsidR="00755E60" w:rsidRPr="0002360B" w:rsidRDefault="00755E60" w:rsidP="00B268EC">
            <w:pPr>
              <w:widowControl w:val="0"/>
              <w:tabs>
                <w:tab w:val="left" w:pos="5670"/>
              </w:tabs>
              <w:spacing w:before="0" w:after="0"/>
              <w:ind w:left="-41"/>
              <w:rPr>
                <w:szCs w:val="24"/>
                <w:lang w:val="pt-BR"/>
              </w:rPr>
            </w:pPr>
            <w:r w:rsidRPr="0059729F">
              <w:rPr>
                <w:szCs w:val="24"/>
                <w:lang w:val="pt-BR"/>
              </w:rPr>
              <w:t xml:space="preserve">Nội dung quy định tại DTTT đã phản ánh quan điểm về việc trừ điểm được tính căn cứ trên hành vi vi phạm và số lần vi phạm của TCTD. </w:t>
            </w:r>
          </w:p>
        </w:tc>
      </w:tr>
      <w:tr w:rsidR="0002360B" w:rsidRPr="0002360B" w14:paraId="0BD26948" w14:textId="77777777" w:rsidTr="00776E98">
        <w:trPr>
          <w:cantSplit/>
          <w:trHeight w:val="8734"/>
        </w:trPr>
        <w:tc>
          <w:tcPr>
            <w:tcW w:w="3828" w:type="dxa"/>
          </w:tcPr>
          <w:p w14:paraId="1364E237" w14:textId="77777777" w:rsidR="00755E60" w:rsidRPr="0002360B" w:rsidRDefault="00755E60" w:rsidP="00B268EC">
            <w:pPr>
              <w:widowControl w:val="0"/>
              <w:tabs>
                <w:tab w:val="left" w:pos="5670"/>
              </w:tabs>
              <w:spacing w:before="0" w:after="0"/>
              <w:rPr>
                <w:b/>
                <w:spacing w:val="-4"/>
                <w:szCs w:val="24"/>
                <w:lang w:val="pt-BR"/>
              </w:rPr>
            </w:pPr>
            <w:r w:rsidRPr="0059729F">
              <w:rPr>
                <w:b/>
                <w:spacing w:val="-4"/>
                <w:szCs w:val="24"/>
                <w:lang w:val="pt-BR"/>
              </w:rPr>
              <w:lastRenderedPageBreak/>
              <w:t>Khoản 10 Điều 1 DTTT sửa đổi bổ sung Điều 16 Thông tư 52 (liên quan đến khoản 6 Điều 16 Thông tư 52)</w:t>
            </w:r>
          </w:p>
          <w:p w14:paraId="20471340" w14:textId="77777777" w:rsidR="00755E60" w:rsidRPr="0002360B" w:rsidRDefault="00755E60" w:rsidP="00B268EC">
            <w:pPr>
              <w:widowControl w:val="0"/>
              <w:tabs>
                <w:tab w:val="left" w:pos="5670"/>
              </w:tabs>
              <w:spacing w:before="0" w:after="0"/>
              <w:rPr>
                <w:szCs w:val="24"/>
                <w:lang w:val="pt-BR"/>
              </w:rPr>
            </w:pPr>
            <w:r w:rsidRPr="0059729F">
              <w:rPr>
                <w:spacing w:val="-4"/>
                <w:szCs w:val="24"/>
                <w:lang w:val="pt-BR"/>
              </w:rPr>
              <w:t>“... 6.</w:t>
            </w:r>
            <w:r w:rsidRPr="0059729F">
              <w:rPr>
                <w:szCs w:val="24"/>
                <w:lang w:val="pt-BR"/>
              </w:rPr>
              <w:t xml:space="preserve"> Trường hợp tổ chức tín dụng, chi nhánh ngân hàng nước ngoài không thực hiện đầy đủ kế hoạch khắc phục các khuyến nghị, cảnh báo của Ngân hàng Nhà nước liên quan đến tổ chức, quản trị, điều hành và/hoặc vượt chỉ tiêu tăng trưởng tín dụng do Ngân hàng Nhà nước thông báo, ngoại trừ do tác động của các sự kiện bất khả kháng, điểm của nhóm chỉ tiêu định tính quy định tại khoản 2 Điều 9 Thông tư này sau khi đã được xác định theo quy định tại khoản 3, 5 Điều này sẽ tiếp tục bị trừ điểm theo nguyên tắc sau:</w:t>
            </w:r>
          </w:p>
          <w:p w14:paraId="61BA4BB9" w14:textId="77777777" w:rsidR="00755E60" w:rsidRPr="0002360B" w:rsidRDefault="00755E60" w:rsidP="00B268EC">
            <w:pPr>
              <w:widowControl w:val="0"/>
              <w:tabs>
                <w:tab w:val="left" w:pos="5670"/>
              </w:tabs>
              <w:spacing w:before="0" w:after="0"/>
              <w:rPr>
                <w:szCs w:val="24"/>
                <w:lang w:val="pt-BR"/>
              </w:rPr>
            </w:pPr>
            <w:r w:rsidRPr="0059729F">
              <w:rPr>
                <w:szCs w:val="24"/>
                <w:lang w:val="pt-BR"/>
              </w:rPr>
              <w:t>a) Trường hợp điểm của nhóm chỉ tiêu định tính lớn hơn 1, điểm của nhóm chỉ tiêu định tính của tổ chức tín dụng, chi nhánh ngân hàng nước ngoài bị trừ 1 điểm;</w:t>
            </w:r>
          </w:p>
          <w:p w14:paraId="42F7F15E" w14:textId="77777777" w:rsidR="00755E60" w:rsidRPr="0002360B" w:rsidRDefault="00755E60" w:rsidP="00B268EC">
            <w:pPr>
              <w:widowControl w:val="0"/>
              <w:tabs>
                <w:tab w:val="left" w:pos="5670"/>
              </w:tabs>
              <w:spacing w:before="0" w:after="0"/>
              <w:rPr>
                <w:szCs w:val="24"/>
                <w:lang w:val="nl-NL"/>
              </w:rPr>
            </w:pPr>
            <w:r w:rsidRPr="0059729F">
              <w:rPr>
                <w:szCs w:val="24"/>
                <w:lang w:val="pt-BR"/>
              </w:rPr>
              <w:t>b) Trường hợp điểm của nhóm chỉ tiêu định tính nhỏ hơn hoặc bằng 1, điểm của nhóm chỉ tiêu định tính của tổ chức tín dụng, chi nhánh ngân hàng nước ngoài bị trừ điểm và bằng 0,1 điểm</w:t>
            </w:r>
            <w:r w:rsidRPr="0059729F">
              <w:rPr>
                <w:szCs w:val="24"/>
                <w:lang w:val="nl-NL"/>
              </w:rPr>
              <w:t>.</w:t>
            </w:r>
          </w:p>
          <w:p w14:paraId="3CF371F9" w14:textId="77777777" w:rsidR="00755E60" w:rsidRPr="0002360B" w:rsidRDefault="00755E60" w:rsidP="00B268EC">
            <w:pPr>
              <w:widowControl w:val="0"/>
              <w:tabs>
                <w:tab w:val="left" w:pos="5670"/>
              </w:tabs>
              <w:spacing w:before="0" w:after="0"/>
              <w:rPr>
                <w:b/>
                <w:spacing w:val="-4"/>
                <w:szCs w:val="24"/>
                <w:lang w:val="pt-BR"/>
              </w:rPr>
            </w:pPr>
          </w:p>
        </w:tc>
        <w:tc>
          <w:tcPr>
            <w:tcW w:w="1730" w:type="dxa"/>
          </w:tcPr>
          <w:p w14:paraId="62683A97" w14:textId="04679407" w:rsidR="00755E60" w:rsidRPr="0002360B" w:rsidRDefault="00755E60" w:rsidP="00B268EC">
            <w:pPr>
              <w:widowControl w:val="0"/>
              <w:tabs>
                <w:tab w:val="left" w:pos="5670"/>
              </w:tabs>
              <w:spacing w:before="0" w:after="0"/>
              <w:rPr>
                <w:spacing w:val="-4"/>
                <w:szCs w:val="24"/>
                <w:lang w:val="pt-BR"/>
              </w:rPr>
            </w:pPr>
            <w:r w:rsidRPr="0059729F">
              <w:rPr>
                <w:spacing w:val="-4"/>
                <w:szCs w:val="24"/>
                <w:lang w:val="pt-BR"/>
              </w:rPr>
              <w:t>NHTMCP Bản Việt, NHTMCP Đại chúng, NHTMCP Hàng hải</w:t>
            </w:r>
            <w:r w:rsidR="005C7654">
              <w:rPr>
                <w:spacing w:val="-4"/>
                <w:szCs w:val="24"/>
                <w:lang w:val="pt-BR"/>
              </w:rPr>
              <w:t>, Hiệp hội ngân hàng Việt Nam</w:t>
            </w:r>
          </w:p>
        </w:tc>
        <w:tc>
          <w:tcPr>
            <w:tcW w:w="5358" w:type="dxa"/>
          </w:tcPr>
          <w:p w14:paraId="539CAA97" w14:textId="77777777" w:rsidR="00755E60" w:rsidRPr="0059729F" w:rsidRDefault="00755E60" w:rsidP="00B268EC">
            <w:pPr>
              <w:pStyle w:val="ListParagraph"/>
              <w:widowControl w:val="0"/>
              <w:tabs>
                <w:tab w:val="left" w:pos="2268"/>
                <w:tab w:val="left" w:pos="5670"/>
              </w:tabs>
              <w:ind w:left="0"/>
              <w:contextualSpacing w:val="0"/>
              <w:rPr>
                <w:rFonts w:eastAsia="Calibri"/>
                <w:bCs/>
                <w:sz w:val="24"/>
                <w:lang w:val="nl-NL"/>
              </w:rPr>
            </w:pPr>
            <w:r w:rsidRPr="0059729F">
              <w:rPr>
                <w:rFonts w:eastAsia="Calibri"/>
                <w:bCs/>
                <w:sz w:val="24"/>
                <w:lang w:val="nl-NL"/>
              </w:rPr>
              <w:t>- Dự thảo TT sửa đổi, bổ sung khoản 6 Điều 16</w:t>
            </w:r>
            <w:r w:rsidRPr="0059729F">
              <w:rPr>
                <w:sz w:val="24"/>
              </w:rPr>
              <w:t xml:space="preserve">. </w:t>
            </w:r>
            <w:r w:rsidRPr="0059729F">
              <w:rPr>
                <w:rFonts w:eastAsia="Calibri"/>
                <w:bCs/>
                <w:sz w:val="24"/>
                <w:lang w:val="nl-NL"/>
              </w:rPr>
              <w:t>Cách tính điểm nhóm chỉ tiêu định tính theo hướng quy định về điểm trừ đối với TCTD  khi: “</w:t>
            </w:r>
            <w:r w:rsidRPr="0059729F">
              <w:rPr>
                <w:rFonts w:eastAsia="Calibri"/>
                <w:bCs/>
                <w:i/>
                <w:sz w:val="24"/>
                <w:lang w:val="nl-NL"/>
              </w:rPr>
              <w:t xml:space="preserve">…vượt chỉ tiêu tăng trưởng tín dụng do Ngân hàng Nhà nước thông báo...” . </w:t>
            </w:r>
            <w:r w:rsidRPr="0059729F">
              <w:rPr>
                <w:rFonts w:eastAsia="Calibri"/>
                <w:bCs/>
                <w:sz w:val="24"/>
                <w:lang w:val="nl-NL"/>
              </w:rPr>
              <w:t>TCTD cần linh hoạt trong tăng trưởng tín dụng mới có thể để đáp ứng nhu cầu của khách hàng trong sản xuất kinh doanh, tiêu dùng phục vụ đời sống và góp phần vào tăng trưởng của đất nước. Linh hoạt trong tăng trưởng tín dụng của TCTD hiện nay cũng đang đảm bảo chất lượng tín dụng theo các quy định của Ngân hàng Nhà nước. Vì vậy, đề xuất Ngân hàng Nhà nước xem xét không đưa tiêu chí  “</w:t>
            </w:r>
            <w:r w:rsidRPr="0059729F">
              <w:rPr>
                <w:rFonts w:eastAsia="Calibri"/>
                <w:bCs/>
                <w:i/>
                <w:sz w:val="24"/>
                <w:lang w:val="nl-NL"/>
              </w:rPr>
              <w:t>Vượt chỉ tiêu tăng trưởng tín dụng do NHNN thông báo</w:t>
            </w:r>
            <w:r w:rsidRPr="0059729F">
              <w:rPr>
                <w:rFonts w:eastAsia="Calibri"/>
                <w:bCs/>
                <w:sz w:val="24"/>
                <w:lang w:val="nl-NL"/>
              </w:rPr>
              <w:t>” vào điểm trừ tính điểm của chỉ tiêu định tính.</w:t>
            </w:r>
          </w:p>
          <w:p w14:paraId="3C4946BC" w14:textId="77777777" w:rsidR="00755E60" w:rsidRPr="0002360B" w:rsidRDefault="00755E60" w:rsidP="00B268EC">
            <w:pPr>
              <w:widowControl w:val="0"/>
              <w:tabs>
                <w:tab w:val="left" w:pos="5670"/>
              </w:tabs>
              <w:spacing w:before="0" w:after="0"/>
              <w:rPr>
                <w:szCs w:val="24"/>
              </w:rPr>
            </w:pPr>
            <w:r w:rsidRPr="0059729F">
              <w:rPr>
                <w:szCs w:val="24"/>
              </w:rPr>
              <w:t>- Căn cứ chỉ đạo mới nhất của Thủ tướng chính phủ v/v yêu cầu NHNN sớm gỡ bỏ công cụ hành chính điều hành tín dụng thông qua giao chỉ tiêu hạn mức cho từng ngân hàng (ngày 03/07/2025). Bên cạnh đó, Tín dụng là cấu phần quan trọng trong tỷ lệ an toàn vốn tối thiểu, các ngân hàng kiểm soát tín dụng thông qua kiểm soát tỷ lệ CAR là phù hợp với thông lệ chung. Chính vì vậy đề xuất bỏ chỉ tiêu trừ điểm này.</w:t>
            </w:r>
          </w:p>
          <w:p w14:paraId="622B7901" w14:textId="77777777" w:rsidR="00755E60" w:rsidRPr="0059729F" w:rsidRDefault="00755E60" w:rsidP="00B268EC">
            <w:pPr>
              <w:pStyle w:val="TableParagraph"/>
              <w:tabs>
                <w:tab w:val="left" w:pos="5670"/>
              </w:tabs>
              <w:ind w:left="0"/>
              <w:rPr>
                <w:noProof/>
                <w:sz w:val="24"/>
                <w:szCs w:val="24"/>
              </w:rPr>
            </w:pPr>
            <w:r w:rsidRPr="0059729F">
              <w:rPr>
                <w:sz w:val="24"/>
                <w:szCs w:val="24"/>
                <w:lang w:val="en-US"/>
              </w:rPr>
              <w:t xml:space="preserve">- </w:t>
            </w:r>
            <w:r w:rsidRPr="0059729F">
              <w:rPr>
                <w:sz w:val="24"/>
                <w:szCs w:val="24"/>
              </w:rPr>
              <w:t>Hiện</w:t>
            </w:r>
            <w:r w:rsidRPr="0059729F">
              <w:rPr>
                <w:spacing w:val="-5"/>
                <w:sz w:val="24"/>
                <w:szCs w:val="24"/>
              </w:rPr>
              <w:t xml:space="preserve"> </w:t>
            </w:r>
            <w:r w:rsidRPr="0059729F">
              <w:rPr>
                <w:sz w:val="24"/>
                <w:szCs w:val="24"/>
              </w:rPr>
              <w:t>nay</w:t>
            </w:r>
            <w:r w:rsidRPr="0059729F">
              <w:rPr>
                <w:spacing w:val="-5"/>
                <w:sz w:val="24"/>
                <w:szCs w:val="24"/>
              </w:rPr>
              <w:t xml:space="preserve"> </w:t>
            </w:r>
            <w:r w:rsidRPr="0059729F">
              <w:rPr>
                <w:sz w:val="24"/>
                <w:szCs w:val="24"/>
              </w:rPr>
              <w:t>Ngân</w:t>
            </w:r>
            <w:r w:rsidRPr="0059729F">
              <w:rPr>
                <w:spacing w:val="-5"/>
                <w:sz w:val="24"/>
                <w:szCs w:val="24"/>
              </w:rPr>
              <w:t xml:space="preserve"> </w:t>
            </w:r>
            <w:r w:rsidRPr="0059729F">
              <w:rPr>
                <w:sz w:val="24"/>
                <w:szCs w:val="24"/>
              </w:rPr>
              <w:t>hàng</w:t>
            </w:r>
            <w:r w:rsidRPr="0059729F">
              <w:rPr>
                <w:spacing w:val="-5"/>
                <w:sz w:val="24"/>
                <w:szCs w:val="24"/>
              </w:rPr>
              <w:t xml:space="preserve"> </w:t>
            </w:r>
            <w:r w:rsidRPr="0059729F">
              <w:rPr>
                <w:sz w:val="24"/>
                <w:szCs w:val="24"/>
              </w:rPr>
              <w:t>Nhà</w:t>
            </w:r>
            <w:r w:rsidRPr="0059729F">
              <w:rPr>
                <w:spacing w:val="-5"/>
                <w:sz w:val="24"/>
                <w:szCs w:val="24"/>
              </w:rPr>
              <w:t xml:space="preserve"> </w:t>
            </w:r>
            <w:r w:rsidRPr="0059729F">
              <w:rPr>
                <w:sz w:val="24"/>
                <w:szCs w:val="24"/>
              </w:rPr>
              <w:t>nước</w:t>
            </w:r>
            <w:r w:rsidRPr="0059729F">
              <w:rPr>
                <w:spacing w:val="-5"/>
                <w:sz w:val="24"/>
                <w:szCs w:val="24"/>
              </w:rPr>
              <w:t xml:space="preserve"> </w:t>
            </w:r>
            <w:r w:rsidRPr="0059729F">
              <w:rPr>
                <w:sz w:val="24"/>
                <w:szCs w:val="24"/>
              </w:rPr>
              <w:t>đã</w:t>
            </w:r>
            <w:r w:rsidRPr="0059729F">
              <w:rPr>
                <w:spacing w:val="-5"/>
                <w:sz w:val="24"/>
                <w:szCs w:val="24"/>
              </w:rPr>
              <w:t xml:space="preserve"> </w:t>
            </w:r>
            <w:r w:rsidRPr="0059729F">
              <w:rPr>
                <w:sz w:val="24"/>
                <w:szCs w:val="24"/>
              </w:rPr>
              <w:t>bỏ chỉ</w:t>
            </w:r>
            <w:r w:rsidRPr="0059729F">
              <w:rPr>
                <w:spacing w:val="12"/>
                <w:sz w:val="24"/>
                <w:szCs w:val="24"/>
              </w:rPr>
              <w:t xml:space="preserve"> </w:t>
            </w:r>
            <w:r w:rsidRPr="0059729F">
              <w:rPr>
                <w:sz w:val="24"/>
                <w:szCs w:val="24"/>
              </w:rPr>
              <w:t>tiêu</w:t>
            </w:r>
            <w:r w:rsidRPr="0059729F">
              <w:rPr>
                <w:spacing w:val="13"/>
                <w:sz w:val="24"/>
                <w:szCs w:val="24"/>
              </w:rPr>
              <w:t xml:space="preserve"> </w:t>
            </w:r>
            <w:r w:rsidRPr="0059729F">
              <w:rPr>
                <w:sz w:val="24"/>
                <w:szCs w:val="24"/>
              </w:rPr>
              <w:t>tăng</w:t>
            </w:r>
            <w:r w:rsidRPr="0059729F">
              <w:rPr>
                <w:spacing w:val="12"/>
                <w:sz w:val="24"/>
                <w:szCs w:val="24"/>
              </w:rPr>
              <w:t xml:space="preserve"> </w:t>
            </w:r>
            <w:r w:rsidRPr="0059729F">
              <w:rPr>
                <w:sz w:val="24"/>
                <w:szCs w:val="24"/>
              </w:rPr>
              <w:t>trưởng</w:t>
            </w:r>
            <w:r w:rsidRPr="0059729F">
              <w:rPr>
                <w:spacing w:val="13"/>
                <w:sz w:val="24"/>
                <w:szCs w:val="24"/>
              </w:rPr>
              <w:t xml:space="preserve"> </w:t>
            </w:r>
            <w:r w:rsidRPr="0059729F">
              <w:rPr>
                <w:sz w:val="24"/>
                <w:szCs w:val="24"/>
              </w:rPr>
              <w:t>tín</w:t>
            </w:r>
            <w:r w:rsidRPr="0059729F">
              <w:rPr>
                <w:spacing w:val="12"/>
                <w:sz w:val="24"/>
                <w:szCs w:val="24"/>
              </w:rPr>
              <w:t xml:space="preserve"> </w:t>
            </w:r>
            <w:r w:rsidRPr="0059729F">
              <w:rPr>
                <w:sz w:val="24"/>
                <w:szCs w:val="24"/>
              </w:rPr>
              <w:t>dụng</w:t>
            </w:r>
            <w:r w:rsidRPr="0059729F">
              <w:rPr>
                <w:spacing w:val="13"/>
                <w:sz w:val="24"/>
                <w:szCs w:val="24"/>
              </w:rPr>
              <w:t xml:space="preserve"> </w:t>
            </w:r>
            <w:r w:rsidRPr="0059729F">
              <w:rPr>
                <w:sz w:val="24"/>
                <w:szCs w:val="24"/>
              </w:rPr>
              <w:t>đối</w:t>
            </w:r>
            <w:r w:rsidRPr="0059729F">
              <w:rPr>
                <w:spacing w:val="13"/>
                <w:sz w:val="24"/>
                <w:szCs w:val="24"/>
              </w:rPr>
              <w:t xml:space="preserve"> </w:t>
            </w:r>
            <w:r w:rsidRPr="0059729F">
              <w:rPr>
                <w:spacing w:val="-5"/>
                <w:sz w:val="24"/>
                <w:szCs w:val="24"/>
              </w:rPr>
              <w:t>với</w:t>
            </w:r>
            <w:r w:rsidRPr="0059729F">
              <w:rPr>
                <w:spacing w:val="-5"/>
                <w:sz w:val="24"/>
                <w:szCs w:val="24"/>
                <w:lang w:val="en-US"/>
              </w:rPr>
              <w:t xml:space="preserve"> </w:t>
            </w:r>
            <w:r w:rsidRPr="0059729F">
              <w:rPr>
                <w:sz w:val="24"/>
                <w:szCs w:val="24"/>
              </w:rPr>
              <w:t>hầu</w:t>
            </w:r>
            <w:r w:rsidRPr="0059729F">
              <w:rPr>
                <w:spacing w:val="69"/>
                <w:sz w:val="24"/>
                <w:szCs w:val="24"/>
              </w:rPr>
              <w:t xml:space="preserve"> </w:t>
            </w:r>
            <w:r w:rsidRPr="0059729F">
              <w:rPr>
                <w:sz w:val="24"/>
                <w:szCs w:val="24"/>
              </w:rPr>
              <w:t>hết</w:t>
            </w:r>
            <w:r w:rsidRPr="0059729F">
              <w:rPr>
                <w:spacing w:val="70"/>
                <w:sz w:val="24"/>
                <w:szCs w:val="24"/>
              </w:rPr>
              <w:t xml:space="preserve"> </w:t>
            </w:r>
            <w:r w:rsidRPr="0059729F">
              <w:rPr>
                <w:sz w:val="24"/>
                <w:szCs w:val="24"/>
              </w:rPr>
              <w:t>các</w:t>
            </w:r>
            <w:r w:rsidRPr="0059729F">
              <w:rPr>
                <w:spacing w:val="70"/>
                <w:sz w:val="24"/>
                <w:szCs w:val="24"/>
              </w:rPr>
              <w:t xml:space="preserve"> </w:t>
            </w:r>
            <w:r w:rsidRPr="0059729F">
              <w:rPr>
                <w:sz w:val="24"/>
                <w:szCs w:val="24"/>
              </w:rPr>
              <w:t>tổ</w:t>
            </w:r>
            <w:r w:rsidRPr="0059729F">
              <w:rPr>
                <w:spacing w:val="70"/>
                <w:sz w:val="24"/>
                <w:szCs w:val="24"/>
              </w:rPr>
              <w:t xml:space="preserve"> </w:t>
            </w:r>
            <w:r w:rsidRPr="0059729F">
              <w:rPr>
                <w:sz w:val="24"/>
                <w:szCs w:val="24"/>
              </w:rPr>
              <w:t>chức</w:t>
            </w:r>
            <w:r w:rsidRPr="0059729F">
              <w:rPr>
                <w:spacing w:val="70"/>
                <w:sz w:val="24"/>
                <w:szCs w:val="24"/>
              </w:rPr>
              <w:t xml:space="preserve"> </w:t>
            </w:r>
            <w:r w:rsidRPr="0059729F">
              <w:rPr>
                <w:sz w:val="24"/>
                <w:szCs w:val="24"/>
              </w:rPr>
              <w:t>tín</w:t>
            </w:r>
            <w:r w:rsidRPr="0059729F">
              <w:rPr>
                <w:spacing w:val="70"/>
                <w:sz w:val="24"/>
                <w:szCs w:val="24"/>
              </w:rPr>
              <w:t xml:space="preserve"> </w:t>
            </w:r>
            <w:r w:rsidRPr="0059729F">
              <w:rPr>
                <w:sz w:val="24"/>
                <w:szCs w:val="24"/>
              </w:rPr>
              <w:t>dụng,</w:t>
            </w:r>
            <w:r w:rsidRPr="0059729F">
              <w:rPr>
                <w:spacing w:val="70"/>
                <w:sz w:val="24"/>
                <w:szCs w:val="24"/>
              </w:rPr>
              <w:t xml:space="preserve"> </w:t>
            </w:r>
            <w:r w:rsidRPr="0059729F">
              <w:rPr>
                <w:spacing w:val="-5"/>
                <w:sz w:val="24"/>
                <w:szCs w:val="24"/>
              </w:rPr>
              <w:t>chi</w:t>
            </w:r>
            <w:r w:rsidRPr="0059729F">
              <w:rPr>
                <w:sz w:val="24"/>
                <w:szCs w:val="24"/>
              </w:rPr>
              <w:t xml:space="preserve"> nhánh ngân hang nước ngoài trừ ngân hàng tương mại trong nước và đang trong quá trình dự kiến xóa bỏ nốt chỉ tiêu tăng trưởng tín dụng đối với đối tượng này. Do đó đề nghị bỏ nội</w:t>
            </w:r>
            <w:r w:rsidRPr="0059729F">
              <w:rPr>
                <w:spacing w:val="-3"/>
                <w:sz w:val="24"/>
                <w:szCs w:val="24"/>
              </w:rPr>
              <w:t xml:space="preserve"> </w:t>
            </w:r>
            <w:r w:rsidRPr="0059729F">
              <w:rPr>
                <w:sz w:val="24"/>
                <w:szCs w:val="24"/>
              </w:rPr>
              <w:t>dung</w:t>
            </w:r>
            <w:r w:rsidRPr="0059729F">
              <w:rPr>
                <w:spacing w:val="-3"/>
                <w:sz w:val="24"/>
                <w:szCs w:val="24"/>
              </w:rPr>
              <w:t xml:space="preserve"> “</w:t>
            </w:r>
            <w:r w:rsidRPr="0059729F">
              <w:rPr>
                <w:i/>
                <w:sz w:val="24"/>
                <w:szCs w:val="24"/>
              </w:rPr>
              <w:t>và/hoặc</w:t>
            </w:r>
            <w:r w:rsidRPr="0059729F">
              <w:rPr>
                <w:i/>
                <w:spacing w:val="-3"/>
                <w:sz w:val="24"/>
                <w:szCs w:val="24"/>
              </w:rPr>
              <w:t xml:space="preserve"> </w:t>
            </w:r>
            <w:r w:rsidRPr="0059729F">
              <w:rPr>
                <w:i/>
                <w:sz w:val="24"/>
                <w:szCs w:val="24"/>
              </w:rPr>
              <w:t>vượt</w:t>
            </w:r>
            <w:r w:rsidRPr="0059729F">
              <w:rPr>
                <w:i/>
                <w:spacing w:val="-3"/>
                <w:sz w:val="24"/>
                <w:szCs w:val="24"/>
              </w:rPr>
              <w:t xml:space="preserve"> </w:t>
            </w:r>
            <w:r w:rsidRPr="0059729F">
              <w:rPr>
                <w:i/>
                <w:sz w:val="24"/>
                <w:szCs w:val="24"/>
              </w:rPr>
              <w:t>chỉ</w:t>
            </w:r>
            <w:r w:rsidRPr="0059729F">
              <w:rPr>
                <w:i/>
                <w:spacing w:val="-3"/>
                <w:sz w:val="24"/>
                <w:szCs w:val="24"/>
              </w:rPr>
              <w:t xml:space="preserve"> </w:t>
            </w:r>
            <w:r w:rsidRPr="0059729F">
              <w:rPr>
                <w:i/>
                <w:sz w:val="24"/>
                <w:szCs w:val="24"/>
              </w:rPr>
              <w:t>tiêu</w:t>
            </w:r>
            <w:r w:rsidRPr="0059729F">
              <w:rPr>
                <w:i/>
                <w:spacing w:val="-3"/>
                <w:sz w:val="24"/>
                <w:szCs w:val="24"/>
              </w:rPr>
              <w:t xml:space="preserve"> </w:t>
            </w:r>
            <w:r w:rsidRPr="0059729F">
              <w:rPr>
                <w:i/>
                <w:sz w:val="24"/>
                <w:szCs w:val="24"/>
              </w:rPr>
              <w:t>tăng trưởng tín dụng do Ngân hàng Nhà nước thông báo”</w:t>
            </w:r>
            <w:r w:rsidRPr="0059729F">
              <w:rPr>
                <w:sz w:val="24"/>
                <w:szCs w:val="24"/>
              </w:rPr>
              <w:t>.</w:t>
            </w:r>
          </w:p>
        </w:tc>
        <w:tc>
          <w:tcPr>
            <w:tcW w:w="4252" w:type="dxa"/>
          </w:tcPr>
          <w:p w14:paraId="38CE0BFB" w14:textId="77777777" w:rsidR="00755E60" w:rsidRPr="0059729F" w:rsidRDefault="00755E60" w:rsidP="00B268EC">
            <w:pPr>
              <w:widowControl w:val="0"/>
              <w:tabs>
                <w:tab w:val="left" w:pos="5670"/>
              </w:tabs>
              <w:spacing w:before="0" w:after="0"/>
              <w:ind w:left="-41"/>
              <w:rPr>
                <w:b/>
                <w:szCs w:val="24"/>
                <w:lang w:val="pt-BR"/>
              </w:rPr>
            </w:pPr>
            <w:r w:rsidRPr="0059729F">
              <w:rPr>
                <w:b/>
                <w:szCs w:val="24"/>
                <w:lang w:val="pt-BR"/>
              </w:rPr>
              <w:t>Chưa tiếp thu</w:t>
            </w:r>
          </w:p>
          <w:p w14:paraId="53AE763F" w14:textId="77777777" w:rsidR="004C7F70" w:rsidRPr="0059729F" w:rsidRDefault="004C7F70" w:rsidP="004C7F70">
            <w:pPr>
              <w:widowControl w:val="0"/>
              <w:tabs>
                <w:tab w:val="left" w:pos="5670"/>
              </w:tabs>
              <w:spacing w:before="0" w:after="0"/>
              <w:ind w:left="-41"/>
              <w:rPr>
                <w:bCs/>
                <w:szCs w:val="24"/>
                <w:lang w:val="pt-BR"/>
              </w:rPr>
            </w:pPr>
            <w:r w:rsidRPr="0059729F">
              <w:rPr>
                <w:bCs/>
                <w:szCs w:val="24"/>
                <w:lang w:val="pt-BR"/>
              </w:rPr>
              <w:t xml:space="preserve">Việc gỡ bỏ biện pháp giao chỉ tiêu tăng trưởng tín dụng cần được thực hiện từng bước theo lộ trình để thực hiện mục tiêu ổn định kinh tế vĩ mô, kiểm soát lạm phát, đồng thời đảm bảo an toàn hoạt động ngân hàng. </w:t>
            </w:r>
          </w:p>
          <w:p w14:paraId="4E3EE342" w14:textId="255629BF" w:rsidR="00755E60" w:rsidRPr="0059729F" w:rsidRDefault="004C7F70" w:rsidP="00B268EC">
            <w:pPr>
              <w:widowControl w:val="0"/>
              <w:tabs>
                <w:tab w:val="left" w:pos="5670"/>
              </w:tabs>
              <w:spacing w:before="0" w:after="0"/>
              <w:ind w:left="-41"/>
              <w:rPr>
                <w:bCs/>
                <w:szCs w:val="24"/>
                <w:lang w:val="pt-BR"/>
              </w:rPr>
            </w:pPr>
            <w:r w:rsidRPr="0059729F">
              <w:rPr>
                <w:bCs/>
                <w:szCs w:val="24"/>
                <w:lang w:val="pt-BR"/>
              </w:rPr>
              <w:t xml:space="preserve">Như vậy trong khoảng thời gian này, việc quy định trừ điểm xếp hạng đối với trường hợp </w:t>
            </w:r>
            <w:r w:rsidRPr="0059729F">
              <w:rPr>
                <w:rFonts w:eastAsia="Calibri"/>
                <w:bCs/>
                <w:szCs w:val="24"/>
              </w:rPr>
              <w:t>vượt chỉ tiêu tăng trưởng tín dụng do Ngân hàng Nhà nước thông báo là cần thiết để đánh giá mức độ tuân thủ của TCTD trong việc thực hiện các chỉ đạo, điều hành của NHNN, qua đó giúp tăng tính hiệu lực, hiệu quả của công cụ điều hành chính sách tiền tệ cho đến khi dừng giao chỉ tiêu tăng trưởng tín dụng</w:t>
            </w:r>
            <w:r w:rsidRPr="0059729F">
              <w:rPr>
                <w:szCs w:val="24"/>
                <w:lang w:val="pt-BR"/>
              </w:rPr>
              <w:t>.</w:t>
            </w:r>
          </w:p>
          <w:p w14:paraId="5DA12A53" w14:textId="77777777" w:rsidR="00755E60" w:rsidRPr="0002360B" w:rsidRDefault="00755E60" w:rsidP="00B268EC">
            <w:pPr>
              <w:widowControl w:val="0"/>
              <w:tabs>
                <w:tab w:val="left" w:pos="5670"/>
              </w:tabs>
              <w:spacing w:before="0" w:after="0"/>
              <w:ind w:left="-41"/>
              <w:rPr>
                <w:szCs w:val="24"/>
                <w:lang w:val="pt-BR"/>
              </w:rPr>
            </w:pPr>
          </w:p>
          <w:p w14:paraId="0AE199B5" w14:textId="77777777" w:rsidR="00755E60" w:rsidRPr="0002360B" w:rsidRDefault="00755E60" w:rsidP="00B268EC">
            <w:pPr>
              <w:widowControl w:val="0"/>
              <w:tabs>
                <w:tab w:val="left" w:pos="5670"/>
              </w:tabs>
              <w:spacing w:before="0" w:after="0"/>
              <w:ind w:left="-41"/>
              <w:rPr>
                <w:szCs w:val="24"/>
                <w:lang w:val="pt-BR"/>
              </w:rPr>
            </w:pPr>
            <w:r w:rsidRPr="0059729F">
              <w:rPr>
                <w:szCs w:val="24"/>
                <w:lang w:val="pt-BR"/>
              </w:rPr>
              <w:t xml:space="preserve">    </w:t>
            </w:r>
          </w:p>
        </w:tc>
      </w:tr>
      <w:tr w:rsidR="0002360B" w:rsidRPr="0002360B" w14:paraId="218C7038" w14:textId="77777777" w:rsidTr="00776E98">
        <w:trPr>
          <w:cantSplit/>
          <w:trHeight w:val="3857"/>
        </w:trPr>
        <w:tc>
          <w:tcPr>
            <w:tcW w:w="3828" w:type="dxa"/>
          </w:tcPr>
          <w:p w14:paraId="221DAF4C" w14:textId="77777777" w:rsidR="00755E60" w:rsidRPr="0002360B" w:rsidRDefault="00755E60" w:rsidP="00B268EC">
            <w:pPr>
              <w:widowControl w:val="0"/>
              <w:tabs>
                <w:tab w:val="left" w:pos="5670"/>
              </w:tabs>
              <w:spacing w:before="0" w:after="0"/>
              <w:rPr>
                <w:b/>
                <w:spacing w:val="-4"/>
                <w:szCs w:val="24"/>
                <w:lang w:val="pt-BR"/>
              </w:rPr>
            </w:pPr>
          </w:p>
        </w:tc>
        <w:tc>
          <w:tcPr>
            <w:tcW w:w="1730" w:type="dxa"/>
          </w:tcPr>
          <w:p w14:paraId="67DABCAA" w14:textId="77777777" w:rsidR="00755E60" w:rsidRPr="0002360B" w:rsidRDefault="00755E60" w:rsidP="00B268EC">
            <w:pPr>
              <w:widowControl w:val="0"/>
              <w:tabs>
                <w:tab w:val="left" w:pos="5670"/>
              </w:tabs>
              <w:spacing w:before="0" w:after="0"/>
              <w:rPr>
                <w:spacing w:val="-4"/>
                <w:szCs w:val="24"/>
                <w:lang w:val="pt-BR"/>
              </w:rPr>
            </w:pPr>
            <w:r w:rsidRPr="0059729F">
              <w:rPr>
                <w:spacing w:val="-4"/>
                <w:szCs w:val="24"/>
                <w:lang w:val="pt-BR"/>
              </w:rPr>
              <w:t>NHTMCP Lộc Phát</w:t>
            </w:r>
          </w:p>
        </w:tc>
        <w:tc>
          <w:tcPr>
            <w:tcW w:w="5358" w:type="dxa"/>
          </w:tcPr>
          <w:p w14:paraId="4D84BF97" w14:textId="77777777" w:rsidR="00755E60" w:rsidRPr="0002360B" w:rsidRDefault="00755E60" w:rsidP="00B268EC">
            <w:pPr>
              <w:widowControl w:val="0"/>
              <w:shd w:val="clear" w:color="auto" w:fill="FFFFFF"/>
              <w:tabs>
                <w:tab w:val="left" w:pos="5670"/>
              </w:tabs>
              <w:spacing w:before="0" w:after="0"/>
              <w:rPr>
                <w:rFonts w:eastAsia="Calibri"/>
                <w:szCs w:val="24"/>
              </w:rPr>
            </w:pPr>
            <w:r w:rsidRPr="0059729F">
              <w:rPr>
                <w:rFonts w:eastAsia="Calibri"/>
                <w:szCs w:val="24"/>
              </w:rPr>
              <w:t>Dự thảo ghi nhận như sau: “</w:t>
            </w:r>
            <w:r w:rsidRPr="0059729F">
              <w:rPr>
                <w:rFonts w:eastAsia="Calibri"/>
                <w:i/>
                <w:szCs w:val="24"/>
              </w:rPr>
              <w:t xml:space="preserve">Trường hợp tổ chức tín dụng, chi nhánh ngân hàng nước ngoài không thực hiện đầy đủ kế hoạch khắc phục các khuyến nghị, cảnh báo của Ngân hàng Nhà nước liên quan đến tổ chức, quản trị, điều hành và/hoặc </w:t>
            </w:r>
            <w:r w:rsidRPr="0059729F">
              <w:rPr>
                <w:rFonts w:eastAsia="Calibri"/>
                <w:b/>
                <w:i/>
                <w:szCs w:val="24"/>
                <w:u w:val="single"/>
              </w:rPr>
              <w:t>vượt chỉ tiêu tăng trưởng tín dụng do Ngân hàng Nhà nước thông báo …</w:t>
            </w:r>
            <w:r w:rsidRPr="0059729F">
              <w:rPr>
                <w:rFonts w:eastAsia="Calibri"/>
                <w:szCs w:val="24"/>
              </w:rPr>
              <w:t>”</w:t>
            </w:r>
          </w:p>
          <w:p w14:paraId="78B6EB07" w14:textId="77777777" w:rsidR="00755E60" w:rsidRPr="0002360B" w:rsidRDefault="00755E60" w:rsidP="00B268EC">
            <w:pPr>
              <w:widowControl w:val="0"/>
              <w:shd w:val="clear" w:color="auto" w:fill="FFFFFF"/>
              <w:tabs>
                <w:tab w:val="left" w:pos="5670"/>
              </w:tabs>
              <w:spacing w:before="0" w:after="0"/>
              <w:rPr>
                <w:rFonts w:eastAsia="Calibri"/>
                <w:szCs w:val="24"/>
              </w:rPr>
            </w:pPr>
            <w:r w:rsidRPr="0059729F">
              <w:rPr>
                <w:rFonts w:eastAsia="Calibri"/>
                <w:szCs w:val="24"/>
              </w:rPr>
              <w:t>Để có căn cứ thực hiện trên thực tế, LPBank kính đề nghị Quý cơ quan hướng dẫn chi tiết tần suất theo dõi vượt chỉ tiêu tăng trưởng tín dụng (theo dõi hàng ngày/hàng quý/hàng tháng trong năm xếp hạng).</w:t>
            </w:r>
          </w:p>
          <w:p w14:paraId="1C637052" w14:textId="77777777" w:rsidR="00755E60" w:rsidRPr="0059729F" w:rsidRDefault="00755E60" w:rsidP="00B268EC">
            <w:pPr>
              <w:pStyle w:val="ListParagraph"/>
              <w:widowControl w:val="0"/>
              <w:tabs>
                <w:tab w:val="left" w:pos="2268"/>
                <w:tab w:val="left" w:pos="5670"/>
              </w:tabs>
              <w:ind w:left="0"/>
              <w:contextualSpacing w:val="0"/>
              <w:rPr>
                <w:rFonts w:eastAsia="Calibri"/>
                <w:bCs/>
                <w:sz w:val="24"/>
                <w:lang w:val="nl-NL"/>
              </w:rPr>
            </w:pPr>
          </w:p>
        </w:tc>
        <w:tc>
          <w:tcPr>
            <w:tcW w:w="4252" w:type="dxa"/>
          </w:tcPr>
          <w:p w14:paraId="2DD8A82C" w14:textId="77777777" w:rsidR="00755E60" w:rsidRPr="0059729F" w:rsidRDefault="00755E60" w:rsidP="00B268EC">
            <w:pPr>
              <w:widowControl w:val="0"/>
              <w:tabs>
                <w:tab w:val="left" w:pos="5670"/>
              </w:tabs>
              <w:spacing w:before="0" w:after="0"/>
              <w:ind w:left="-41"/>
              <w:rPr>
                <w:b/>
                <w:szCs w:val="24"/>
                <w:lang w:val="pt-BR"/>
              </w:rPr>
            </w:pPr>
            <w:r w:rsidRPr="0059729F">
              <w:rPr>
                <w:b/>
                <w:szCs w:val="24"/>
                <w:lang w:val="pt-BR"/>
              </w:rPr>
              <w:t>Chưa tiếp thu</w:t>
            </w:r>
          </w:p>
          <w:p w14:paraId="6BB8642B" w14:textId="7EDA85BF" w:rsidR="00755E60" w:rsidRPr="0059729F" w:rsidRDefault="00755E60" w:rsidP="00B268EC">
            <w:pPr>
              <w:widowControl w:val="0"/>
              <w:tabs>
                <w:tab w:val="left" w:pos="5670"/>
              </w:tabs>
              <w:spacing w:before="0" w:after="0"/>
              <w:ind w:left="-41"/>
              <w:rPr>
                <w:bCs/>
                <w:szCs w:val="24"/>
                <w:lang w:val="pt-BR"/>
              </w:rPr>
            </w:pPr>
            <w:r w:rsidRPr="0059729F">
              <w:rPr>
                <w:bCs/>
                <w:szCs w:val="24"/>
                <w:lang w:val="pt-BR"/>
              </w:rPr>
              <w:t xml:space="preserve">Việc gỡ bỏ biện pháp giao chỉ tiêu tăng trưởng tín dụng cần được thực hiện từng bước theo lộ trình để thực hiện mục tiêu ổn định kinh tế vĩ mô, kiểm soát lạm phát, đồng thời đảm bảo an toàn hoạt động ngân hàng. </w:t>
            </w:r>
          </w:p>
          <w:p w14:paraId="1BE7AAB4" w14:textId="77777777" w:rsidR="00755E60" w:rsidRPr="0002360B" w:rsidRDefault="00755E60" w:rsidP="00B268EC">
            <w:pPr>
              <w:widowControl w:val="0"/>
              <w:tabs>
                <w:tab w:val="left" w:pos="5670"/>
              </w:tabs>
              <w:spacing w:before="0" w:after="0"/>
              <w:ind w:left="-41"/>
              <w:rPr>
                <w:b/>
                <w:szCs w:val="24"/>
                <w:lang w:val="pt-BR"/>
              </w:rPr>
            </w:pPr>
            <w:r w:rsidRPr="0059729F">
              <w:rPr>
                <w:bCs/>
                <w:szCs w:val="24"/>
                <w:lang w:val="pt-BR"/>
              </w:rPr>
              <w:t xml:space="preserve">Như vậy trong khoảng thời gian này, việc quy định trừ điểm xếp hạng đối với trường hợp </w:t>
            </w:r>
            <w:r w:rsidRPr="0059729F">
              <w:rPr>
                <w:rFonts w:eastAsia="Calibri"/>
                <w:bCs/>
                <w:szCs w:val="24"/>
              </w:rPr>
              <w:t>vượt chỉ tiêu tăng trưởng tín dụng do Ngân hàng Nhà nước thông báo là cần thiết để đánh giá mức độ tuân thủ của TCTD trong việc thực hiện các chỉ đạo, điều hành của NHNN, qua đó giúp tăng tính hiệu lực, hiệu quả của công cụ điều hành chính sách tiền tệ</w:t>
            </w:r>
            <w:r w:rsidR="004C7F70" w:rsidRPr="0059729F">
              <w:rPr>
                <w:rFonts w:eastAsia="Calibri"/>
                <w:bCs/>
                <w:szCs w:val="24"/>
              </w:rPr>
              <w:t xml:space="preserve"> cho đến khi dừng giao chỉ tiêu tăng trưởng tín dụng</w:t>
            </w:r>
            <w:r w:rsidRPr="0059729F">
              <w:rPr>
                <w:szCs w:val="24"/>
                <w:lang w:val="pt-BR"/>
              </w:rPr>
              <w:t>.</w:t>
            </w:r>
          </w:p>
        </w:tc>
      </w:tr>
      <w:tr w:rsidR="0002360B" w:rsidRPr="0002360B" w14:paraId="33E5C001" w14:textId="77777777" w:rsidTr="00776E98">
        <w:trPr>
          <w:cantSplit/>
          <w:trHeight w:val="3998"/>
        </w:trPr>
        <w:tc>
          <w:tcPr>
            <w:tcW w:w="3828" w:type="dxa"/>
          </w:tcPr>
          <w:p w14:paraId="23B9C9FF" w14:textId="77777777" w:rsidR="00755E60" w:rsidRPr="0002360B" w:rsidRDefault="00755E60" w:rsidP="00B268EC">
            <w:pPr>
              <w:widowControl w:val="0"/>
              <w:tabs>
                <w:tab w:val="left" w:pos="5670"/>
              </w:tabs>
              <w:spacing w:before="0" w:after="0"/>
              <w:rPr>
                <w:b/>
                <w:spacing w:val="-4"/>
                <w:szCs w:val="24"/>
                <w:lang w:val="pt-BR"/>
              </w:rPr>
            </w:pPr>
            <w:r w:rsidRPr="0059729F">
              <w:rPr>
                <w:b/>
                <w:spacing w:val="-4"/>
                <w:szCs w:val="24"/>
                <w:lang w:val="pt-BR"/>
              </w:rPr>
              <w:lastRenderedPageBreak/>
              <w:t xml:space="preserve">Khoản 11 Điều 1 DTTT sửa đổi bổ sung Điều 18 Thông tư 52 </w:t>
            </w:r>
          </w:p>
          <w:p w14:paraId="2986F136" w14:textId="77777777" w:rsidR="00755E60" w:rsidRPr="0002360B" w:rsidRDefault="00755E60" w:rsidP="00B268EC">
            <w:pPr>
              <w:widowControl w:val="0"/>
              <w:tabs>
                <w:tab w:val="left" w:pos="5670"/>
              </w:tabs>
              <w:spacing w:before="0" w:after="0"/>
              <w:rPr>
                <w:b/>
                <w:spacing w:val="-4"/>
                <w:szCs w:val="24"/>
                <w:lang w:val="pt-BR"/>
              </w:rPr>
            </w:pPr>
            <w:r w:rsidRPr="0059729F">
              <w:rPr>
                <w:spacing w:val="-4"/>
                <w:szCs w:val="24"/>
                <w:lang w:val="pt-BR"/>
              </w:rPr>
              <w:t>“11. Sửa đổi, bổ sung số thứ tự 3, 3.1, 4, 4.1 như sau:...”</w:t>
            </w:r>
          </w:p>
        </w:tc>
        <w:tc>
          <w:tcPr>
            <w:tcW w:w="1730" w:type="dxa"/>
            <w:vAlign w:val="center"/>
          </w:tcPr>
          <w:p w14:paraId="38E07996" w14:textId="77777777" w:rsidR="00755E60" w:rsidRPr="0002360B" w:rsidRDefault="00755E60" w:rsidP="00B268EC">
            <w:pPr>
              <w:widowControl w:val="0"/>
              <w:tabs>
                <w:tab w:val="left" w:pos="5670"/>
              </w:tabs>
              <w:spacing w:before="0" w:after="0"/>
              <w:rPr>
                <w:spacing w:val="-4"/>
                <w:szCs w:val="24"/>
                <w:lang w:val="pt-BR"/>
              </w:rPr>
            </w:pPr>
            <w:r w:rsidRPr="0059729F">
              <w:rPr>
                <w:szCs w:val="24"/>
              </w:rPr>
              <w:t>NHTMCP Đông Nam Á, NHTMCP Tiên Phong</w:t>
            </w:r>
          </w:p>
        </w:tc>
        <w:tc>
          <w:tcPr>
            <w:tcW w:w="5358" w:type="dxa"/>
            <w:vAlign w:val="center"/>
          </w:tcPr>
          <w:p w14:paraId="16A54896" w14:textId="77777777" w:rsidR="00755E60" w:rsidRPr="0059729F" w:rsidRDefault="00755E60" w:rsidP="00B268EC">
            <w:pPr>
              <w:pStyle w:val="ListParagraph"/>
              <w:widowControl w:val="0"/>
              <w:tabs>
                <w:tab w:val="left" w:pos="2268"/>
                <w:tab w:val="left" w:pos="5670"/>
              </w:tabs>
              <w:ind w:left="0"/>
              <w:contextualSpacing w:val="0"/>
              <w:rPr>
                <w:sz w:val="24"/>
              </w:rPr>
            </w:pPr>
            <w:r w:rsidRPr="0059729F">
              <w:rPr>
                <w:sz w:val="24"/>
              </w:rPr>
              <w:t>Đề xuất Ban soạn thảo không sửa đổi điểm này, giữ nguyên nội dung theo Thông tư 52, bởi các lý do sau đây:</w:t>
            </w:r>
          </w:p>
          <w:p w14:paraId="5DDE54D8" w14:textId="77777777" w:rsidR="00755E60" w:rsidRPr="0059729F" w:rsidRDefault="00755E60" w:rsidP="00B268EC">
            <w:pPr>
              <w:pStyle w:val="ListParagraph"/>
              <w:widowControl w:val="0"/>
              <w:tabs>
                <w:tab w:val="left" w:pos="2268"/>
                <w:tab w:val="left" w:pos="5670"/>
              </w:tabs>
              <w:ind w:left="0"/>
              <w:contextualSpacing w:val="0"/>
              <w:rPr>
                <w:sz w:val="24"/>
              </w:rPr>
            </w:pPr>
            <w:r w:rsidRPr="0059729F">
              <w:rPr>
                <w:sz w:val="24"/>
              </w:rPr>
              <w:t>- “Quản trị điều hành” chỉ có 1 chỉ tiêu là CIR nhưng trọng số trong bản dự thảo lại tăng lên so với quy định hiện hành và trọng số gần tương đương với nhóm chỉ tiêu “Kết quả hoạt động kinh doanh” với 4 chỉ tiêu gồm ROA, ROE, NIM và Số ngày lãi phải thu, như vậy là chưa phù hợp.</w:t>
            </w:r>
          </w:p>
          <w:p w14:paraId="3569BEB5" w14:textId="77777777" w:rsidR="00755E60" w:rsidRPr="0059729F" w:rsidRDefault="00755E60" w:rsidP="00B268EC">
            <w:pPr>
              <w:pStyle w:val="ListParagraph"/>
              <w:widowControl w:val="0"/>
              <w:tabs>
                <w:tab w:val="left" w:pos="2268"/>
                <w:tab w:val="left" w:pos="5670"/>
              </w:tabs>
              <w:ind w:left="0"/>
              <w:contextualSpacing w:val="0"/>
              <w:rPr>
                <w:sz w:val="24"/>
              </w:rPr>
            </w:pPr>
            <w:r w:rsidRPr="0059729F">
              <w:rPr>
                <w:sz w:val="24"/>
              </w:rPr>
              <w:t>- Các chỉ tiêu về “Kết quả kinh doanh” là bộ chỉ tiêu tổng quát và quan trọng nhất phản ánh đầy đủ mọi mặt về hoạt động kinh doanh cũng như công tác quản trị rủi ro và điều hành TCTD. Do vậy, trọng số chỉ tiêu này nên được đánh giá cao hơn chỉ tiêu về CIR.</w:t>
            </w:r>
          </w:p>
          <w:p w14:paraId="34C5F03C" w14:textId="77777777" w:rsidR="00755E60" w:rsidRPr="0002360B" w:rsidRDefault="00755E60" w:rsidP="00B268EC">
            <w:pPr>
              <w:widowControl w:val="0"/>
              <w:shd w:val="clear" w:color="auto" w:fill="FFFFFF"/>
              <w:tabs>
                <w:tab w:val="left" w:pos="5670"/>
              </w:tabs>
              <w:spacing w:before="0" w:after="0"/>
              <w:rPr>
                <w:rFonts w:eastAsia="Calibri"/>
                <w:szCs w:val="24"/>
              </w:rPr>
            </w:pPr>
            <w:r w:rsidRPr="0059729F">
              <w:rPr>
                <w:szCs w:val="24"/>
              </w:rPr>
              <w:t>- Để không làm ảnh hưởng tới khả năng cạnh tranh của các NHTM trong bối cảnh giai đoạn tăng trưởng cần đầu tư mạnh vào hệ thống và nhân sự như hiện nay.</w:t>
            </w:r>
          </w:p>
        </w:tc>
        <w:tc>
          <w:tcPr>
            <w:tcW w:w="4252" w:type="dxa"/>
            <w:vAlign w:val="center"/>
          </w:tcPr>
          <w:p w14:paraId="289DF667" w14:textId="77777777" w:rsidR="00767C84" w:rsidRPr="0059729F" w:rsidRDefault="00767C84" w:rsidP="00B268EC">
            <w:pPr>
              <w:widowControl w:val="0"/>
              <w:tabs>
                <w:tab w:val="left" w:pos="5670"/>
              </w:tabs>
              <w:spacing w:before="0" w:after="0"/>
              <w:ind w:left="-41"/>
              <w:rPr>
                <w:b/>
                <w:szCs w:val="24"/>
              </w:rPr>
            </w:pPr>
            <w:r w:rsidRPr="0059729F">
              <w:rPr>
                <w:b/>
                <w:szCs w:val="24"/>
              </w:rPr>
              <w:t>Chưa tiếp thu</w:t>
            </w:r>
          </w:p>
          <w:p w14:paraId="4F02A7A2" w14:textId="77777777" w:rsidR="00755E60" w:rsidRPr="0002360B" w:rsidRDefault="00755E60" w:rsidP="00B268EC">
            <w:pPr>
              <w:widowControl w:val="0"/>
              <w:tabs>
                <w:tab w:val="left" w:pos="5670"/>
              </w:tabs>
              <w:spacing w:before="0" w:after="0"/>
              <w:ind w:left="-41"/>
              <w:rPr>
                <w:b/>
                <w:szCs w:val="24"/>
                <w:lang w:val="pt-BR"/>
              </w:rPr>
            </w:pPr>
            <w:r w:rsidRPr="0059729F">
              <w:rPr>
                <w:szCs w:val="24"/>
              </w:rPr>
              <w:t>Việc điều chỉnh ngưỡng, trọng số của từng chỉ tiêu, tiêu chí thực hiện trên cơ sở dữ liệu lịch sử của TCTD và yêu cầu, định hướng quản lý nhà nước trong từng thời kỳ. Trong giai đoạn hiện tại, yêu cầu các TCTD nâng cao chất lượng quản trị điều hành là cần thiết.</w:t>
            </w:r>
          </w:p>
        </w:tc>
      </w:tr>
      <w:tr w:rsidR="0002360B" w:rsidRPr="0002360B" w14:paraId="10A5B75D" w14:textId="77777777" w:rsidTr="00776E98">
        <w:trPr>
          <w:cantSplit/>
        </w:trPr>
        <w:tc>
          <w:tcPr>
            <w:tcW w:w="3828" w:type="dxa"/>
          </w:tcPr>
          <w:p w14:paraId="1003AB27" w14:textId="77777777" w:rsidR="00755E60" w:rsidRPr="0002360B" w:rsidRDefault="00755E60" w:rsidP="00B268EC">
            <w:pPr>
              <w:widowControl w:val="0"/>
              <w:tabs>
                <w:tab w:val="left" w:pos="5670"/>
              </w:tabs>
              <w:spacing w:before="0" w:after="0"/>
              <w:rPr>
                <w:b/>
                <w:spacing w:val="-4"/>
                <w:szCs w:val="24"/>
                <w:lang w:val="pt-BR"/>
              </w:rPr>
            </w:pPr>
            <w:r w:rsidRPr="0059729F">
              <w:rPr>
                <w:b/>
                <w:spacing w:val="-4"/>
                <w:szCs w:val="24"/>
                <w:lang w:val="pt-BR"/>
              </w:rPr>
              <w:lastRenderedPageBreak/>
              <w:t>Khoản 12 Điều 1 DTTT sửa đổi, bổ sung Khoản 6 Điều 20 Thông tư 52</w:t>
            </w:r>
          </w:p>
          <w:p w14:paraId="77C9A0E6" w14:textId="77777777" w:rsidR="00755E60" w:rsidRPr="0002360B" w:rsidRDefault="00755E60" w:rsidP="00B268EC">
            <w:pPr>
              <w:widowControl w:val="0"/>
              <w:tabs>
                <w:tab w:val="left" w:pos="5670"/>
              </w:tabs>
              <w:spacing w:before="0" w:after="0"/>
              <w:rPr>
                <w:i/>
                <w:iCs/>
                <w:szCs w:val="24"/>
              </w:rPr>
            </w:pPr>
            <w:r w:rsidRPr="0059729F">
              <w:rPr>
                <w:i/>
                <w:iCs/>
                <w:szCs w:val="24"/>
              </w:rPr>
              <w:t>“Ngoài quy định nêu tại Khoản 4 Điều 20 Thông tư này, tổ chức tín dụng, chi nhánh ngân hàng nước ngoài xếp hạng (D) nếu lâm vào một trong các trường hợp quy định tại điểm a, c, d, đ Khoản 1 Điều 156 Luật Các tổ chức tín dụng.”</w:t>
            </w:r>
          </w:p>
          <w:p w14:paraId="0D2E9E6E" w14:textId="77777777" w:rsidR="00755E60" w:rsidRPr="0002360B" w:rsidRDefault="00755E60" w:rsidP="00B268EC">
            <w:pPr>
              <w:widowControl w:val="0"/>
              <w:tabs>
                <w:tab w:val="left" w:pos="5670"/>
              </w:tabs>
              <w:spacing w:before="0" w:after="0"/>
              <w:rPr>
                <w:b/>
                <w:spacing w:val="-4"/>
                <w:szCs w:val="24"/>
                <w:lang w:val="pt-BR"/>
              </w:rPr>
            </w:pPr>
          </w:p>
        </w:tc>
        <w:tc>
          <w:tcPr>
            <w:tcW w:w="1730" w:type="dxa"/>
          </w:tcPr>
          <w:p w14:paraId="508093A3" w14:textId="02D77475" w:rsidR="00755E60" w:rsidRPr="0002360B" w:rsidRDefault="00755E60" w:rsidP="00B268EC">
            <w:pPr>
              <w:widowControl w:val="0"/>
              <w:tabs>
                <w:tab w:val="left" w:pos="5670"/>
              </w:tabs>
              <w:spacing w:before="0" w:after="0"/>
              <w:rPr>
                <w:spacing w:val="-4"/>
                <w:szCs w:val="24"/>
                <w:lang w:val="pt-BR"/>
              </w:rPr>
            </w:pPr>
            <w:r w:rsidRPr="0059729F">
              <w:rPr>
                <w:spacing w:val="-4"/>
                <w:szCs w:val="24"/>
                <w:lang w:val="pt-BR"/>
              </w:rPr>
              <w:t>NHTMCP Quốc dân</w:t>
            </w:r>
            <w:r w:rsidR="005C7654">
              <w:rPr>
                <w:spacing w:val="-4"/>
                <w:szCs w:val="24"/>
                <w:lang w:val="pt-BR"/>
              </w:rPr>
              <w:t>, Hiệp hội ngân hàng Việt Nam</w:t>
            </w:r>
          </w:p>
        </w:tc>
        <w:tc>
          <w:tcPr>
            <w:tcW w:w="5358" w:type="dxa"/>
          </w:tcPr>
          <w:p w14:paraId="6FACBE76" w14:textId="77777777" w:rsidR="00755E60" w:rsidRPr="0059729F" w:rsidRDefault="00755E60" w:rsidP="00B268EC">
            <w:pPr>
              <w:pStyle w:val="ListParagraph"/>
              <w:widowControl w:val="0"/>
              <w:tabs>
                <w:tab w:val="left" w:pos="5670"/>
              </w:tabs>
              <w:ind w:left="0"/>
              <w:contextualSpacing w:val="0"/>
              <w:rPr>
                <w:b/>
                <w:sz w:val="24"/>
                <w:u w:val="single"/>
              </w:rPr>
            </w:pPr>
            <w:r w:rsidRPr="0059729F">
              <w:rPr>
                <w:b/>
                <w:sz w:val="24"/>
                <w:u w:val="single"/>
              </w:rPr>
              <w:t>NCB đề xuất NHNH:</w:t>
            </w:r>
            <w:r w:rsidRPr="0059729F">
              <w:rPr>
                <w:sz w:val="24"/>
              </w:rPr>
              <w:t xml:space="preserve"> </w:t>
            </w:r>
            <w:r w:rsidRPr="0059729F">
              <w:rPr>
                <w:b/>
                <w:sz w:val="24"/>
              </w:rPr>
              <w:t>Bỏ nội dung quy định này do:</w:t>
            </w:r>
          </w:p>
          <w:p w14:paraId="5113A46F" w14:textId="77777777" w:rsidR="00755E60" w:rsidRPr="0059729F" w:rsidRDefault="00755E60" w:rsidP="00B268EC">
            <w:pPr>
              <w:pStyle w:val="ListParagraph"/>
              <w:widowControl w:val="0"/>
              <w:tabs>
                <w:tab w:val="left" w:pos="5670"/>
              </w:tabs>
              <w:ind w:left="0"/>
              <w:contextualSpacing w:val="0"/>
              <w:rPr>
                <w:sz w:val="24"/>
              </w:rPr>
            </w:pPr>
            <w:r w:rsidRPr="0059729F">
              <w:rPr>
                <w:sz w:val="24"/>
              </w:rPr>
              <w:t>- Quy định tại Khoản 1 Điều 156 Luật các TCTD là quy định các trường hợp NHNN đưa vào diện can thiệp sớm, cần áp dụng 01 cơ chế giám sát đặc biệt của NHNN, không phản ánh đầy đủ sức khỏe của ngân hàng và không nhằm mục tiêu xếp hạng ngân hàng. Ví dụ chỉ vì tin đồn thất thiệt cũng có thể dẫn đến 01 ngân hàng hoàn toàn khỏe mạnh cũng có thể rơi vào tình trạng bị rút tiền hàng loạt, mất khả năng chi trả, thuộc diện can thiệp sớm.</w:t>
            </w:r>
          </w:p>
          <w:p w14:paraId="799821FE" w14:textId="77777777" w:rsidR="00755E60" w:rsidRPr="0002360B" w:rsidRDefault="00755E60" w:rsidP="00B268EC">
            <w:pPr>
              <w:widowControl w:val="0"/>
              <w:tabs>
                <w:tab w:val="left" w:pos="851"/>
                <w:tab w:val="left" w:pos="1418"/>
                <w:tab w:val="left" w:pos="2977"/>
                <w:tab w:val="left" w:pos="5670"/>
              </w:tabs>
              <w:spacing w:before="0" w:after="0"/>
              <w:rPr>
                <w:b/>
                <w:noProof/>
                <w:szCs w:val="24"/>
                <w:lang w:val="pl-PL"/>
              </w:rPr>
            </w:pPr>
            <w:r w:rsidRPr="0059729F">
              <w:rPr>
                <w:szCs w:val="24"/>
              </w:rPr>
              <w:t>- Các trường hợp a và d phản ánh vào điểm chất lượng vốn; Các trường hợp c và đ phản ánh vào Điểm chất lượng về thanh khoản, và việc xếp hạng 01 ngân hàng được xác định trên tổng số điểm được đánh giá toàn diện ở các nội dung về vốn, chất lượng tài sản, khả năng thanh khoản, quản trị điều hành, khả năng sinh lời và độ nhạy cảm với thị trường.</w:t>
            </w:r>
          </w:p>
        </w:tc>
        <w:tc>
          <w:tcPr>
            <w:tcW w:w="4252" w:type="dxa"/>
          </w:tcPr>
          <w:p w14:paraId="5C5D0E26" w14:textId="2049F011" w:rsidR="00755E60" w:rsidRPr="0002360B" w:rsidRDefault="00767C84" w:rsidP="00B268EC">
            <w:pPr>
              <w:widowControl w:val="0"/>
              <w:tabs>
                <w:tab w:val="left" w:pos="5670"/>
              </w:tabs>
              <w:spacing w:before="0" w:after="0"/>
              <w:ind w:left="-41"/>
              <w:rPr>
                <w:b/>
                <w:szCs w:val="24"/>
                <w:lang w:val="pt-BR"/>
              </w:rPr>
            </w:pPr>
            <w:r w:rsidRPr="0059729F">
              <w:rPr>
                <w:b/>
                <w:szCs w:val="24"/>
                <w:lang w:val="pt-BR"/>
              </w:rPr>
              <w:t>T</w:t>
            </w:r>
            <w:r w:rsidR="00755E60" w:rsidRPr="0059729F">
              <w:rPr>
                <w:b/>
                <w:szCs w:val="24"/>
                <w:lang w:val="pt-BR"/>
              </w:rPr>
              <w:t>iếp thu</w:t>
            </w:r>
            <w:r w:rsidRPr="0059729F">
              <w:rPr>
                <w:b/>
                <w:szCs w:val="24"/>
                <w:lang w:val="pt-BR"/>
              </w:rPr>
              <w:t xml:space="preserve"> một phần</w:t>
            </w:r>
          </w:p>
          <w:p w14:paraId="78F4B1D3" w14:textId="4F8B836F" w:rsidR="00767C84" w:rsidRPr="0002360B" w:rsidRDefault="00A61654" w:rsidP="00B268EC">
            <w:pPr>
              <w:widowControl w:val="0"/>
              <w:tabs>
                <w:tab w:val="left" w:pos="5670"/>
              </w:tabs>
              <w:spacing w:before="0" w:after="0"/>
              <w:ind w:left="-41"/>
              <w:rPr>
                <w:szCs w:val="24"/>
                <w:lang w:val="pt-BR"/>
              </w:rPr>
            </w:pPr>
            <w:r w:rsidRPr="0059729F">
              <w:rPr>
                <w:szCs w:val="24"/>
                <w:lang w:val="pt-BR"/>
              </w:rPr>
              <w:t xml:space="preserve">Khoản 6 Điều </w:t>
            </w:r>
            <w:r w:rsidR="00602AEF" w:rsidRPr="0059729F">
              <w:rPr>
                <w:szCs w:val="24"/>
                <w:lang w:val="pt-BR"/>
              </w:rPr>
              <w:t>20</w:t>
            </w:r>
            <w:r w:rsidRPr="0059729F">
              <w:rPr>
                <w:szCs w:val="24"/>
                <w:lang w:val="pt-BR"/>
              </w:rPr>
              <w:t xml:space="preserve"> </w:t>
            </w:r>
            <w:r w:rsidR="00767C84" w:rsidRPr="0059729F">
              <w:rPr>
                <w:szCs w:val="24"/>
                <w:lang w:val="pt-BR"/>
              </w:rPr>
              <w:t xml:space="preserve">DTTT được chỉnh sửa theo hướng chỉ quy định </w:t>
            </w:r>
            <w:r w:rsidRPr="0059729F">
              <w:rPr>
                <w:szCs w:val="24"/>
                <w:lang w:val="pt-BR"/>
              </w:rPr>
              <w:t xml:space="preserve">TCTD xếp hạng D </w:t>
            </w:r>
            <w:r w:rsidR="00767C84" w:rsidRPr="0059729F">
              <w:rPr>
                <w:rFonts w:cs="Times New Roman"/>
                <w:iCs/>
                <w:szCs w:val="24"/>
                <w:lang w:val="nl-NL"/>
              </w:rPr>
              <w:t>nếu thuộc một trong các trường hợp quy định tại điểm a, c, d khoản 1 Điều 156 Luật Các tổ chức tín dụng</w:t>
            </w:r>
            <w:r w:rsidRPr="0059729F">
              <w:rPr>
                <w:rFonts w:cs="Times New Roman"/>
                <w:iCs/>
                <w:szCs w:val="24"/>
                <w:lang w:val="nl-NL"/>
              </w:rPr>
              <w:t>.</w:t>
            </w:r>
          </w:p>
          <w:p w14:paraId="5E56ECAD" w14:textId="45897001" w:rsidR="00755E60" w:rsidRPr="0002360B" w:rsidRDefault="00755E60" w:rsidP="00B268EC">
            <w:pPr>
              <w:widowControl w:val="0"/>
              <w:tabs>
                <w:tab w:val="left" w:pos="5670"/>
              </w:tabs>
              <w:spacing w:before="0" w:after="0"/>
              <w:ind w:left="-41"/>
              <w:rPr>
                <w:szCs w:val="24"/>
                <w:lang w:val="pt-BR"/>
              </w:rPr>
            </w:pPr>
          </w:p>
          <w:p w14:paraId="47C2A0F5" w14:textId="77777777" w:rsidR="00755E60" w:rsidRPr="0002360B" w:rsidRDefault="00755E60" w:rsidP="00B268EC">
            <w:pPr>
              <w:widowControl w:val="0"/>
              <w:tabs>
                <w:tab w:val="left" w:pos="5670"/>
              </w:tabs>
              <w:spacing w:before="0" w:after="0"/>
              <w:ind w:left="-41"/>
              <w:rPr>
                <w:b/>
                <w:szCs w:val="24"/>
                <w:lang w:val="pt-BR"/>
              </w:rPr>
            </w:pPr>
          </w:p>
        </w:tc>
      </w:tr>
      <w:tr w:rsidR="0002360B" w:rsidRPr="0002360B" w14:paraId="1E1F54AE" w14:textId="77777777" w:rsidTr="00776E98">
        <w:trPr>
          <w:cantSplit/>
        </w:trPr>
        <w:tc>
          <w:tcPr>
            <w:tcW w:w="3828" w:type="dxa"/>
          </w:tcPr>
          <w:p w14:paraId="407834E4" w14:textId="77777777" w:rsidR="00755E60" w:rsidRPr="0002360B" w:rsidRDefault="00755E60" w:rsidP="00B268EC">
            <w:pPr>
              <w:widowControl w:val="0"/>
              <w:tabs>
                <w:tab w:val="left" w:pos="5670"/>
              </w:tabs>
              <w:spacing w:before="0" w:after="0"/>
              <w:rPr>
                <w:b/>
                <w:spacing w:val="-4"/>
                <w:szCs w:val="24"/>
                <w:lang w:val="pt-BR"/>
              </w:rPr>
            </w:pPr>
            <w:r w:rsidRPr="0059729F">
              <w:rPr>
                <w:b/>
                <w:spacing w:val="-4"/>
                <w:szCs w:val="24"/>
                <w:lang w:val="pt-BR"/>
              </w:rPr>
              <w:t>Khoản 12 Điều 1 DTTT sửa đổi, bổ sung Khoản 8 Điều 20 Thông tư 52</w:t>
            </w:r>
          </w:p>
          <w:p w14:paraId="5E91DAF4" w14:textId="77777777" w:rsidR="00755E60" w:rsidRPr="0002360B" w:rsidRDefault="00755E60" w:rsidP="00B268EC">
            <w:pPr>
              <w:widowControl w:val="0"/>
              <w:shd w:val="clear" w:color="auto" w:fill="FFFFFF"/>
              <w:tabs>
                <w:tab w:val="left" w:pos="5670"/>
              </w:tabs>
              <w:spacing w:before="0" w:after="0"/>
              <w:rPr>
                <w:rFonts w:eastAsia="Calibri"/>
                <w:i/>
                <w:szCs w:val="24"/>
              </w:rPr>
            </w:pPr>
            <w:r w:rsidRPr="0059729F">
              <w:rPr>
                <w:rFonts w:eastAsia="Calibri"/>
                <w:szCs w:val="24"/>
              </w:rPr>
              <w:t>“</w:t>
            </w:r>
            <w:r w:rsidRPr="0059729F">
              <w:rPr>
                <w:rFonts w:eastAsia="Calibri"/>
                <w:i/>
                <w:szCs w:val="24"/>
              </w:rPr>
              <w:t>a) Tổng điểm xếp hạng được làm tròn đến số thập phân thứ hai và theo nguyên tắc:</w:t>
            </w:r>
          </w:p>
          <w:p w14:paraId="1C89B176" w14:textId="77777777" w:rsidR="00755E60" w:rsidRPr="0002360B" w:rsidRDefault="00755E60" w:rsidP="00B268EC">
            <w:pPr>
              <w:widowControl w:val="0"/>
              <w:tabs>
                <w:tab w:val="left" w:pos="5670"/>
              </w:tabs>
              <w:spacing w:before="0" w:after="0"/>
              <w:rPr>
                <w:b/>
                <w:spacing w:val="-4"/>
                <w:szCs w:val="24"/>
                <w:lang w:val="pt-BR"/>
              </w:rPr>
            </w:pPr>
            <w:r w:rsidRPr="0059729F">
              <w:rPr>
                <w:rFonts w:eastAsia="Calibri"/>
                <w:i/>
                <w:szCs w:val="24"/>
              </w:rPr>
              <w:t xml:space="preserve">Số thập phân thứ hai tăng thêm 1 nếu số thập phân thứ ba </w:t>
            </w:r>
            <w:r w:rsidRPr="0059729F">
              <w:rPr>
                <w:rFonts w:eastAsia="Calibri"/>
                <w:b/>
                <w:i/>
                <w:szCs w:val="24"/>
                <w:u w:val="single"/>
              </w:rPr>
              <w:t>có giá trị từ 6 đến 9</w:t>
            </w:r>
            <w:r w:rsidRPr="0059729F">
              <w:rPr>
                <w:rFonts w:eastAsia="Calibri"/>
                <w:szCs w:val="24"/>
              </w:rPr>
              <w:t>.”</w:t>
            </w:r>
          </w:p>
        </w:tc>
        <w:tc>
          <w:tcPr>
            <w:tcW w:w="1730" w:type="dxa"/>
          </w:tcPr>
          <w:p w14:paraId="6969C824" w14:textId="77777777" w:rsidR="00755E60" w:rsidRPr="0002360B" w:rsidRDefault="00755E60" w:rsidP="00B268EC">
            <w:pPr>
              <w:widowControl w:val="0"/>
              <w:tabs>
                <w:tab w:val="left" w:pos="5670"/>
              </w:tabs>
              <w:spacing w:before="0" w:after="0"/>
              <w:rPr>
                <w:spacing w:val="-4"/>
                <w:szCs w:val="24"/>
                <w:lang w:val="pt-BR"/>
              </w:rPr>
            </w:pPr>
            <w:r w:rsidRPr="0059729F">
              <w:rPr>
                <w:spacing w:val="-4"/>
                <w:szCs w:val="24"/>
                <w:lang w:val="pt-BR"/>
              </w:rPr>
              <w:t>NHTMCP Lộc Phát, CTTC Mirae Asset</w:t>
            </w:r>
          </w:p>
        </w:tc>
        <w:tc>
          <w:tcPr>
            <w:tcW w:w="5358" w:type="dxa"/>
          </w:tcPr>
          <w:p w14:paraId="1A3009D6" w14:textId="77777777" w:rsidR="00755E60" w:rsidRPr="0002360B" w:rsidRDefault="00755E60" w:rsidP="00B268EC">
            <w:pPr>
              <w:widowControl w:val="0"/>
              <w:shd w:val="clear" w:color="auto" w:fill="FFFFFF"/>
              <w:tabs>
                <w:tab w:val="left" w:pos="5670"/>
              </w:tabs>
              <w:spacing w:before="0" w:after="0"/>
              <w:rPr>
                <w:b/>
                <w:szCs w:val="24"/>
                <w:u w:val="single"/>
              </w:rPr>
            </w:pPr>
            <w:r w:rsidRPr="0059729F">
              <w:rPr>
                <w:rFonts w:eastAsia="Calibri"/>
                <w:szCs w:val="24"/>
              </w:rPr>
              <w:t>Việc quy định nguyên tắc làm tròn theo Dự thảo tính theo mốc chữ số 6 sẽ gây thiệt thòi cho các TCTD về điểm số. Để đảm bảo tính chính xác, công bằng trong việc đánh giá và phù hợp với thông lệ làm tròn phổ biến hiện nay, kính đề nghị NHNN xem xét quy định làm tròn điểm theo Tiêu chuẩn quốc gia và thông lệ chung (nếu chữ số từ 5 trở lên được làm tròn lên, nếu nhỏ hơn 5 thì làm tròn xuống (giữ nguyên)).</w:t>
            </w:r>
          </w:p>
        </w:tc>
        <w:tc>
          <w:tcPr>
            <w:tcW w:w="4252" w:type="dxa"/>
          </w:tcPr>
          <w:p w14:paraId="3FF61AC7" w14:textId="77777777" w:rsidR="00755E60" w:rsidRPr="0002360B" w:rsidRDefault="00755E60" w:rsidP="00B268EC">
            <w:pPr>
              <w:widowControl w:val="0"/>
              <w:tabs>
                <w:tab w:val="left" w:pos="5670"/>
              </w:tabs>
              <w:spacing w:before="0" w:after="0"/>
              <w:ind w:left="-41"/>
              <w:rPr>
                <w:b/>
                <w:szCs w:val="24"/>
                <w:lang w:val="pt-BR"/>
              </w:rPr>
            </w:pPr>
            <w:r w:rsidRPr="0059729F">
              <w:rPr>
                <w:b/>
                <w:szCs w:val="24"/>
                <w:lang w:val="pt-BR"/>
              </w:rPr>
              <w:t>Tiếp thu</w:t>
            </w:r>
          </w:p>
          <w:p w14:paraId="5F6E1B6F" w14:textId="77777777" w:rsidR="00755E60" w:rsidRPr="0002360B" w:rsidRDefault="00755E60" w:rsidP="00B268EC">
            <w:pPr>
              <w:widowControl w:val="0"/>
              <w:tabs>
                <w:tab w:val="left" w:pos="5670"/>
              </w:tabs>
              <w:spacing w:before="0" w:after="0"/>
              <w:ind w:left="-41"/>
              <w:rPr>
                <w:szCs w:val="24"/>
                <w:lang w:val="pt-BR"/>
              </w:rPr>
            </w:pPr>
          </w:p>
        </w:tc>
      </w:tr>
      <w:tr w:rsidR="0002360B" w:rsidRPr="0002360B" w14:paraId="66CE9427" w14:textId="77777777" w:rsidTr="00776E98">
        <w:trPr>
          <w:cantSplit/>
        </w:trPr>
        <w:tc>
          <w:tcPr>
            <w:tcW w:w="3828" w:type="dxa"/>
          </w:tcPr>
          <w:p w14:paraId="33006B82" w14:textId="77777777" w:rsidR="00755E60" w:rsidRPr="0002360B" w:rsidRDefault="00755E60" w:rsidP="00B268EC">
            <w:pPr>
              <w:widowControl w:val="0"/>
              <w:tabs>
                <w:tab w:val="left" w:pos="5670"/>
              </w:tabs>
              <w:spacing w:before="0" w:after="0"/>
              <w:rPr>
                <w:b/>
                <w:spacing w:val="-4"/>
                <w:szCs w:val="24"/>
                <w:lang w:val="pt-BR"/>
              </w:rPr>
            </w:pPr>
            <w:r w:rsidRPr="0059729F">
              <w:rPr>
                <w:b/>
                <w:spacing w:val="-4"/>
                <w:szCs w:val="24"/>
                <w:lang w:val="pt-BR"/>
              </w:rPr>
              <w:t>Các ý kiến góp ý khác</w:t>
            </w:r>
          </w:p>
        </w:tc>
        <w:tc>
          <w:tcPr>
            <w:tcW w:w="1730" w:type="dxa"/>
          </w:tcPr>
          <w:p w14:paraId="32291AF7" w14:textId="77777777" w:rsidR="00755E60" w:rsidRPr="0002360B" w:rsidRDefault="00755E60" w:rsidP="00B268EC">
            <w:pPr>
              <w:widowControl w:val="0"/>
              <w:tabs>
                <w:tab w:val="left" w:pos="5670"/>
              </w:tabs>
              <w:spacing w:before="0" w:after="0"/>
              <w:rPr>
                <w:b/>
                <w:spacing w:val="-4"/>
                <w:szCs w:val="24"/>
                <w:lang w:val="pt-BR"/>
              </w:rPr>
            </w:pPr>
          </w:p>
        </w:tc>
        <w:tc>
          <w:tcPr>
            <w:tcW w:w="5358" w:type="dxa"/>
          </w:tcPr>
          <w:p w14:paraId="6DFC4D2B" w14:textId="77777777" w:rsidR="00755E60" w:rsidRPr="0002360B" w:rsidRDefault="00755E60" w:rsidP="00B268EC">
            <w:pPr>
              <w:widowControl w:val="0"/>
              <w:tabs>
                <w:tab w:val="left" w:pos="851"/>
                <w:tab w:val="left" w:pos="1418"/>
                <w:tab w:val="left" w:pos="2977"/>
                <w:tab w:val="left" w:pos="5670"/>
              </w:tabs>
              <w:spacing w:before="0" w:after="0"/>
              <w:rPr>
                <w:b/>
                <w:noProof/>
                <w:szCs w:val="24"/>
                <w:lang w:val="pl-PL"/>
              </w:rPr>
            </w:pPr>
          </w:p>
        </w:tc>
        <w:tc>
          <w:tcPr>
            <w:tcW w:w="4252" w:type="dxa"/>
          </w:tcPr>
          <w:p w14:paraId="032969DA" w14:textId="77777777" w:rsidR="00755E60" w:rsidRPr="0002360B" w:rsidRDefault="00755E60" w:rsidP="00B268EC">
            <w:pPr>
              <w:widowControl w:val="0"/>
              <w:tabs>
                <w:tab w:val="left" w:pos="5670"/>
              </w:tabs>
              <w:spacing w:before="0" w:after="0"/>
              <w:ind w:left="-41"/>
              <w:rPr>
                <w:b/>
                <w:szCs w:val="24"/>
                <w:lang w:val="pt-BR"/>
              </w:rPr>
            </w:pPr>
          </w:p>
        </w:tc>
      </w:tr>
      <w:tr w:rsidR="0002360B" w:rsidRPr="0002360B" w14:paraId="7CFABADB" w14:textId="77777777" w:rsidTr="00776E98">
        <w:trPr>
          <w:cantSplit/>
        </w:trPr>
        <w:tc>
          <w:tcPr>
            <w:tcW w:w="3828" w:type="dxa"/>
          </w:tcPr>
          <w:p w14:paraId="1E1692B6" w14:textId="77777777" w:rsidR="00755E60" w:rsidRPr="0002360B" w:rsidRDefault="00755E60" w:rsidP="00B268EC">
            <w:pPr>
              <w:widowControl w:val="0"/>
              <w:tabs>
                <w:tab w:val="left" w:pos="5670"/>
              </w:tabs>
              <w:spacing w:before="0" w:after="0"/>
              <w:rPr>
                <w:b/>
                <w:spacing w:val="-4"/>
                <w:szCs w:val="24"/>
                <w:lang w:val="pt-BR"/>
              </w:rPr>
            </w:pPr>
            <w:r w:rsidRPr="0059729F">
              <w:rPr>
                <w:b/>
                <w:spacing w:val="-4"/>
                <w:szCs w:val="24"/>
                <w:lang w:val="pt-BR"/>
              </w:rPr>
              <w:lastRenderedPageBreak/>
              <w:t>Về thời hạn gửi Báo cáo tự chấm điểm xếp hạng chỉ tiêu định lượng</w:t>
            </w:r>
          </w:p>
        </w:tc>
        <w:tc>
          <w:tcPr>
            <w:tcW w:w="1730" w:type="dxa"/>
          </w:tcPr>
          <w:p w14:paraId="630701DE" w14:textId="37B78F46" w:rsidR="00755E60" w:rsidRPr="0002360B" w:rsidRDefault="00755E60" w:rsidP="00B268EC">
            <w:pPr>
              <w:widowControl w:val="0"/>
              <w:tabs>
                <w:tab w:val="left" w:pos="5670"/>
              </w:tabs>
              <w:spacing w:before="0" w:after="0"/>
              <w:rPr>
                <w:spacing w:val="-4"/>
                <w:szCs w:val="24"/>
                <w:lang w:val="pt-BR"/>
              </w:rPr>
            </w:pPr>
            <w:r w:rsidRPr="0059729F">
              <w:rPr>
                <w:spacing w:val="-4"/>
                <w:szCs w:val="24"/>
                <w:lang w:val="pt-BR"/>
              </w:rPr>
              <w:t>NHTMCP Đầu tư và phát triển Việt Nam</w:t>
            </w:r>
            <w:r w:rsidR="005C7654">
              <w:rPr>
                <w:spacing w:val="-4"/>
                <w:szCs w:val="24"/>
                <w:lang w:val="pt-BR"/>
              </w:rPr>
              <w:t>, Hiệp hội ngân hàng Việt Nam</w:t>
            </w:r>
          </w:p>
        </w:tc>
        <w:tc>
          <w:tcPr>
            <w:tcW w:w="5358" w:type="dxa"/>
          </w:tcPr>
          <w:p w14:paraId="1EDF92DE" w14:textId="77777777" w:rsidR="00755E60" w:rsidRPr="0002360B" w:rsidRDefault="00755E60" w:rsidP="00B268EC">
            <w:pPr>
              <w:widowControl w:val="0"/>
              <w:tabs>
                <w:tab w:val="left" w:pos="5670"/>
              </w:tabs>
              <w:spacing w:before="0" w:after="0"/>
              <w:rPr>
                <w:szCs w:val="24"/>
                <w:lang w:val="fr-FR"/>
              </w:rPr>
            </w:pPr>
            <w:r w:rsidRPr="0059729F">
              <w:rPr>
                <w:szCs w:val="24"/>
                <w:lang w:val="pt-BR"/>
              </w:rPr>
              <w:t xml:space="preserve">BIDV đề xuất điều chỉnh tiến độ gửi Báo cáo tự chấm điểm xếp hạng chỉ tiêu định lượng </w:t>
            </w:r>
            <w:r w:rsidRPr="0059729F">
              <w:rPr>
                <w:b/>
                <w:szCs w:val="24"/>
                <w:lang w:val="pt-BR"/>
              </w:rPr>
              <w:t>đến ngày 30/04 hàng năm</w:t>
            </w:r>
            <w:r w:rsidRPr="0059729F">
              <w:rPr>
                <w:szCs w:val="24"/>
                <w:lang w:val="pt-BR"/>
              </w:rPr>
              <w:t xml:space="preserve"> để các TCTD có đủ thời gian cập nhật, thống nhất số liệu kiểm toán và truyền sang NHNN tại các báo cáo liên quan trên Chương trình báo cáo thống kê tập trung, thuận tiện cho việc tra cứu.</w:t>
            </w:r>
          </w:p>
          <w:p w14:paraId="021213BD" w14:textId="77777777" w:rsidR="00755E60" w:rsidRPr="0002360B" w:rsidRDefault="00755E60" w:rsidP="00B268EC">
            <w:pPr>
              <w:widowControl w:val="0"/>
              <w:tabs>
                <w:tab w:val="left" w:pos="5670"/>
              </w:tabs>
              <w:spacing w:before="0" w:after="0"/>
              <w:rPr>
                <w:szCs w:val="24"/>
                <w:lang w:val="pt-BR"/>
              </w:rPr>
            </w:pPr>
            <w:r w:rsidRPr="0059729F">
              <w:rPr>
                <w:b/>
                <w:iCs/>
                <w:szCs w:val="24"/>
              </w:rPr>
              <w:t>Lý do đề xuất:</w:t>
            </w:r>
            <w:r w:rsidRPr="0059729F">
              <w:rPr>
                <w:iCs/>
                <w:szCs w:val="24"/>
              </w:rPr>
              <w:t xml:space="preserve"> </w:t>
            </w:r>
            <w:r w:rsidRPr="0059729F">
              <w:rPr>
                <w:szCs w:val="24"/>
                <w:lang w:val="fr-FR"/>
              </w:rPr>
              <w:t>Theo</w:t>
            </w:r>
            <w:r w:rsidRPr="0059729F">
              <w:rPr>
                <w:szCs w:val="24"/>
                <w:lang w:val="pt-BR"/>
              </w:rPr>
              <w:t xml:space="preserve"> Công văn số 1015/NHNN-TTGSNH ngày 23/02/2022 v/v báo cáo các chỉ tiêu phục vụ xếp hạng, NHNN yêu cầu các TCTD, chi nhánh ngân hàng nước ngoài gửi kết quả tự chấm điểm xếp hạng chỉ tiêu định lượng </w:t>
            </w:r>
            <w:r w:rsidRPr="0059729F">
              <w:rPr>
                <w:b/>
                <w:szCs w:val="24"/>
                <w:lang w:val="pt-BR"/>
              </w:rPr>
              <w:t xml:space="preserve">trước ngày 10/4 hàng năm. </w:t>
            </w:r>
            <w:r w:rsidRPr="0059729F">
              <w:rPr>
                <w:szCs w:val="24"/>
                <w:lang w:val="pt-BR"/>
              </w:rPr>
              <w:t xml:space="preserve">Tuy nhiên, Báo cáo tự chấm điểm xếp hạng chỉ tiêu định lượng (mã báo cáo 01XH_TTGS tại chương trình Báo cáo thống kê tập trung) được thực hiện theo số liệu báo cáo tài chính riêng lẻ hàng năm được kiểm toán của TCTD (ban hành muộn nhất ngày 31/3 hàng năm). Đơn vị đầu mối tại NHNN thường đối chiếu số liệu </w:t>
            </w:r>
            <w:r w:rsidRPr="0059729F">
              <w:rPr>
                <w:szCs w:val="24"/>
              </w:rPr>
              <w:t xml:space="preserve">(các chỉ tiêu về Vốn, Chất lượng tài sản… ) </w:t>
            </w:r>
            <w:r w:rsidRPr="0059729F">
              <w:rPr>
                <w:szCs w:val="24"/>
                <w:lang w:val="pt-BR"/>
              </w:rPr>
              <w:t xml:space="preserve">với các Báo cáo liên quan đã truyền sang NHNN </w:t>
            </w:r>
            <w:r w:rsidRPr="0059729F">
              <w:rPr>
                <w:szCs w:val="24"/>
              </w:rPr>
              <w:t>định kỳ qua Chương trình báo cáo thống kê, tiến độ thực hiện các Báo cáo này đều trước ngày 31/3 và theo số liệu chưa được kiểm toán.</w:t>
            </w:r>
            <w:r w:rsidRPr="0059729F">
              <w:rPr>
                <w:szCs w:val="24"/>
                <w:lang w:val="pt-BR"/>
              </w:rPr>
              <w:t xml:space="preserve"> Do đó, các TCTD thường phải bổ sung báo cáo, giải trình về việc chênh lệch số liệu giữa các Báo cáo (trước và sau khi được kiểm toán).</w:t>
            </w:r>
          </w:p>
          <w:p w14:paraId="0A8BD8E9" w14:textId="77777777" w:rsidR="00755E60" w:rsidRPr="0002360B" w:rsidRDefault="00755E60" w:rsidP="00B268EC">
            <w:pPr>
              <w:widowControl w:val="0"/>
              <w:tabs>
                <w:tab w:val="left" w:pos="851"/>
                <w:tab w:val="left" w:pos="1418"/>
                <w:tab w:val="left" w:pos="2977"/>
                <w:tab w:val="left" w:pos="5670"/>
              </w:tabs>
              <w:spacing w:before="0" w:after="0"/>
              <w:rPr>
                <w:noProof/>
                <w:szCs w:val="24"/>
                <w:lang w:val="pl-PL"/>
              </w:rPr>
            </w:pPr>
          </w:p>
        </w:tc>
        <w:tc>
          <w:tcPr>
            <w:tcW w:w="4252" w:type="dxa"/>
          </w:tcPr>
          <w:p w14:paraId="399DFCDF" w14:textId="0D9EF228" w:rsidR="00755E60" w:rsidRPr="0002360B" w:rsidRDefault="00755E60">
            <w:pPr>
              <w:widowControl w:val="0"/>
              <w:tabs>
                <w:tab w:val="left" w:pos="5670"/>
              </w:tabs>
              <w:spacing w:before="0" w:after="0"/>
              <w:ind w:left="-41"/>
              <w:rPr>
                <w:szCs w:val="24"/>
                <w:lang w:val="pt-BR"/>
              </w:rPr>
            </w:pPr>
            <w:r w:rsidRPr="0059729F">
              <w:rPr>
                <w:szCs w:val="24"/>
                <w:lang w:val="pt-BR"/>
              </w:rPr>
              <w:t xml:space="preserve">Nội dung này không thuộc phạm vi DTTT, </w:t>
            </w:r>
          </w:p>
        </w:tc>
      </w:tr>
      <w:tr w:rsidR="0002360B" w:rsidRPr="0002360B" w14:paraId="4BEA41B6" w14:textId="77777777" w:rsidTr="00776E98">
        <w:trPr>
          <w:cantSplit/>
        </w:trPr>
        <w:tc>
          <w:tcPr>
            <w:tcW w:w="3828" w:type="dxa"/>
          </w:tcPr>
          <w:p w14:paraId="39DF62CA" w14:textId="77777777" w:rsidR="00755E60" w:rsidRPr="0002360B" w:rsidRDefault="00755E60" w:rsidP="00B268EC">
            <w:pPr>
              <w:widowControl w:val="0"/>
              <w:tabs>
                <w:tab w:val="left" w:pos="5670"/>
              </w:tabs>
              <w:spacing w:before="0" w:after="0"/>
              <w:rPr>
                <w:spacing w:val="-4"/>
                <w:szCs w:val="24"/>
                <w:lang w:val="pt-BR"/>
              </w:rPr>
            </w:pPr>
            <w:r w:rsidRPr="0059729F">
              <w:rPr>
                <w:spacing w:val="-4"/>
                <w:szCs w:val="24"/>
                <w:lang w:val="pt-BR"/>
              </w:rPr>
              <w:lastRenderedPageBreak/>
              <w:t>Về việc công bố kết quả xếp hạng</w:t>
            </w:r>
          </w:p>
        </w:tc>
        <w:tc>
          <w:tcPr>
            <w:tcW w:w="1730" w:type="dxa"/>
          </w:tcPr>
          <w:p w14:paraId="49DDA358" w14:textId="4B04E5CC" w:rsidR="00755E60" w:rsidRPr="0002360B" w:rsidRDefault="00755E60" w:rsidP="00B268EC">
            <w:pPr>
              <w:widowControl w:val="0"/>
              <w:tabs>
                <w:tab w:val="left" w:pos="5670"/>
              </w:tabs>
              <w:spacing w:before="0" w:after="0"/>
              <w:rPr>
                <w:spacing w:val="-4"/>
                <w:szCs w:val="24"/>
                <w:lang w:val="pt-BR"/>
              </w:rPr>
            </w:pPr>
            <w:r w:rsidRPr="0059729F">
              <w:rPr>
                <w:spacing w:val="-4"/>
                <w:szCs w:val="24"/>
                <w:lang w:val="pt-BR"/>
              </w:rPr>
              <w:t>NHTMCP Đầu tư và phát triển Việt Nam</w:t>
            </w:r>
            <w:r w:rsidR="005C7654">
              <w:rPr>
                <w:spacing w:val="-4"/>
                <w:szCs w:val="24"/>
                <w:lang w:val="pt-BR"/>
              </w:rPr>
              <w:t>, Hiệp hội ngân hàng Việt Nam</w:t>
            </w:r>
          </w:p>
        </w:tc>
        <w:tc>
          <w:tcPr>
            <w:tcW w:w="5358" w:type="dxa"/>
          </w:tcPr>
          <w:p w14:paraId="56D03724"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rPr>
              <w:t xml:space="preserve">Liên quan đến việc công bố kết quả xếp hạng, kính đề nghị NHNN xem xét tạo điều kiện để TCTD </w:t>
            </w:r>
            <w:r w:rsidRPr="0059729F">
              <w:rPr>
                <w:b/>
                <w:sz w:val="24"/>
              </w:rPr>
              <w:t>được tra cứu và phản hồi ý kiến trước khi ban hành</w:t>
            </w:r>
            <w:r w:rsidRPr="0059729F">
              <w:rPr>
                <w:sz w:val="24"/>
              </w:rPr>
              <w:t xml:space="preserve"> kết quả chính thức, nhằm bảo đảm tính minh bạch, công bằng và phản ánh đầy đủ thực trạng hoạt động của TCTD. </w:t>
            </w:r>
          </w:p>
          <w:p w14:paraId="0CE0478F" w14:textId="77777777" w:rsidR="00755E60" w:rsidRPr="0002360B" w:rsidRDefault="00755E60" w:rsidP="00B268EC">
            <w:pPr>
              <w:widowControl w:val="0"/>
              <w:tabs>
                <w:tab w:val="left" w:pos="5670"/>
              </w:tabs>
              <w:spacing w:before="0" w:after="0"/>
              <w:rPr>
                <w:szCs w:val="24"/>
                <w:lang w:val="pt-BR"/>
              </w:rPr>
            </w:pPr>
          </w:p>
        </w:tc>
        <w:tc>
          <w:tcPr>
            <w:tcW w:w="4252" w:type="dxa"/>
          </w:tcPr>
          <w:p w14:paraId="1325E682" w14:textId="77777777" w:rsidR="00755E60" w:rsidRPr="0002360B" w:rsidRDefault="00755E60" w:rsidP="00B268EC">
            <w:pPr>
              <w:widowControl w:val="0"/>
              <w:tabs>
                <w:tab w:val="left" w:pos="5670"/>
              </w:tabs>
              <w:spacing w:before="0" w:after="0"/>
              <w:ind w:left="-41"/>
              <w:rPr>
                <w:b/>
                <w:szCs w:val="24"/>
                <w:lang w:val="pt-BR"/>
              </w:rPr>
            </w:pPr>
            <w:r w:rsidRPr="0059729F">
              <w:rPr>
                <w:b/>
                <w:szCs w:val="24"/>
                <w:lang w:val="pt-BR"/>
              </w:rPr>
              <w:t>Chưa tiếp thu</w:t>
            </w:r>
          </w:p>
          <w:p w14:paraId="3008CD7D" w14:textId="63435DFE" w:rsidR="00755E60" w:rsidRPr="0002360B" w:rsidRDefault="00A61654" w:rsidP="00B268EC">
            <w:pPr>
              <w:widowControl w:val="0"/>
              <w:tabs>
                <w:tab w:val="left" w:pos="5670"/>
              </w:tabs>
              <w:spacing w:before="0" w:after="0"/>
              <w:ind w:left="-41"/>
              <w:rPr>
                <w:szCs w:val="24"/>
                <w:lang w:val="pt-BR"/>
              </w:rPr>
            </w:pPr>
            <w:r w:rsidRPr="0059729F">
              <w:rPr>
                <w:szCs w:val="24"/>
                <w:lang w:val="pt-BR"/>
              </w:rPr>
              <w:t>DTTT đã có quy định về việc</w:t>
            </w:r>
            <w:r w:rsidR="00755E60" w:rsidRPr="0059729F">
              <w:rPr>
                <w:szCs w:val="24"/>
                <w:lang w:val="pt-BR"/>
              </w:rPr>
              <w:t xml:space="preserve"> các tổ chức tín dụng, chi nhánh ngân hàng nước ngoài giải trình, báo cáo bổ sung các nội dung liên quan tới việc xếp hạng theo yêu cầu của Ngân hàng Nhà nước. </w:t>
            </w:r>
          </w:p>
          <w:p w14:paraId="5CBFFA18" w14:textId="77777777" w:rsidR="00755E60" w:rsidRPr="0002360B" w:rsidRDefault="00755E60" w:rsidP="00B268EC">
            <w:pPr>
              <w:widowControl w:val="0"/>
              <w:tabs>
                <w:tab w:val="left" w:pos="5670"/>
              </w:tabs>
              <w:spacing w:before="0" w:after="0"/>
              <w:ind w:left="-41"/>
              <w:rPr>
                <w:szCs w:val="24"/>
                <w:lang w:val="pt-BR"/>
              </w:rPr>
            </w:pPr>
            <w:r w:rsidRPr="0059729F">
              <w:rPr>
                <w:szCs w:val="24"/>
                <w:lang w:val="pt-BR"/>
              </w:rPr>
              <w:t>Ngoài ra, NHNN còn kênh thông tin trao đổi với TCTD thông qua Công văn yêu cầu báo cáo thông tin phục vụ việc xếp hạng.</w:t>
            </w:r>
          </w:p>
        </w:tc>
      </w:tr>
      <w:tr w:rsidR="0002360B" w:rsidRPr="0002360B" w14:paraId="413D3D34" w14:textId="77777777" w:rsidTr="00776E98">
        <w:trPr>
          <w:cantSplit/>
        </w:trPr>
        <w:tc>
          <w:tcPr>
            <w:tcW w:w="3828" w:type="dxa"/>
          </w:tcPr>
          <w:p w14:paraId="74E7B888" w14:textId="77777777" w:rsidR="00755E60" w:rsidRPr="0002360B" w:rsidRDefault="00755E60" w:rsidP="00B268EC">
            <w:pPr>
              <w:widowControl w:val="0"/>
              <w:tabs>
                <w:tab w:val="left" w:pos="5670"/>
              </w:tabs>
              <w:spacing w:before="0" w:after="0"/>
              <w:rPr>
                <w:spacing w:val="-4"/>
                <w:szCs w:val="24"/>
                <w:lang w:val="pt-BR"/>
              </w:rPr>
            </w:pPr>
          </w:p>
        </w:tc>
        <w:tc>
          <w:tcPr>
            <w:tcW w:w="1730" w:type="dxa"/>
          </w:tcPr>
          <w:p w14:paraId="789F3C4E" w14:textId="77777777" w:rsidR="00755E60" w:rsidRPr="0002360B" w:rsidRDefault="00755E60" w:rsidP="00B268EC">
            <w:pPr>
              <w:widowControl w:val="0"/>
              <w:tabs>
                <w:tab w:val="left" w:pos="5670"/>
              </w:tabs>
              <w:spacing w:before="0" w:after="0"/>
              <w:rPr>
                <w:spacing w:val="-4"/>
                <w:szCs w:val="24"/>
                <w:lang w:val="pt-BR"/>
              </w:rPr>
            </w:pPr>
            <w:r w:rsidRPr="0059729F">
              <w:rPr>
                <w:spacing w:val="-4"/>
                <w:szCs w:val="24"/>
                <w:lang w:val="pt-BR"/>
              </w:rPr>
              <w:t>NHTMCP Hàng hải</w:t>
            </w:r>
          </w:p>
        </w:tc>
        <w:tc>
          <w:tcPr>
            <w:tcW w:w="5358" w:type="dxa"/>
          </w:tcPr>
          <w:p w14:paraId="0FD962C4"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rPr>
              <w:t>Đề nghị Cơ quan soạn thảo cần gửi bảng</w:t>
            </w:r>
            <w:r w:rsidRPr="0059729F">
              <w:rPr>
                <w:spacing w:val="-2"/>
                <w:sz w:val="24"/>
              </w:rPr>
              <w:t xml:space="preserve"> </w:t>
            </w:r>
            <w:r w:rsidRPr="0059729F">
              <w:rPr>
                <w:sz w:val="24"/>
              </w:rPr>
              <w:t>dự</w:t>
            </w:r>
            <w:r w:rsidRPr="0059729F">
              <w:rPr>
                <w:spacing w:val="-2"/>
                <w:sz w:val="24"/>
              </w:rPr>
              <w:t xml:space="preserve"> </w:t>
            </w:r>
            <w:r w:rsidRPr="0059729F">
              <w:rPr>
                <w:sz w:val="24"/>
              </w:rPr>
              <w:t>thảo</w:t>
            </w:r>
            <w:r w:rsidRPr="0059729F">
              <w:rPr>
                <w:spacing w:val="-2"/>
                <w:sz w:val="24"/>
              </w:rPr>
              <w:t xml:space="preserve"> </w:t>
            </w:r>
            <w:r w:rsidRPr="0059729F">
              <w:rPr>
                <w:sz w:val="24"/>
              </w:rPr>
              <w:t>tính</w:t>
            </w:r>
            <w:r w:rsidRPr="0059729F">
              <w:rPr>
                <w:spacing w:val="-2"/>
                <w:sz w:val="24"/>
              </w:rPr>
              <w:t xml:space="preserve"> </w:t>
            </w:r>
            <w:r w:rsidRPr="0059729F">
              <w:rPr>
                <w:sz w:val="24"/>
              </w:rPr>
              <w:t>điểm</w:t>
            </w:r>
            <w:r w:rsidRPr="0059729F">
              <w:rPr>
                <w:spacing w:val="-2"/>
                <w:sz w:val="24"/>
              </w:rPr>
              <w:t xml:space="preserve"> </w:t>
            </w:r>
            <w:r w:rsidRPr="0059729F">
              <w:rPr>
                <w:sz w:val="24"/>
              </w:rPr>
              <w:t>xếp</w:t>
            </w:r>
            <w:r w:rsidRPr="0059729F">
              <w:rPr>
                <w:spacing w:val="-2"/>
                <w:sz w:val="24"/>
              </w:rPr>
              <w:t xml:space="preserve"> </w:t>
            </w:r>
            <w:r w:rsidRPr="0059729F">
              <w:rPr>
                <w:sz w:val="24"/>
              </w:rPr>
              <w:t>hạng</w:t>
            </w:r>
            <w:r w:rsidRPr="0059729F">
              <w:rPr>
                <w:spacing w:val="-2"/>
                <w:sz w:val="24"/>
              </w:rPr>
              <w:t xml:space="preserve"> </w:t>
            </w:r>
            <w:r w:rsidRPr="0059729F">
              <w:rPr>
                <w:sz w:val="24"/>
              </w:rPr>
              <w:t>của từng tổ chức tín dụng để đối chiếu</w:t>
            </w:r>
            <w:r w:rsidRPr="0059729F">
              <w:rPr>
                <w:spacing w:val="40"/>
                <w:sz w:val="24"/>
              </w:rPr>
              <w:t xml:space="preserve"> </w:t>
            </w:r>
            <w:r w:rsidRPr="0059729F">
              <w:rPr>
                <w:sz w:val="24"/>
              </w:rPr>
              <w:t>lại thay vì như hiện nay các tổ chức tín dụng không biết các đơn vị chuyên môn của Ngân hàng Nhà nước tổng hợp và tính ra mức điểm, thông báo cho tổ chức tín dụng bằng cách nào, những lỗi nào bị trừ điểm, những sai sót nào không bị trừ điểm. Trên thực tế, qua thanh tra, kiểm tra, giám sát, có nhiều sai sót không bị xử phạt vi phạm hành chính, Ngân hàng Nhà nước cũng chỉ khuyến</w:t>
            </w:r>
            <w:r w:rsidRPr="0059729F">
              <w:rPr>
                <w:spacing w:val="40"/>
                <w:sz w:val="24"/>
              </w:rPr>
              <w:t xml:space="preserve"> </w:t>
            </w:r>
            <w:r w:rsidRPr="0059729F">
              <w:rPr>
                <w:sz w:val="24"/>
              </w:rPr>
              <w:t>nghị các tổ chức tín dụng rút kinh nghiệm nhưng sau đó vẫn tổng hợp và trừ điểm.</w:t>
            </w:r>
          </w:p>
        </w:tc>
        <w:tc>
          <w:tcPr>
            <w:tcW w:w="4252" w:type="dxa"/>
          </w:tcPr>
          <w:p w14:paraId="21AEB85F" w14:textId="77777777" w:rsidR="00755E60" w:rsidRPr="0002360B" w:rsidRDefault="00755E60" w:rsidP="00B268EC">
            <w:pPr>
              <w:widowControl w:val="0"/>
              <w:tabs>
                <w:tab w:val="left" w:pos="5670"/>
              </w:tabs>
              <w:spacing w:before="0" w:after="0"/>
              <w:ind w:left="-41"/>
              <w:rPr>
                <w:b/>
                <w:szCs w:val="24"/>
                <w:lang w:val="pt-BR"/>
              </w:rPr>
            </w:pPr>
            <w:r w:rsidRPr="0059729F">
              <w:rPr>
                <w:b/>
                <w:szCs w:val="24"/>
                <w:lang w:val="pt-BR"/>
              </w:rPr>
              <w:t>Chưa tiếp thu</w:t>
            </w:r>
          </w:p>
          <w:p w14:paraId="2E2C8851" w14:textId="7309C5B2" w:rsidR="00755E60" w:rsidRPr="0002360B" w:rsidRDefault="00A61654">
            <w:pPr>
              <w:widowControl w:val="0"/>
              <w:tabs>
                <w:tab w:val="left" w:pos="5670"/>
              </w:tabs>
              <w:spacing w:before="0" w:after="0"/>
              <w:ind w:left="-41"/>
              <w:rPr>
                <w:szCs w:val="24"/>
                <w:lang w:val="pt-BR"/>
              </w:rPr>
            </w:pPr>
            <w:r w:rsidRPr="0059729F">
              <w:rPr>
                <w:szCs w:val="24"/>
                <w:lang w:val="pt-BR"/>
              </w:rPr>
              <w:t>Việc đánh giá tình hình sức khỏe của TCTD thông qua việc xếp hạng TCTD là công việc thuộc thẩm quyền, trách nhiệm của NHNN để phục vụ hoạt động thanh tra, giám sát ngân hàng theo Luật NHNN.</w:t>
            </w:r>
          </w:p>
          <w:p w14:paraId="7D765F91" w14:textId="77777777" w:rsidR="00A61654" w:rsidRPr="0002360B" w:rsidRDefault="00A61654">
            <w:pPr>
              <w:widowControl w:val="0"/>
              <w:tabs>
                <w:tab w:val="left" w:pos="5670"/>
              </w:tabs>
              <w:spacing w:before="0" w:after="0"/>
              <w:ind w:left="-41"/>
              <w:rPr>
                <w:szCs w:val="24"/>
                <w:lang w:val="pt-BR"/>
              </w:rPr>
            </w:pPr>
            <w:r w:rsidRPr="0059729F">
              <w:rPr>
                <w:szCs w:val="24"/>
                <w:lang w:val="pt-BR"/>
              </w:rPr>
              <w:t>Để thực hiện công việc này, NHNN công bố phương pháp, tiêu chí, chỉ tiêu, ngưỡng đánh giá, tính điểm một cách công khai thông qua việc ban hành Thông tư quy định việc xếp hạng TCTD, chi nhánh ngân hàng nước ngoài</w:t>
            </w:r>
            <w:r w:rsidR="004C7F70" w:rsidRPr="0059729F">
              <w:rPr>
                <w:szCs w:val="24"/>
                <w:lang w:val="pt-BR"/>
              </w:rPr>
              <w:t>.</w:t>
            </w:r>
          </w:p>
        </w:tc>
      </w:tr>
      <w:tr w:rsidR="009C1BA2" w:rsidRPr="009C1BA2" w14:paraId="1FA83005" w14:textId="77777777" w:rsidTr="00776E98">
        <w:trPr>
          <w:cantSplit/>
        </w:trPr>
        <w:tc>
          <w:tcPr>
            <w:tcW w:w="3828" w:type="dxa"/>
          </w:tcPr>
          <w:p w14:paraId="09082A7F" w14:textId="3AA40CDA" w:rsidR="009C1BA2" w:rsidRPr="009C1BA2" w:rsidRDefault="009C1BA2" w:rsidP="00B268EC">
            <w:pPr>
              <w:widowControl w:val="0"/>
              <w:tabs>
                <w:tab w:val="left" w:pos="5670"/>
              </w:tabs>
              <w:spacing w:before="0" w:after="0"/>
              <w:rPr>
                <w:spacing w:val="-4"/>
                <w:szCs w:val="24"/>
                <w:lang w:val="pt-BR"/>
              </w:rPr>
            </w:pPr>
            <w:r w:rsidRPr="00783EF9">
              <w:rPr>
                <w:rFonts w:cs="Times New Roman"/>
                <w:szCs w:val="24"/>
              </w:rPr>
              <w:t>Về việc sửa đổi, bổ sung một số điều của Thông tư 52 định kỳ</w:t>
            </w:r>
          </w:p>
        </w:tc>
        <w:tc>
          <w:tcPr>
            <w:tcW w:w="1730" w:type="dxa"/>
          </w:tcPr>
          <w:p w14:paraId="19530C87" w14:textId="6B8A9666" w:rsidR="009C1BA2" w:rsidRPr="009C1BA2" w:rsidRDefault="009C1BA2" w:rsidP="00B268EC">
            <w:pPr>
              <w:widowControl w:val="0"/>
              <w:tabs>
                <w:tab w:val="left" w:pos="5670"/>
              </w:tabs>
              <w:spacing w:before="0" w:after="0"/>
              <w:rPr>
                <w:spacing w:val="-4"/>
                <w:szCs w:val="24"/>
                <w:lang w:val="pt-BR"/>
              </w:rPr>
            </w:pPr>
            <w:r w:rsidRPr="009C1BA2">
              <w:rPr>
                <w:spacing w:val="-4"/>
                <w:szCs w:val="24"/>
                <w:lang w:val="pt-BR"/>
              </w:rPr>
              <w:t>Hiệp hội ngân hàng Việt Nam</w:t>
            </w:r>
          </w:p>
        </w:tc>
        <w:tc>
          <w:tcPr>
            <w:tcW w:w="5358" w:type="dxa"/>
          </w:tcPr>
          <w:p w14:paraId="194DB676" w14:textId="77777777" w:rsidR="009C1BA2" w:rsidRPr="00783EF9" w:rsidRDefault="009C1BA2" w:rsidP="00783EF9">
            <w:pPr>
              <w:tabs>
                <w:tab w:val="left" w:pos="709"/>
              </w:tabs>
              <w:rPr>
                <w:rFonts w:cs="Times New Roman"/>
                <w:szCs w:val="24"/>
              </w:rPr>
            </w:pPr>
            <w:r w:rsidRPr="00783EF9">
              <w:rPr>
                <w:rFonts w:cs="Times New Roman"/>
                <w:szCs w:val="24"/>
              </w:rPr>
              <w:t xml:space="preserve">Đề xuất NHNN xem xét đánh giá lại bộ chỉ tiêu và trọng số </w:t>
            </w:r>
            <w:r w:rsidRPr="00783EF9">
              <w:rPr>
                <w:rFonts w:cs="Times New Roman"/>
                <w:szCs w:val="24"/>
                <w:u w:val="single"/>
              </w:rPr>
              <w:t>ít nhất 3 năm/lần</w:t>
            </w:r>
            <w:r w:rsidRPr="00783EF9">
              <w:rPr>
                <w:rFonts w:cs="Times New Roman"/>
                <w:szCs w:val="24"/>
              </w:rPr>
              <w:t xml:space="preserve"> để đảm bảo phù hợp với thực tế thị trường tài chính - ngân hàng. </w:t>
            </w:r>
          </w:p>
          <w:p w14:paraId="221447F9" w14:textId="77777777" w:rsidR="009C1BA2" w:rsidRPr="009C1BA2" w:rsidRDefault="009C1BA2" w:rsidP="00B268EC">
            <w:pPr>
              <w:pStyle w:val="ListParagraph"/>
              <w:widowControl w:val="0"/>
              <w:tabs>
                <w:tab w:val="left" w:pos="709"/>
                <w:tab w:val="left" w:pos="5670"/>
              </w:tabs>
              <w:ind w:left="0"/>
              <w:contextualSpacing w:val="0"/>
              <w:rPr>
                <w:sz w:val="24"/>
              </w:rPr>
            </w:pPr>
          </w:p>
        </w:tc>
        <w:tc>
          <w:tcPr>
            <w:tcW w:w="4252" w:type="dxa"/>
          </w:tcPr>
          <w:p w14:paraId="7F19E662" w14:textId="1A0B5E54" w:rsidR="009C1BA2" w:rsidRPr="009C1BA2" w:rsidRDefault="009C1BA2" w:rsidP="00B268EC">
            <w:pPr>
              <w:widowControl w:val="0"/>
              <w:tabs>
                <w:tab w:val="left" w:pos="5670"/>
              </w:tabs>
              <w:spacing w:before="0" w:after="0"/>
              <w:ind w:left="-41"/>
              <w:rPr>
                <w:b/>
                <w:szCs w:val="24"/>
                <w:lang w:val="pt-BR"/>
              </w:rPr>
            </w:pPr>
            <w:r w:rsidRPr="009C1BA2">
              <w:rPr>
                <w:szCs w:val="24"/>
                <w:lang w:val="pt-BR"/>
              </w:rPr>
              <w:t>NHNN sẽ xem xét đề xuất này trong thời gian tới.</w:t>
            </w:r>
          </w:p>
        </w:tc>
      </w:tr>
      <w:tr w:rsidR="0002360B" w:rsidRPr="0002360B" w14:paraId="6A521188" w14:textId="77777777" w:rsidTr="00776E98">
        <w:trPr>
          <w:cantSplit/>
        </w:trPr>
        <w:tc>
          <w:tcPr>
            <w:tcW w:w="3828" w:type="dxa"/>
          </w:tcPr>
          <w:p w14:paraId="6561D3B9" w14:textId="77777777" w:rsidR="00755E60" w:rsidRPr="0002360B" w:rsidRDefault="00755E60" w:rsidP="00B268EC">
            <w:pPr>
              <w:widowControl w:val="0"/>
              <w:tabs>
                <w:tab w:val="left" w:pos="5670"/>
              </w:tabs>
              <w:spacing w:before="0" w:after="0"/>
              <w:rPr>
                <w:spacing w:val="-4"/>
                <w:szCs w:val="24"/>
                <w:lang w:val="pt-BR"/>
              </w:rPr>
            </w:pPr>
            <w:r w:rsidRPr="0059729F">
              <w:rPr>
                <w:spacing w:val="-4"/>
                <w:szCs w:val="24"/>
                <w:lang w:val="pt-BR"/>
              </w:rPr>
              <w:lastRenderedPageBreak/>
              <w:t>Về việc hướng dẫn thực hiện Thông tư</w:t>
            </w:r>
          </w:p>
        </w:tc>
        <w:tc>
          <w:tcPr>
            <w:tcW w:w="1730" w:type="dxa"/>
          </w:tcPr>
          <w:p w14:paraId="75044642" w14:textId="77777777" w:rsidR="00755E60" w:rsidRPr="0002360B" w:rsidRDefault="00755E60" w:rsidP="00B268EC">
            <w:pPr>
              <w:widowControl w:val="0"/>
              <w:tabs>
                <w:tab w:val="left" w:pos="5670"/>
              </w:tabs>
              <w:spacing w:before="0" w:after="0"/>
              <w:rPr>
                <w:spacing w:val="-4"/>
                <w:szCs w:val="24"/>
                <w:lang w:val="pt-BR"/>
              </w:rPr>
            </w:pPr>
            <w:r w:rsidRPr="0059729F">
              <w:rPr>
                <w:spacing w:val="-4"/>
                <w:szCs w:val="24"/>
                <w:lang w:val="pt-BR"/>
              </w:rPr>
              <w:t>NHTMCP Đầu tư và phát triển Việt Nam</w:t>
            </w:r>
          </w:p>
        </w:tc>
        <w:tc>
          <w:tcPr>
            <w:tcW w:w="5358" w:type="dxa"/>
          </w:tcPr>
          <w:p w14:paraId="40083AF4" w14:textId="77777777" w:rsidR="00755E60" w:rsidRPr="0059729F" w:rsidRDefault="00755E60" w:rsidP="00B268EC">
            <w:pPr>
              <w:pStyle w:val="ListParagraph"/>
              <w:widowControl w:val="0"/>
              <w:tabs>
                <w:tab w:val="left" w:pos="709"/>
                <w:tab w:val="left" w:pos="5670"/>
              </w:tabs>
              <w:ind w:left="0"/>
              <w:contextualSpacing w:val="0"/>
              <w:rPr>
                <w:sz w:val="24"/>
              </w:rPr>
            </w:pPr>
            <w:r w:rsidRPr="0059729F">
              <w:rPr>
                <w:sz w:val="24"/>
              </w:rPr>
              <w:t xml:space="preserve">Kính đề nghị NHNN xem xét </w:t>
            </w:r>
            <w:r w:rsidRPr="0059729F">
              <w:rPr>
                <w:b/>
                <w:sz w:val="24"/>
              </w:rPr>
              <w:t>ban hành cẩm nang/phụ lục hướng dẫn chi tiết cách xác định</w:t>
            </w:r>
            <w:r w:rsidRPr="0059729F">
              <w:rPr>
                <w:sz w:val="24"/>
              </w:rPr>
              <w:t xml:space="preserve"> </w:t>
            </w:r>
            <w:r w:rsidRPr="0059729F">
              <w:rPr>
                <w:b/>
                <w:sz w:val="24"/>
              </w:rPr>
              <w:t>các chỉ tiêu định lượng, định tính</w:t>
            </w:r>
            <w:r w:rsidRPr="0059729F">
              <w:rPr>
                <w:sz w:val="24"/>
              </w:rPr>
              <w:t xml:space="preserve"> (dưới dạng file Excel), đồng thời cung cấp bảng tính mẫu và tài liệu Hỏi - Đáp để hỗ trợ các TCTD nắm rõ cách thức khai thác số liệu, nguồn số liệu đối chiếu, đảm bảo thống nhất trong quá trình thực hiện; trong đó, để phù hợp với diễn biến gia tăng các chỉ tiêu quy mô (tổng tài sản, tài sản có sinh lời, vốn chủ sở hữu… ) của các TCTD (thường tập trung vào thời điểm cuối kỳ), nhằm đảm bảo phản ánh đúng mức bình quân trong kỳ đánh giá xếp hạng, BIDV đề xuất cách xác định bình quân các chỉ tiêu này là trung bình cộng số liệu báo cáo tài chính tại 5 thời điểm: 31/12 năm trước liền kề; 31/3, 30/6, 30/9 và 31/12 trong năm xếp hạng.</w:t>
            </w:r>
          </w:p>
          <w:p w14:paraId="16CA688D" w14:textId="77777777" w:rsidR="00755E60" w:rsidRPr="0059729F" w:rsidRDefault="00755E60" w:rsidP="00B268EC">
            <w:pPr>
              <w:pStyle w:val="ListParagraph"/>
              <w:widowControl w:val="0"/>
              <w:tabs>
                <w:tab w:val="left" w:pos="709"/>
                <w:tab w:val="left" w:pos="5670"/>
              </w:tabs>
              <w:ind w:left="0"/>
              <w:contextualSpacing w:val="0"/>
              <w:rPr>
                <w:sz w:val="24"/>
              </w:rPr>
            </w:pPr>
          </w:p>
        </w:tc>
        <w:tc>
          <w:tcPr>
            <w:tcW w:w="4252" w:type="dxa"/>
          </w:tcPr>
          <w:p w14:paraId="6E19AEC1" w14:textId="0A64001A" w:rsidR="00755E60" w:rsidRPr="0002360B" w:rsidRDefault="00755E60">
            <w:pPr>
              <w:widowControl w:val="0"/>
              <w:tabs>
                <w:tab w:val="left" w:pos="5670"/>
              </w:tabs>
              <w:spacing w:before="0" w:after="0"/>
              <w:ind w:left="-41"/>
              <w:rPr>
                <w:b/>
                <w:szCs w:val="24"/>
                <w:lang w:val="pt-BR"/>
              </w:rPr>
            </w:pPr>
            <w:r w:rsidRPr="0059729F">
              <w:rPr>
                <w:szCs w:val="24"/>
                <w:lang w:val="pt-BR"/>
              </w:rPr>
              <w:t>NHNN sẽ</w:t>
            </w:r>
            <w:r w:rsidR="00D57F57" w:rsidRPr="0059729F">
              <w:rPr>
                <w:szCs w:val="24"/>
                <w:lang w:val="pt-BR"/>
              </w:rPr>
              <w:t xml:space="preserve"> xem xét</w:t>
            </w:r>
            <w:r w:rsidRPr="0059729F">
              <w:rPr>
                <w:szCs w:val="24"/>
                <w:lang w:val="pt-BR"/>
              </w:rPr>
              <w:t xml:space="preserve"> đề xuất </w:t>
            </w:r>
            <w:r w:rsidR="00D57F57" w:rsidRPr="0059729F">
              <w:rPr>
                <w:szCs w:val="24"/>
                <w:lang w:val="pt-BR"/>
              </w:rPr>
              <w:t xml:space="preserve">này </w:t>
            </w:r>
            <w:r w:rsidRPr="0059729F">
              <w:rPr>
                <w:szCs w:val="24"/>
                <w:lang w:val="pt-BR"/>
              </w:rPr>
              <w:t>trong thời gian tới.</w:t>
            </w:r>
          </w:p>
        </w:tc>
      </w:tr>
    </w:tbl>
    <w:p w14:paraId="69776C24" w14:textId="77777777" w:rsidR="00755E60" w:rsidRPr="0002360B" w:rsidRDefault="00755E60" w:rsidP="00B268EC">
      <w:pPr>
        <w:widowControl w:val="0"/>
        <w:tabs>
          <w:tab w:val="left" w:pos="5670"/>
        </w:tabs>
        <w:rPr>
          <w:b/>
          <w:lang w:val="pt-BR"/>
        </w:rPr>
      </w:pPr>
    </w:p>
    <w:p w14:paraId="257C83D6" w14:textId="77777777" w:rsidR="005209D3" w:rsidRPr="0002360B" w:rsidRDefault="005209D3" w:rsidP="00B268EC">
      <w:pPr>
        <w:tabs>
          <w:tab w:val="left" w:pos="5670"/>
        </w:tabs>
        <w:spacing w:after="0"/>
        <w:rPr>
          <w:szCs w:val="24"/>
        </w:rPr>
      </w:pPr>
    </w:p>
    <w:sectPr w:rsidR="005209D3" w:rsidRPr="0002360B" w:rsidSect="00B268EC">
      <w:headerReference w:type="default" r:id="rId9"/>
      <w:footerReference w:type="even" r:id="rId10"/>
      <w:footerReference w:type="default" r:id="rId11"/>
      <w:pgSz w:w="16840" w:h="11907" w:orient="landscape" w:code="9"/>
      <w:pgMar w:top="426" w:right="397" w:bottom="426" w:left="1701" w:header="561" w:footer="215"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1A7B5" w14:textId="77777777" w:rsidR="00A333F7" w:rsidRDefault="00A333F7">
      <w:pPr>
        <w:spacing w:before="0" w:after="0"/>
      </w:pPr>
      <w:r>
        <w:separator/>
      </w:r>
    </w:p>
  </w:endnote>
  <w:endnote w:type="continuationSeparator" w:id="0">
    <w:p w14:paraId="65A8F7F4" w14:textId="77777777" w:rsidR="00A333F7" w:rsidRDefault="00A333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A7C81" w14:textId="77777777" w:rsidR="001B0D93" w:rsidRDefault="001B0D93" w:rsidP="00B268E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C472BF1" w14:textId="77777777" w:rsidR="001B0D93" w:rsidRDefault="001B0D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50BBE" w14:textId="77777777" w:rsidR="001B0D93" w:rsidRDefault="001B0D93">
    <w:pPr>
      <w:pStyle w:val="Footer"/>
      <w:jc w:val="right"/>
    </w:pPr>
  </w:p>
  <w:p w14:paraId="1210492D" w14:textId="77777777" w:rsidR="001B0D93" w:rsidRDefault="001B0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2B5EA" w14:textId="77777777" w:rsidR="00A333F7" w:rsidRDefault="00A333F7">
      <w:pPr>
        <w:spacing w:before="0" w:after="0"/>
      </w:pPr>
      <w:r>
        <w:separator/>
      </w:r>
    </w:p>
  </w:footnote>
  <w:footnote w:type="continuationSeparator" w:id="0">
    <w:p w14:paraId="13A7AE77" w14:textId="77777777" w:rsidR="00A333F7" w:rsidRDefault="00A333F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5AD05" w14:textId="40F37C7A" w:rsidR="001B0D93" w:rsidRDefault="001B0D93">
    <w:pPr>
      <w:pStyle w:val="Header"/>
      <w:jc w:val="center"/>
    </w:pPr>
    <w:r>
      <w:fldChar w:fldCharType="begin"/>
    </w:r>
    <w:r>
      <w:instrText xml:space="preserve"> PAGE   \* MERGEFORMAT </w:instrText>
    </w:r>
    <w:r>
      <w:fldChar w:fldCharType="separate"/>
    </w:r>
    <w:r w:rsidR="00783EF9">
      <w:rPr>
        <w:noProof/>
      </w:rPr>
      <w:t>62</w:t>
    </w:r>
    <w:r>
      <w:rPr>
        <w:noProof/>
      </w:rPr>
      <w:fldChar w:fldCharType="end"/>
    </w:r>
  </w:p>
  <w:p w14:paraId="7F9B79B2" w14:textId="77777777" w:rsidR="001B0D93" w:rsidRDefault="001B0D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73FBB"/>
    <w:multiLevelType w:val="hybridMultilevel"/>
    <w:tmpl w:val="C6CCF21C"/>
    <w:lvl w:ilvl="0" w:tplc="016AB3B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477A3"/>
    <w:multiLevelType w:val="hybridMultilevel"/>
    <w:tmpl w:val="CB20FFB6"/>
    <w:lvl w:ilvl="0" w:tplc="669266DE">
      <w:start w:val="202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41B09"/>
    <w:multiLevelType w:val="hybridMultilevel"/>
    <w:tmpl w:val="9724D4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F16D5"/>
    <w:multiLevelType w:val="hybridMultilevel"/>
    <w:tmpl w:val="1430F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F3046"/>
    <w:multiLevelType w:val="hybridMultilevel"/>
    <w:tmpl w:val="A390778C"/>
    <w:lvl w:ilvl="0" w:tplc="C6DA2494">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nsid w:val="2BDC5F75"/>
    <w:multiLevelType w:val="multilevel"/>
    <w:tmpl w:val="AA24D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CF2083"/>
    <w:multiLevelType w:val="hybridMultilevel"/>
    <w:tmpl w:val="06AE8244"/>
    <w:lvl w:ilvl="0" w:tplc="042AFDD2">
      <w:start w:val="1"/>
      <w:numFmt w:val="bullet"/>
      <w:lvlText w:val="-"/>
      <w:lvlJc w:val="left"/>
      <w:pPr>
        <w:ind w:left="720" w:hanging="360"/>
      </w:pPr>
      <w:rPr>
        <w:rFonts w:ascii="Microsoft Himalaya" w:hAnsi="Microsoft Himal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737A39"/>
    <w:multiLevelType w:val="hybridMultilevel"/>
    <w:tmpl w:val="25906A82"/>
    <w:lvl w:ilvl="0" w:tplc="65E6C5FE">
      <w:start w:val="1"/>
      <w:numFmt w:val="lowerLetter"/>
      <w:lvlText w:val="%1)"/>
      <w:lvlJc w:val="left"/>
      <w:pPr>
        <w:ind w:left="598" w:hanging="360"/>
      </w:pPr>
      <w:rPr>
        <w:rFonts w:hint="default"/>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8">
    <w:nsid w:val="30CE1305"/>
    <w:multiLevelType w:val="hybridMultilevel"/>
    <w:tmpl w:val="2742612C"/>
    <w:lvl w:ilvl="0" w:tplc="37D094C0">
      <w:start w:val="1"/>
      <w:numFmt w:val="decimal"/>
      <w:lvlText w:val="%1."/>
      <w:lvlJc w:val="left"/>
      <w:pPr>
        <w:ind w:left="626" w:hanging="45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nsid w:val="412F5B43"/>
    <w:multiLevelType w:val="hybridMultilevel"/>
    <w:tmpl w:val="BAB43BA4"/>
    <w:lvl w:ilvl="0" w:tplc="76ECC0C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4338F2"/>
    <w:multiLevelType w:val="multilevel"/>
    <w:tmpl w:val="A080C8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C1707"/>
    <w:multiLevelType w:val="hybridMultilevel"/>
    <w:tmpl w:val="50C61D44"/>
    <w:lvl w:ilvl="0" w:tplc="7A6CDECC">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684920"/>
    <w:multiLevelType w:val="hybridMultilevel"/>
    <w:tmpl w:val="05D2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2165E8"/>
    <w:multiLevelType w:val="hybridMultilevel"/>
    <w:tmpl w:val="FEC0B106"/>
    <w:lvl w:ilvl="0" w:tplc="B948786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7D437E"/>
    <w:multiLevelType w:val="hybridMultilevel"/>
    <w:tmpl w:val="1D1ACFF4"/>
    <w:lvl w:ilvl="0" w:tplc="655AABAE">
      <w:start w:val="1"/>
      <w:numFmt w:val="bullet"/>
      <w:lvlText w:val="-"/>
      <w:lvlJc w:val="right"/>
      <w:pPr>
        <w:ind w:left="1425" w:hanging="360"/>
      </w:pPr>
      <w:rPr>
        <w:rFonts w:ascii="Times New Roman" w:eastAsia="Times New Roman" w:hAnsi="Times New Roman" w:cs="Times New Roman" w:hint="default"/>
        <w:b w:val="0"/>
        <w:sz w:val="28"/>
        <w:szCs w:val="28"/>
      </w:rPr>
    </w:lvl>
    <w:lvl w:ilvl="1" w:tplc="042A0003" w:tentative="1">
      <w:start w:val="1"/>
      <w:numFmt w:val="bullet"/>
      <w:lvlText w:val="o"/>
      <w:lvlJc w:val="left"/>
      <w:pPr>
        <w:ind w:left="2145" w:hanging="360"/>
      </w:pPr>
      <w:rPr>
        <w:rFonts w:ascii="Courier New" w:hAnsi="Courier New" w:cs="Courier New" w:hint="default"/>
      </w:rPr>
    </w:lvl>
    <w:lvl w:ilvl="2" w:tplc="042A0005" w:tentative="1">
      <w:start w:val="1"/>
      <w:numFmt w:val="bullet"/>
      <w:lvlText w:val=""/>
      <w:lvlJc w:val="left"/>
      <w:pPr>
        <w:ind w:left="2865" w:hanging="360"/>
      </w:pPr>
      <w:rPr>
        <w:rFonts w:ascii="Wingdings" w:hAnsi="Wingdings" w:hint="default"/>
      </w:rPr>
    </w:lvl>
    <w:lvl w:ilvl="3" w:tplc="042A0001" w:tentative="1">
      <w:start w:val="1"/>
      <w:numFmt w:val="bullet"/>
      <w:lvlText w:val=""/>
      <w:lvlJc w:val="left"/>
      <w:pPr>
        <w:ind w:left="3585" w:hanging="360"/>
      </w:pPr>
      <w:rPr>
        <w:rFonts w:ascii="Symbol" w:hAnsi="Symbol" w:hint="default"/>
      </w:rPr>
    </w:lvl>
    <w:lvl w:ilvl="4" w:tplc="042A0003" w:tentative="1">
      <w:start w:val="1"/>
      <w:numFmt w:val="bullet"/>
      <w:lvlText w:val="o"/>
      <w:lvlJc w:val="left"/>
      <w:pPr>
        <w:ind w:left="4305" w:hanging="360"/>
      </w:pPr>
      <w:rPr>
        <w:rFonts w:ascii="Courier New" w:hAnsi="Courier New" w:cs="Courier New" w:hint="default"/>
      </w:rPr>
    </w:lvl>
    <w:lvl w:ilvl="5" w:tplc="042A0005" w:tentative="1">
      <w:start w:val="1"/>
      <w:numFmt w:val="bullet"/>
      <w:lvlText w:val=""/>
      <w:lvlJc w:val="left"/>
      <w:pPr>
        <w:ind w:left="5025" w:hanging="360"/>
      </w:pPr>
      <w:rPr>
        <w:rFonts w:ascii="Wingdings" w:hAnsi="Wingdings" w:hint="default"/>
      </w:rPr>
    </w:lvl>
    <w:lvl w:ilvl="6" w:tplc="042A0001" w:tentative="1">
      <w:start w:val="1"/>
      <w:numFmt w:val="bullet"/>
      <w:lvlText w:val=""/>
      <w:lvlJc w:val="left"/>
      <w:pPr>
        <w:ind w:left="5745" w:hanging="360"/>
      </w:pPr>
      <w:rPr>
        <w:rFonts w:ascii="Symbol" w:hAnsi="Symbol" w:hint="default"/>
      </w:rPr>
    </w:lvl>
    <w:lvl w:ilvl="7" w:tplc="042A0003" w:tentative="1">
      <w:start w:val="1"/>
      <w:numFmt w:val="bullet"/>
      <w:lvlText w:val="o"/>
      <w:lvlJc w:val="left"/>
      <w:pPr>
        <w:ind w:left="6465" w:hanging="360"/>
      </w:pPr>
      <w:rPr>
        <w:rFonts w:ascii="Courier New" w:hAnsi="Courier New" w:cs="Courier New" w:hint="default"/>
      </w:rPr>
    </w:lvl>
    <w:lvl w:ilvl="8" w:tplc="042A0005" w:tentative="1">
      <w:start w:val="1"/>
      <w:numFmt w:val="bullet"/>
      <w:lvlText w:val=""/>
      <w:lvlJc w:val="left"/>
      <w:pPr>
        <w:ind w:left="7185" w:hanging="360"/>
      </w:pPr>
      <w:rPr>
        <w:rFonts w:ascii="Wingdings" w:hAnsi="Wingdings" w:hint="default"/>
      </w:rPr>
    </w:lvl>
  </w:abstractNum>
  <w:abstractNum w:abstractNumId="15">
    <w:nsid w:val="76AF7205"/>
    <w:multiLevelType w:val="hybridMultilevel"/>
    <w:tmpl w:val="17F2DD82"/>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8"/>
  </w:num>
  <w:num w:numId="5">
    <w:abstractNumId w:val="5"/>
  </w:num>
  <w:num w:numId="6">
    <w:abstractNumId w:val="10"/>
  </w:num>
  <w:num w:numId="7">
    <w:abstractNumId w:val="3"/>
  </w:num>
  <w:num w:numId="8">
    <w:abstractNumId w:val="2"/>
  </w:num>
  <w:num w:numId="9">
    <w:abstractNumId w:val="9"/>
  </w:num>
  <w:num w:numId="10">
    <w:abstractNumId w:val="14"/>
  </w:num>
  <w:num w:numId="11">
    <w:abstractNumId w:val="1"/>
  </w:num>
  <w:num w:numId="12">
    <w:abstractNumId w:val="6"/>
  </w:num>
  <w:num w:numId="13">
    <w:abstractNumId w:val="0"/>
  </w:num>
  <w:num w:numId="14">
    <w:abstractNumId w:val="11"/>
  </w:num>
  <w:num w:numId="15">
    <w:abstractNumId w:val="13"/>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nh nam ngo">
    <w15:presenceInfo w15:providerId="Windows Live" w15:userId="29d2c558634482db"/>
  </w15:person>
  <w15:person w15:author="hanh.dothi1">
    <w15:presenceInfo w15:providerId="None" w15:userId="hanh.dothi1"/>
  </w15:person>
  <w15:person w15:author="Nguyen Hanh Mai (TTGSNH)">
    <w15:presenceInfo w15:providerId="AD" w15:userId="S-1-5-21-3761574070-416689991-2235016704-19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A4F"/>
    <w:rsid w:val="0002360B"/>
    <w:rsid w:val="00026EB9"/>
    <w:rsid w:val="00063A4F"/>
    <w:rsid w:val="000B723B"/>
    <w:rsid w:val="001175CA"/>
    <w:rsid w:val="00121A9F"/>
    <w:rsid w:val="001671E7"/>
    <w:rsid w:val="001A7FA8"/>
    <w:rsid w:val="001B0D93"/>
    <w:rsid w:val="002319E0"/>
    <w:rsid w:val="002E1C45"/>
    <w:rsid w:val="00322FEB"/>
    <w:rsid w:val="0040147C"/>
    <w:rsid w:val="00421D15"/>
    <w:rsid w:val="00470884"/>
    <w:rsid w:val="004C6D63"/>
    <w:rsid w:val="004C7F70"/>
    <w:rsid w:val="004D07FA"/>
    <w:rsid w:val="005209D3"/>
    <w:rsid w:val="0059729F"/>
    <w:rsid w:val="005B3C70"/>
    <w:rsid w:val="005C5C2E"/>
    <w:rsid w:val="005C7654"/>
    <w:rsid w:val="00602AEF"/>
    <w:rsid w:val="00671E3F"/>
    <w:rsid w:val="0074082B"/>
    <w:rsid w:val="00755E60"/>
    <w:rsid w:val="00767C84"/>
    <w:rsid w:val="00776E98"/>
    <w:rsid w:val="00783EF9"/>
    <w:rsid w:val="007A6C57"/>
    <w:rsid w:val="007F00C7"/>
    <w:rsid w:val="00815EE8"/>
    <w:rsid w:val="008538C1"/>
    <w:rsid w:val="0086173E"/>
    <w:rsid w:val="008631C6"/>
    <w:rsid w:val="008A379E"/>
    <w:rsid w:val="008A7C83"/>
    <w:rsid w:val="009140E0"/>
    <w:rsid w:val="00923104"/>
    <w:rsid w:val="00963F4F"/>
    <w:rsid w:val="00980D8B"/>
    <w:rsid w:val="009C1BA2"/>
    <w:rsid w:val="00A333F7"/>
    <w:rsid w:val="00A57BF5"/>
    <w:rsid w:val="00A61654"/>
    <w:rsid w:val="00A91E8D"/>
    <w:rsid w:val="00B268EC"/>
    <w:rsid w:val="00B674B7"/>
    <w:rsid w:val="00B81A6D"/>
    <w:rsid w:val="00C35981"/>
    <w:rsid w:val="00CA4BAE"/>
    <w:rsid w:val="00CA7A93"/>
    <w:rsid w:val="00D57F57"/>
    <w:rsid w:val="00E57604"/>
    <w:rsid w:val="00E73E25"/>
    <w:rsid w:val="00E870EA"/>
    <w:rsid w:val="00EA74F4"/>
    <w:rsid w:val="00EB4F7F"/>
    <w:rsid w:val="00ED5AAA"/>
    <w:rsid w:val="00EE6633"/>
    <w:rsid w:val="00EF7650"/>
    <w:rsid w:val="00F063F5"/>
    <w:rsid w:val="00F07F36"/>
    <w:rsid w:val="00F32150"/>
    <w:rsid w:val="00F35D49"/>
    <w:rsid w:val="00F713F3"/>
    <w:rsid w:val="00FA0178"/>
    <w:rsid w:val="00FA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E3F"/>
    <w:pPr>
      <w:spacing w:before="120" w:after="120" w:line="240" w:lineRule="auto"/>
      <w:jc w:val="both"/>
    </w:pPr>
    <w:rPr>
      <w:rFonts w:ascii="Times New Roman" w:hAnsi="Times New Roman"/>
      <w:sz w:val="24"/>
    </w:rPr>
  </w:style>
  <w:style w:type="paragraph" w:styleId="Heading1">
    <w:name w:val="heading 1"/>
    <w:basedOn w:val="NoSpacing"/>
    <w:next w:val="NoSpacing"/>
    <w:link w:val="Heading1Char"/>
    <w:autoRedefine/>
    <w:uiPriority w:val="9"/>
    <w:qFormat/>
    <w:rsid w:val="00923104"/>
    <w:pPr>
      <w:keepNext/>
      <w:keepLines/>
      <w:spacing w:line="360" w:lineRule="auto"/>
      <w:outlineLvl w:val="0"/>
    </w:pPr>
    <w:rPr>
      <w:rFonts w:ascii="Arial" w:eastAsiaTheme="majorEastAsia" w:hAnsi="Arial" w:cstheme="majorBidi"/>
      <w:b/>
      <w:sz w:val="32"/>
      <w:szCs w:val="32"/>
    </w:rPr>
  </w:style>
  <w:style w:type="paragraph" w:styleId="Heading2">
    <w:name w:val="heading 2"/>
    <w:next w:val="NoSpacing"/>
    <w:link w:val="Heading2Char"/>
    <w:autoRedefine/>
    <w:unhideWhenUsed/>
    <w:qFormat/>
    <w:rsid w:val="00923104"/>
    <w:pPr>
      <w:keepNext/>
      <w:keepLines/>
      <w:spacing w:after="0" w:line="360" w:lineRule="auto"/>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autoRedefine/>
    <w:uiPriority w:val="9"/>
    <w:unhideWhenUsed/>
    <w:qFormat/>
    <w:rsid w:val="00923104"/>
    <w:pPr>
      <w:keepNext/>
      <w:keepLines/>
      <w:spacing w:after="0" w:line="360" w:lineRule="auto"/>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autoRedefine/>
    <w:uiPriority w:val="9"/>
    <w:unhideWhenUsed/>
    <w:qFormat/>
    <w:rsid w:val="00923104"/>
    <w:pPr>
      <w:keepNext/>
      <w:keepLines/>
      <w:spacing w:after="0" w:line="360" w:lineRule="auto"/>
      <w:ind w:left="2160"/>
      <w:outlineLvl w:val="3"/>
    </w:pPr>
    <w:rPr>
      <w:rFonts w:ascii="Times New Roman" w:eastAsiaTheme="majorEastAsia" w:hAnsi="Times New Roman" w:cstheme="majorBidi"/>
      <w:iCs/>
    </w:rPr>
  </w:style>
  <w:style w:type="paragraph" w:styleId="Heading5">
    <w:name w:val="heading 5"/>
    <w:next w:val="NoSpacing"/>
    <w:link w:val="Heading5Char"/>
    <w:autoRedefine/>
    <w:uiPriority w:val="9"/>
    <w:unhideWhenUsed/>
    <w:qFormat/>
    <w:rsid w:val="00923104"/>
    <w:pPr>
      <w:keepNext/>
      <w:keepLines/>
      <w:spacing w:after="0" w:line="360" w:lineRule="auto"/>
      <w:ind w:left="2880"/>
      <w:outlineLvl w:val="4"/>
    </w:pPr>
    <w:rPr>
      <w:rFonts w:ascii="Times New Roman" w:eastAsiaTheme="majorEastAsia" w:hAnsi="Times New Roman" w:cstheme="majorBidi"/>
    </w:rPr>
  </w:style>
  <w:style w:type="paragraph" w:styleId="Heading6">
    <w:name w:val="heading 6"/>
    <w:next w:val="NoSpacing"/>
    <w:link w:val="Heading6Char"/>
    <w:autoRedefine/>
    <w:uiPriority w:val="9"/>
    <w:unhideWhenUsed/>
    <w:qFormat/>
    <w:rsid w:val="00923104"/>
    <w:pPr>
      <w:keepNext/>
      <w:keepLines/>
      <w:spacing w:after="0" w:line="360" w:lineRule="auto"/>
      <w:ind w:left="3600"/>
      <w:outlineLvl w:val="5"/>
    </w:pPr>
    <w:rPr>
      <w:rFonts w:ascii="Times New Roman" w:eastAsiaTheme="majorEastAsia" w:hAnsi="Times New Roman" w:cstheme="majorBidi"/>
    </w:rPr>
  </w:style>
  <w:style w:type="paragraph" w:styleId="Heading7">
    <w:name w:val="heading 7"/>
    <w:next w:val="NoSpacing"/>
    <w:link w:val="Heading7Char"/>
    <w:autoRedefine/>
    <w:uiPriority w:val="9"/>
    <w:unhideWhenUsed/>
    <w:qFormat/>
    <w:rsid w:val="00923104"/>
    <w:pPr>
      <w:keepNext/>
      <w:keepLines/>
      <w:spacing w:after="0" w:line="360" w:lineRule="auto"/>
      <w:ind w:left="4320"/>
      <w:outlineLvl w:val="6"/>
    </w:pPr>
    <w:rPr>
      <w:rFonts w:ascii="Times New Roman" w:eastAsiaTheme="majorEastAsia" w:hAnsi="Times New Roman" w:cstheme="majorBidi"/>
      <w:iCs/>
    </w:rPr>
  </w:style>
  <w:style w:type="paragraph" w:styleId="Heading8">
    <w:name w:val="heading 8"/>
    <w:next w:val="NoSpacing"/>
    <w:link w:val="Heading8Char"/>
    <w:autoRedefine/>
    <w:uiPriority w:val="9"/>
    <w:unhideWhenUsed/>
    <w:qFormat/>
    <w:rsid w:val="00923104"/>
    <w:pPr>
      <w:keepNext/>
      <w:keepLines/>
      <w:spacing w:after="0"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autoRedefine/>
    <w:uiPriority w:val="9"/>
    <w:unhideWhenUsed/>
    <w:qFormat/>
    <w:rsid w:val="00923104"/>
    <w:pPr>
      <w:keepNext/>
      <w:keepLines/>
      <w:spacing w:after="0" w:line="360" w:lineRule="auto"/>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04"/>
    <w:rPr>
      <w:rFonts w:ascii="Arial" w:eastAsiaTheme="majorEastAsia" w:hAnsi="Arial" w:cstheme="majorBidi"/>
      <w:b/>
      <w:sz w:val="32"/>
      <w:szCs w:val="32"/>
    </w:rPr>
  </w:style>
  <w:style w:type="character" w:customStyle="1" w:styleId="Heading2Char">
    <w:name w:val="Heading 2 Char"/>
    <w:basedOn w:val="DefaultParagraphFont"/>
    <w:link w:val="Heading2"/>
    <w:rsid w:val="00923104"/>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92310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923104"/>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923104"/>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923104"/>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923104"/>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923104"/>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923104"/>
    <w:rPr>
      <w:rFonts w:ascii="Times New Roman" w:eastAsiaTheme="majorEastAsia" w:hAnsi="Times New Roman" w:cstheme="majorBidi"/>
      <w:iCs/>
      <w:color w:val="272727" w:themeColor="text1" w:themeTint="D8"/>
      <w:sz w:val="21"/>
      <w:szCs w:val="21"/>
    </w:rPr>
  </w:style>
  <w:style w:type="paragraph" w:styleId="Footer">
    <w:name w:val="footer"/>
    <w:basedOn w:val="Normal"/>
    <w:link w:val="FooterChar"/>
    <w:uiPriority w:val="99"/>
    <w:rsid w:val="00755E60"/>
    <w:pPr>
      <w:tabs>
        <w:tab w:val="center" w:pos="4320"/>
        <w:tab w:val="right" w:pos="8640"/>
      </w:tabs>
      <w:spacing w:before="0" w:after="0"/>
    </w:pPr>
    <w:rPr>
      <w:rFonts w:eastAsia="Times New Roman" w:cs="Times New Roman"/>
      <w:sz w:val="20"/>
      <w:szCs w:val="24"/>
      <w:lang w:val="x-none" w:eastAsia="x-none"/>
    </w:rPr>
  </w:style>
  <w:style w:type="character" w:customStyle="1" w:styleId="FooterChar">
    <w:name w:val="Footer Char"/>
    <w:basedOn w:val="DefaultParagraphFont"/>
    <w:link w:val="Footer"/>
    <w:uiPriority w:val="99"/>
    <w:rsid w:val="00755E60"/>
    <w:rPr>
      <w:rFonts w:ascii="Times New Roman" w:eastAsia="Times New Roman" w:hAnsi="Times New Roman" w:cs="Times New Roman"/>
      <w:sz w:val="20"/>
      <w:szCs w:val="24"/>
      <w:lang w:val="x-none" w:eastAsia="x-none"/>
    </w:rPr>
  </w:style>
  <w:style w:type="character" w:styleId="PageNumber">
    <w:name w:val="page number"/>
    <w:basedOn w:val="DefaultParagraphFont"/>
    <w:rsid w:val="00755E60"/>
  </w:style>
  <w:style w:type="paragraph" w:styleId="BodyText">
    <w:name w:val="Body Text"/>
    <w:basedOn w:val="Normal"/>
    <w:link w:val="BodyTextChar"/>
    <w:rsid w:val="00755E60"/>
    <w:pPr>
      <w:spacing w:before="240" w:after="0"/>
    </w:pPr>
    <w:rPr>
      <w:rFonts w:eastAsia="Times New Roman" w:cs="Times New Roman"/>
      <w:color w:val="000000"/>
      <w:sz w:val="20"/>
      <w:szCs w:val="20"/>
      <w:lang w:val="x-none" w:eastAsia="x-none"/>
    </w:rPr>
  </w:style>
  <w:style w:type="character" w:customStyle="1" w:styleId="BodyTextChar">
    <w:name w:val="Body Text Char"/>
    <w:basedOn w:val="DefaultParagraphFont"/>
    <w:link w:val="BodyText"/>
    <w:rsid w:val="00755E60"/>
    <w:rPr>
      <w:rFonts w:ascii="Times New Roman" w:eastAsia="Times New Roman" w:hAnsi="Times New Roman" w:cs="Times New Roman"/>
      <w:color w:val="000000"/>
      <w:sz w:val="20"/>
      <w:szCs w:val="20"/>
      <w:lang w:val="x-none" w:eastAsia="x-none"/>
    </w:rPr>
  </w:style>
  <w:style w:type="paragraph" w:styleId="BalloonText">
    <w:name w:val="Balloon Text"/>
    <w:basedOn w:val="Normal"/>
    <w:link w:val="BalloonTextChar"/>
    <w:uiPriority w:val="99"/>
    <w:semiHidden/>
    <w:unhideWhenUsed/>
    <w:rsid w:val="00755E60"/>
    <w:pPr>
      <w:spacing w:before="0" w:after="0"/>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755E60"/>
    <w:rPr>
      <w:rFonts w:ascii="Tahoma" w:eastAsia="Times New Roman" w:hAnsi="Tahoma" w:cs="Times New Roman"/>
      <w:sz w:val="16"/>
      <w:szCs w:val="16"/>
      <w:lang w:val="x-none" w:eastAsia="x-none"/>
    </w:rPr>
  </w:style>
  <w:style w:type="paragraph" w:styleId="ListParagraph">
    <w:name w:val="List Paragraph"/>
    <w:aliases w:val="bullet 1,bullet,List Paragraph1,Citation List,List Paragraph-rfp content,VNA - List Paragraph,Table Sequence,Bullet L1,lp1,lp11 Char,lp1 Char,List Paragraph1 Char Char,List Paragraph 1,My checklist,lp11,1.,Bullet Number,Resume Title,Ha,H1"/>
    <w:basedOn w:val="Normal"/>
    <w:link w:val="ListParagraphChar"/>
    <w:uiPriority w:val="34"/>
    <w:qFormat/>
    <w:rsid w:val="00755E60"/>
    <w:pPr>
      <w:spacing w:before="0" w:after="0"/>
      <w:ind w:left="720"/>
      <w:contextualSpacing/>
    </w:pPr>
    <w:rPr>
      <w:rFonts w:eastAsia="Times New Roman" w:cs="Times New Roman"/>
      <w:sz w:val="22"/>
      <w:szCs w:val="24"/>
    </w:rPr>
  </w:style>
  <w:style w:type="paragraph" w:styleId="Header">
    <w:name w:val="header"/>
    <w:basedOn w:val="Normal"/>
    <w:link w:val="HeaderChar"/>
    <w:uiPriority w:val="99"/>
    <w:unhideWhenUsed/>
    <w:rsid w:val="00755E60"/>
    <w:pPr>
      <w:tabs>
        <w:tab w:val="center" w:pos="4680"/>
        <w:tab w:val="right" w:pos="9360"/>
      </w:tabs>
      <w:spacing w:before="0" w:after="0"/>
    </w:pPr>
    <w:rPr>
      <w:rFonts w:eastAsia="Times New Roman" w:cs="Times New Roman"/>
      <w:sz w:val="20"/>
      <w:szCs w:val="24"/>
      <w:lang w:val="x-none" w:eastAsia="x-none"/>
    </w:rPr>
  </w:style>
  <w:style w:type="character" w:customStyle="1" w:styleId="HeaderChar">
    <w:name w:val="Header Char"/>
    <w:basedOn w:val="DefaultParagraphFont"/>
    <w:link w:val="Header"/>
    <w:uiPriority w:val="99"/>
    <w:rsid w:val="00755E60"/>
    <w:rPr>
      <w:rFonts w:ascii="Times New Roman" w:eastAsia="Times New Roman" w:hAnsi="Times New Roman" w:cs="Times New Roman"/>
      <w:sz w:val="20"/>
      <w:szCs w:val="24"/>
      <w:lang w:val="x-none" w:eastAsia="x-none"/>
    </w:rPr>
  </w:style>
  <w:style w:type="character" w:styleId="FootnoteReference">
    <w:name w:val="footnote reference"/>
    <w:aliases w:val="Footnote,Footnote text,ftref,BearingPoint,16 Point,Superscript 6 Point,fr,Footnote Text1,f,(NECG) Footnote Reference,BVI fnr,footnote ref,Ref,de nota al pie,Footnote + Arial,10 pt,Black,Footnote Text11,10 p,SUPERS,Re,f1,10,R, BVI fnr"/>
    <w:link w:val="CharChar1CharCharCharChar1CharCharCharCharCharCharCharChar"/>
    <w:uiPriority w:val="99"/>
    <w:unhideWhenUsed/>
    <w:qFormat/>
    <w:rsid w:val="00755E60"/>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755E60"/>
    <w:pPr>
      <w:spacing w:before="0" w:after="160" w:line="240" w:lineRule="exact"/>
    </w:pPr>
    <w:rPr>
      <w:rFonts w:asciiTheme="minorHAnsi" w:hAnsiTheme="minorHAnsi"/>
      <w:sz w:val="22"/>
      <w:vertAlign w:val="superscript"/>
    </w:rPr>
  </w:style>
  <w:style w:type="paragraph" w:styleId="NormalWeb">
    <w:name w:val="Normal (Web)"/>
    <w:aliases w:val="Normal (Web) Char Char Char Char Char,Normal (Web) Char Char Char Char,Char Char Char,Char Char Char Char Char Char Char Char Char Char,Char Char Char Char Char Char Char Char Char Char Char,Char Char Char Char Char, Char Char Char"/>
    <w:basedOn w:val="Normal"/>
    <w:link w:val="NormalWebChar"/>
    <w:uiPriority w:val="99"/>
    <w:qFormat/>
    <w:rsid w:val="00755E60"/>
    <w:pPr>
      <w:spacing w:before="100" w:beforeAutospacing="1" w:after="100" w:afterAutospacing="1"/>
    </w:pPr>
    <w:rPr>
      <w:rFonts w:eastAsia="Times New Roman" w:cs="Times New Roman"/>
      <w:szCs w:val="24"/>
    </w:rPr>
  </w:style>
  <w:style w:type="table" w:styleId="TableGrid">
    <w:name w:val="Table Grid"/>
    <w:basedOn w:val="TableNormal"/>
    <w:uiPriority w:val="59"/>
    <w:unhideWhenUsed/>
    <w:rsid w:val="00755E6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755E60"/>
    <w:pPr>
      <w:spacing w:before="0"/>
      <w:ind w:left="360"/>
    </w:pPr>
    <w:rPr>
      <w:rFonts w:eastAsia="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755E60"/>
    <w:rPr>
      <w:rFonts w:ascii="Times New Roman" w:eastAsia="Times New Roman" w:hAnsi="Times New Roman" w:cs="Times New Roman"/>
      <w:sz w:val="16"/>
      <w:szCs w:val="16"/>
      <w:lang w:val="x-none" w:eastAsia="x-none"/>
    </w:rPr>
  </w:style>
  <w:style w:type="character" w:customStyle="1" w:styleId="NormalWebChar">
    <w:name w:val="Normal (Web) Char"/>
    <w:aliases w:val="Normal (Web) Char Char Char Char Char Char,Normal (Web) Char Char Char Char Char1,Char Char Char Char,Char Char Char Char Char Char Char Char Char Char Char1,Char Char Char Char Char Char Char Char Char Char Char Char"/>
    <w:link w:val="NormalWeb"/>
    <w:uiPriority w:val="99"/>
    <w:rsid w:val="00755E60"/>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S,ft,C"/>
    <w:basedOn w:val="Normal"/>
    <w:link w:val="FootnoteTextChar"/>
    <w:uiPriority w:val="99"/>
    <w:unhideWhenUsed/>
    <w:qFormat/>
    <w:rsid w:val="00755E60"/>
    <w:pPr>
      <w:spacing w:before="0" w:after="0"/>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qFormat/>
    <w:rsid w:val="00755E60"/>
    <w:rPr>
      <w:rFonts w:ascii="Times New Roman" w:eastAsia="Times New Roman" w:hAnsi="Times New Roman" w:cs="Times New Roman"/>
      <w:sz w:val="20"/>
      <w:szCs w:val="20"/>
    </w:rPr>
  </w:style>
  <w:style w:type="character" w:styleId="Strong">
    <w:name w:val="Strong"/>
    <w:uiPriority w:val="22"/>
    <w:qFormat/>
    <w:rsid w:val="00755E60"/>
    <w:rPr>
      <w:b/>
      <w:bCs/>
    </w:rPr>
  </w:style>
  <w:style w:type="character" w:customStyle="1" w:styleId="ListParagraphChar">
    <w:name w:val="List Paragraph Char"/>
    <w:aliases w:val="bullet 1 Char,bullet Char,List Paragraph1 Char,Citation List Char,List Paragraph-rfp content Char,VNA - List Paragraph Char,Table Sequence Char,Bullet L1 Char,lp1 Char1,lp11 Char Char,lp1 Char Char,List Paragraph1 Char Char Char"/>
    <w:link w:val="ListParagraph"/>
    <w:uiPriority w:val="34"/>
    <w:qFormat/>
    <w:locked/>
    <w:rsid w:val="00755E60"/>
    <w:rPr>
      <w:rFonts w:ascii="Times New Roman" w:eastAsia="Times New Roman" w:hAnsi="Times New Roman" w:cs="Times New Roman"/>
      <w:szCs w:val="24"/>
    </w:rPr>
  </w:style>
  <w:style w:type="paragraph" w:customStyle="1" w:styleId="BVIfnrCarCar">
    <w:name w:val="BVI fnr Car Car"/>
    <w:aliases w:val="BVI fnr Car,BVI fnr Car Car Car Car Char"/>
    <w:basedOn w:val="Normal"/>
    <w:uiPriority w:val="99"/>
    <w:rsid w:val="00755E60"/>
    <w:pPr>
      <w:spacing w:before="0" w:after="160" w:line="240" w:lineRule="exact"/>
    </w:pPr>
    <w:rPr>
      <w:rFonts w:eastAsia="Times New Roman" w:cs="Times New Roman"/>
      <w:sz w:val="20"/>
      <w:szCs w:val="20"/>
      <w:vertAlign w:val="superscript"/>
    </w:rPr>
  </w:style>
  <w:style w:type="character" w:styleId="Hyperlink">
    <w:name w:val="Hyperlink"/>
    <w:unhideWhenUsed/>
    <w:rsid w:val="00755E60"/>
    <w:rPr>
      <w:color w:val="0000FF"/>
      <w:u w:val="single"/>
    </w:rPr>
  </w:style>
  <w:style w:type="paragraph" w:customStyle="1" w:styleId="Normal1">
    <w:name w:val="Normal1"/>
    <w:basedOn w:val="Normal"/>
    <w:rsid w:val="00755E60"/>
    <w:pPr>
      <w:spacing w:before="100" w:beforeAutospacing="1" w:after="100" w:afterAutospacing="1"/>
    </w:pPr>
    <w:rPr>
      <w:rFonts w:eastAsia="Times New Roman" w:cs="Times New Roman"/>
      <w:szCs w:val="24"/>
    </w:rPr>
  </w:style>
  <w:style w:type="paragraph" w:customStyle="1" w:styleId="TableParagraph">
    <w:name w:val="Table Paragraph"/>
    <w:basedOn w:val="Normal"/>
    <w:uiPriority w:val="1"/>
    <w:qFormat/>
    <w:rsid w:val="00755E60"/>
    <w:pPr>
      <w:widowControl w:val="0"/>
      <w:autoSpaceDE w:val="0"/>
      <w:autoSpaceDN w:val="0"/>
      <w:spacing w:before="0" w:after="0"/>
      <w:ind w:left="106"/>
    </w:pPr>
    <w:rPr>
      <w:rFonts w:eastAsia="Times New Roman" w:cs="Times New Roman"/>
      <w:sz w:val="22"/>
      <w:lang w:val="vi"/>
    </w:rPr>
  </w:style>
  <w:style w:type="paragraph" w:styleId="Revision">
    <w:name w:val="Revision"/>
    <w:hidden/>
    <w:uiPriority w:val="99"/>
    <w:semiHidden/>
    <w:rsid w:val="00755E60"/>
    <w:pPr>
      <w:spacing w:after="0"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E3F"/>
    <w:pPr>
      <w:spacing w:before="120" w:after="120" w:line="240" w:lineRule="auto"/>
      <w:jc w:val="both"/>
    </w:pPr>
    <w:rPr>
      <w:rFonts w:ascii="Times New Roman" w:hAnsi="Times New Roman"/>
      <w:sz w:val="24"/>
    </w:rPr>
  </w:style>
  <w:style w:type="paragraph" w:styleId="Heading1">
    <w:name w:val="heading 1"/>
    <w:basedOn w:val="NoSpacing"/>
    <w:next w:val="NoSpacing"/>
    <w:link w:val="Heading1Char"/>
    <w:autoRedefine/>
    <w:uiPriority w:val="9"/>
    <w:qFormat/>
    <w:rsid w:val="00923104"/>
    <w:pPr>
      <w:keepNext/>
      <w:keepLines/>
      <w:spacing w:line="360" w:lineRule="auto"/>
      <w:outlineLvl w:val="0"/>
    </w:pPr>
    <w:rPr>
      <w:rFonts w:ascii="Arial" w:eastAsiaTheme="majorEastAsia" w:hAnsi="Arial" w:cstheme="majorBidi"/>
      <w:b/>
      <w:sz w:val="32"/>
      <w:szCs w:val="32"/>
    </w:rPr>
  </w:style>
  <w:style w:type="paragraph" w:styleId="Heading2">
    <w:name w:val="heading 2"/>
    <w:next w:val="NoSpacing"/>
    <w:link w:val="Heading2Char"/>
    <w:autoRedefine/>
    <w:unhideWhenUsed/>
    <w:qFormat/>
    <w:rsid w:val="00923104"/>
    <w:pPr>
      <w:keepNext/>
      <w:keepLines/>
      <w:spacing w:after="0" w:line="360" w:lineRule="auto"/>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autoRedefine/>
    <w:uiPriority w:val="9"/>
    <w:unhideWhenUsed/>
    <w:qFormat/>
    <w:rsid w:val="00923104"/>
    <w:pPr>
      <w:keepNext/>
      <w:keepLines/>
      <w:spacing w:after="0" w:line="360" w:lineRule="auto"/>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autoRedefine/>
    <w:uiPriority w:val="9"/>
    <w:unhideWhenUsed/>
    <w:qFormat/>
    <w:rsid w:val="00923104"/>
    <w:pPr>
      <w:keepNext/>
      <w:keepLines/>
      <w:spacing w:after="0" w:line="360" w:lineRule="auto"/>
      <w:ind w:left="2160"/>
      <w:outlineLvl w:val="3"/>
    </w:pPr>
    <w:rPr>
      <w:rFonts w:ascii="Times New Roman" w:eastAsiaTheme="majorEastAsia" w:hAnsi="Times New Roman" w:cstheme="majorBidi"/>
      <w:iCs/>
    </w:rPr>
  </w:style>
  <w:style w:type="paragraph" w:styleId="Heading5">
    <w:name w:val="heading 5"/>
    <w:next w:val="NoSpacing"/>
    <w:link w:val="Heading5Char"/>
    <w:autoRedefine/>
    <w:uiPriority w:val="9"/>
    <w:unhideWhenUsed/>
    <w:qFormat/>
    <w:rsid w:val="00923104"/>
    <w:pPr>
      <w:keepNext/>
      <w:keepLines/>
      <w:spacing w:after="0" w:line="360" w:lineRule="auto"/>
      <w:ind w:left="2880"/>
      <w:outlineLvl w:val="4"/>
    </w:pPr>
    <w:rPr>
      <w:rFonts w:ascii="Times New Roman" w:eastAsiaTheme="majorEastAsia" w:hAnsi="Times New Roman" w:cstheme="majorBidi"/>
    </w:rPr>
  </w:style>
  <w:style w:type="paragraph" w:styleId="Heading6">
    <w:name w:val="heading 6"/>
    <w:next w:val="NoSpacing"/>
    <w:link w:val="Heading6Char"/>
    <w:autoRedefine/>
    <w:uiPriority w:val="9"/>
    <w:unhideWhenUsed/>
    <w:qFormat/>
    <w:rsid w:val="00923104"/>
    <w:pPr>
      <w:keepNext/>
      <w:keepLines/>
      <w:spacing w:after="0" w:line="360" w:lineRule="auto"/>
      <w:ind w:left="3600"/>
      <w:outlineLvl w:val="5"/>
    </w:pPr>
    <w:rPr>
      <w:rFonts w:ascii="Times New Roman" w:eastAsiaTheme="majorEastAsia" w:hAnsi="Times New Roman" w:cstheme="majorBidi"/>
    </w:rPr>
  </w:style>
  <w:style w:type="paragraph" w:styleId="Heading7">
    <w:name w:val="heading 7"/>
    <w:next w:val="NoSpacing"/>
    <w:link w:val="Heading7Char"/>
    <w:autoRedefine/>
    <w:uiPriority w:val="9"/>
    <w:unhideWhenUsed/>
    <w:qFormat/>
    <w:rsid w:val="00923104"/>
    <w:pPr>
      <w:keepNext/>
      <w:keepLines/>
      <w:spacing w:after="0" w:line="360" w:lineRule="auto"/>
      <w:ind w:left="4320"/>
      <w:outlineLvl w:val="6"/>
    </w:pPr>
    <w:rPr>
      <w:rFonts w:ascii="Times New Roman" w:eastAsiaTheme="majorEastAsia" w:hAnsi="Times New Roman" w:cstheme="majorBidi"/>
      <w:iCs/>
    </w:rPr>
  </w:style>
  <w:style w:type="paragraph" w:styleId="Heading8">
    <w:name w:val="heading 8"/>
    <w:next w:val="NoSpacing"/>
    <w:link w:val="Heading8Char"/>
    <w:autoRedefine/>
    <w:uiPriority w:val="9"/>
    <w:unhideWhenUsed/>
    <w:qFormat/>
    <w:rsid w:val="00923104"/>
    <w:pPr>
      <w:keepNext/>
      <w:keepLines/>
      <w:spacing w:after="0"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autoRedefine/>
    <w:uiPriority w:val="9"/>
    <w:unhideWhenUsed/>
    <w:qFormat/>
    <w:rsid w:val="00923104"/>
    <w:pPr>
      <w:keepNext/>
      <w:keepLines/>
      <w:spacing w:after="0" w:line="360" w:lineRule="auto"/>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04"/>
    <w:rPr>
      <w:rFonts w:ascii="Arial" w:eastAsiaTheme="majorEastAsia" w:hAnsi="Arial" w:cstheme="majorBidi"/>
      <w:b/>
      <w:sz w:val="32"/>
      <w:szCs w:val="32"/>
    </w:rPr>
  </w:style>
  <w:style w:type="character" w:customStyle="1" w:styleId="Heading2Char">
    <w:name w:val="Heading 2 Char"/>
    <w:basedOn w:val="DefaultParagraphFont"/>
    <w:link w:val="Heading2"/>
    <w:rsid w:val="00923104"/>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92310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923104"/>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923104"/>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923104"/>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923104"/>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923104"/>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923104"/>
    <w:rPr>
      <w:rFonts w:ascii="Times New Roman" w:eastAsiaTheme="majorEastAsia" w:hAnsi="Times New Roman" w:cstheme="majorBidi"/>
      <w:iCs/>
      <w:color w:val="272727" w:themeColor="text1" w:themeTint="D8"/>
      <w:sz w:val="21"/>
      <w:szCs w:val="21"/>
    </w:rPr>
  </w:style>
  <w:style w:type="paragraph" w:styleId="Footer">
    <w:name w:val="footer"/>
    <w:basedOn w:val="Normal"/>
    <w:link w:val="FooterChar"/>
    <w:uiPriority w:val="99"/>
    <w:rsid w:val="00755E60"/>
    <w:pPr>
      <w:tabs>
        <w:tab w:val="center" w:pos="4320"/>
        <w:tab w:val="right" w:pos="8640"/>
      </w:tabs>
      <w:spacing w:before="0" w:after="0"/>
    </w:pPr>
    <w:rPr>
      <w:rFonts w:eastAsia="Times New Roman" w:cs="Times New Roman"/>
      <w:sz w:val="20"/>
      <w:szCs w:val="24"/>
      <w:lang w:val="x-none" w:eastAsia="x-none"/>
    </w:rPr>
  </w:style>
  <w:style w:type="character" w:customStyle="1" w:styleId="FooterChar">
    <w:name w:val="Footer Char"/>
    <w:basedOn w:val="DefaultParagraphFont"/>
    <w:link w:val="Footer"/>
    <w:uiPriority w:val="99"/>
    <w:rsid w:val="00755E60"/>
    <w:rPr>
      <w:rFonts w:ascii="Times New Roman" w:eastAsia="Times New Roman" w:hAnsi="Times New Roman" w:cs="Times New Roman"/>
      <w:sz w:val="20"/>
      <w:szCs w:val="24"/>
      <w:lang w:val="x-none" w:eastAsia="x-none"/>
    </w:rPr>
  </w:style>
  <w:style w:type="character" w:styleId="PageNumber">
    <w:name w:val="page number"/>
    <w:basedOn w:val="DefaultParagraphFont"/>
    <w:rsid w:val="00755E60"/>
  </w:style>
  <w:style w:type="paragraph" w:styleId="BodyText">
    <w:name w:val="Body Text"/>
    <w:basedOn w:val="Normal"/>
    <w:link w:val="BodyTextChar"/>
    <w:rsid w:val="00755E60"/>
    <w:pPr>
      <w:spacing w:before="240" w:after="0"/>
    </w:pPr>
    <w:rPr>
      <w:rFonts w:eastAsia="Times New Roman" w:cs="Times New Roman"/>
      <w:color w:val="000000"/>
      <w:sz w:val="20"/>
      <w:szCs w:val="20"/>
      <w:lang w:val="x-none" w:eastAsia="x-none"/>
    </w:rPr>
  </w:style>
  <w:style w:type="character" w:customStyle="1" w:styleId="BodyTextChar">
    <w:name w:val="Body Text Char"/>
    <w:basedOn w:val="DefaultParagraphFont"/>
    <w:link w:val="BodyText"/>
    <w:rsid w:val="00755E60"/>
    <w:rPr>
      <w:rFonts w:ascii="Times New Roman" w:eastAsia="Times New Roman" w:hAnsi="Times New Roman" w:cs="Times New Roman"/>
      <w:color w:val="000000"/>
      <w:sz w:val="20"/>
      <w:szCs w:val="20"/>
      <w:lang w:val="x-none" w:eastAsia="x-none"/>
    </w:rPr>
  </w:style>
  <w:style w:type="paragraph" w:styleId="BalloonText">
    <w:name w:val="Balloon Text"/>
    <w:basedOn w:val="Normal"/>
    <w:link w:val="BalloonTextChar"/>
    <w:uiPriority w:val="99"/>
    <w:semiHidden/>
    <w:unhideWhenUsed/>
    <w:rsid w:val="00755E60"/>
    <w:pPr>
      <w:spacing w:before="0" w:after="0"/>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755E60"/>
    <w:rPr>
      <w:rFonts w:ascii="Tahoma" w:eastAsia="Times New Roman" w:hAnsi="Tahoma" w:cs="Times New Roman"/>
      <w:sz w:val="16"/>
      <w:szCs w:val="16"/>
      <w:lang w:val="x-none" w:eastAsia="x-none"/>
    </w:rPr>
  </w:style>
  <w:style w:type="paragraph" w:styleId="ListParagraph">
    <w:name w:val="List Paragraph"/>
    <w:aliases w:val="bullet 1,bullet,List Paragraph1,Citation List,List Paragraph-rfp content,VNA - List Paragraph,Table Sequence,Bullet L1,lp1,lp11 Char,lp1 Char,List Paragraph1 Char Char,List Paragraph 1,My checklist,lp11,1.,Bullet Number,Resume Title,Ha,H1"/>
    <w:basedOn w:val="Normal"/>
    <w:link w:val="ListParagraphChar"/>
    <w:uiPriority w:val="34"/>
    <w:qFormat/>
    <w:rsid w:val="00755E60"/>
    <w:pPr>
      <w:spacing w:before="0" w:after="0"/>
      <w:ind w:left="720"/>
      <w:contextualSpacing/>
    </w:pPr>
    <w:rPr>
      <w:rFonts w:eastAsia="Times New Roman" w:cs="Times New Roman"/>
      <w:sz w:val="22"/>
      <w:szCs w:val="24"/>
    </w:rPr>
  </w:style>
  <w:style w:type="paragraph" w:styleId="Header">
    <w:name w:val="header"/>
    <w:basedOn w:val="Normal"/>
    <w:link w:val="HeaderChar"/>
    <w:uiPriority w:val="99"/>
    <w:unhideWhenUsed/>
    <w:rsid w:val="00755E60"/>
    <w:pPr>
      <w:tabs>
        <w:tab w:val="center" w:pos="4680"/>
        <w:tab w:val="right" w:pos="9360"/>
      </w:tabs>
      <w:spacing w:before="0" w:after="0"/>
    </w:pPr>
    <w:rPr>
      <w:rFonts w:eastAsia="Times New Roman" w:cs="Times New Roman"/>
      <w:sz w:val="20"/>
      <w:szCs w:val="24"/>
      <w:lang w:val="x-none" w:eastAsia="x-none"/>
    </w:rPr>
  </w:style>
  <w:style w:type="character" w:customStyle="1" w:styleId="HeaderChar">
    <w:name w:val="Header Char"/>
    <w:basedOn w:val="DefaultParagraphFont"/>
    <w:link w:val="Header"/>
    <w:uiPriority w:val="99"/>
    <w:rsid w:val="00755E60"/>
    <w:rPr>
      <w:rFonts w:ascii="Times New Roman" w:eastAsia="Times New Roman" w:hAnsi="Times New Roman" w:cs="Times New Roman"/>
      <w:sz w:val="20"/>
      <w:szCs w:val="24"/>
      <w:lang w:val="x-none" w:eastAsia="x-none"/>
    </w:rPr>
  </w:style>
  <w:style w:type="character" w:styleId="FootnoteReference">
    <w:name w:val="footnote reference"/>
    <w:aliases w:val="Footnote,Footnote text,ftref,BearingPoint,16 Point,Superscript 6 Point,fr,Footnote Text1,f,(NECG) Footnote Reference,BVI fnr,footnote ref,Ref,de nota al pie,Footnote + Arial,10 pt,Black,Footnote Text11,10 p,SUPERS,Re,f1,10,R, BVI fnr"/>
    <w:link w:val="CharChar1CharCharCharChar1CharCharCharCharCharCharCharChar"/>
    <w:uiPriority w:val="99"/>
    <w:unhideWhenUsed/>
    <w:qFormat/>
    <w:rsid w:val="00755E60"/>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755E60"/>
    <w:pPr>
      <w:spacing w:before="0" w:after="160" w:line="240" w:lineRule="exact"/>
    </w:pPr>
    <w:rPr>
      <w:rFonts w:asciiTheme="minorHAnsi" w:hAnsiTheme="minorHAnsi"/>
      <w:sz w:val="22"/>
      <w:vertAlign w:val="superscript"/>
    </w:rPr>
  </w:style>
  <w:style w:type="paragraph" w:styleId="NormalWeb">
    <w:name w:val="Normal (Web)"/>
    <w:aliases w:val="Normal (Web) Char Char Char Char Char,Normal (Web) Char Char Char Char,Char Char Char,Char Char Char Char Char Char Char Char Char Char,Char Char Char Char Char Char Char Char Char Char Char,Char Char Char Char Char, Char Char Char"/>
    <w:basedOn w:val="Normal"/>
    <w:link w:val="NormalWebChar"/>
    <w:uiPriority w:val="99"/>
    <w:qFormat/>
    <w:rsid w:val="00755E60"/>
    <w:pPr>
      <w:spacing w:before="100" w:beforeAutospacing="1" w:after="100" w:afterAutospacing="1"/>
    </w:pPr>
    <w:rPr>
      <w:rFonts w:eastAsia="Times New Roman" w:cs="Times New Roman"/>
      <w:szCs w:val="24"/>
    </w:rPr>
  </w:style>
  <w:style w:type="table" w:styleId="TableGrid">
    <w:name w:val="Table Grid"/>
    <w:basedOn w:val="TableNormal"/>
    <w:uiPriority w:val="59"/>
    <w:unhideWhenUsed/>
    <w:rsid w:val="00755E6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755E60"/>
    <w:pPr>
      <w:spacing w:before="0"/>
      <w:ind w:left="360"/>
    </w:pPr>
    <w:rPr>
      <w:rFonts w:eastAsia="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755E60"/>
    <w:rPr>
      <w:rFonts w:ascii="Times New Roman" w:eastAsia="Times New Roman" w:hAnsi="Times New Roman" w:cs="Times New Roman"/>
      <w:sz w:val="16"/>
      <w:szCs w:val="16"/>
      <w:lang w:val="x-none" w:eastAsia="x-none"/>
    </w:rPr>
  </w:style>
  <w:style w:type="character" w:customStyle="1" w:styleId="NormalWebChar">
    <w:name w:val="Normal (Web) Char"/>
    <w:aliases w:val="Normal (Web) Char Char Char Char Char Char,Normal (Web) Char Char Char Char Char1,Char Char Char Char,Char Char Char Char Char Char Char Char Char Char Char1,Char Char Char Char Char Char Char Char Char Char Char Char"/>
    <w:link w:val="NormalWeb"/>
    <w:uiPriority w:val="99"/>
    <w:rsid w:val="00755E60"/>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S,ft,C"/>
    <w:basedOn w:val="Normal"/>
    <w:link w:val="FootnoteTextChar"/>
    <w:uiPriority w:val="99"/>
    <w:unhideWhenUsed/>
    <w:qFormat/>
    <w:rsid w:val="00755E60"/>
    <w:pPr>
      <w:spacing w:before="0" w:after="0"/>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qFormat/>
    <w:rsid w:val="00755E60"/>
    <w:rPr>
      <w:rFonts w:ascii="Times New Roman" w:eastAsia="Times New Roman" w:hAnsi="Times New Roman" w:cs="Times New Roman"/>
      <w:sz w:val="20"/>
      <w:szCs w:val="20"/>
    </w:rPr>
  </w:style>
  <w:style w:type="character" w:styleId="Strong">
    <w:name w:val="Strong"/>
    <w:uiPriority w:val="22"/>
    <w:qFormat/>
    <w:rsid w:val="00755E60"/>
    <w:rPr>
      <w:b/>
      <w:bCs/>
    </w:rPr>
  </w:style>
  <w:style w:type="character" w:customStyle="1" w:styleId="ListParagraphChar">
    <w:name w:val="List Paragraph Char"/>
    <w:aliases w:val="bullet 1 Char,bullet Char,List Paragraph1 Char,Citation List Char,List Paragraph-rfp content Char,VNA - List Paragraph Char,Table Sequence Char,Bullet L1 Char,lp1 Char1,lp11 Char Char,lp1 Char Char,List Paragraph1 Char Char Char"/>
    <w:link w:val="ListParagraph"/>
    <w:uiPriority w:val="34"/>
    <w:qFormat/>
    <w:locked/>
    <w:rsid w:val="00755E60"/>
    <w:rPr>
      <w:rFonts w:ascii="Times New Roman" w:eastAsia="Times New Roman" w:hAnsi="Times New Roman" w:cs="Times New Roman"/>
      <w:szCs w:val="24"/>
    </w:rPr>
  </w:style>
  <w:style w:type="paragraph" w:customStyle="1" w:styleId="BVIfnrCarCar">
    <w:name w:val="BVI fnr Car Car"/>
    <w:aliases w:val="BVI fnr Car,BVI fnr Car Car Car Car Char"/>
    <w:basedOn w:val="Normal"/>
    <w:uiPriority w:val="99"/>
    <w:rsid w:val="00755E60"/>
    <w:pPr>
      <w:spacing w:before="0" w:after="160" w:line="240" w:lineRule="exact"/>
    </w:pPr>
    <w:rPr>
      <w:rFonts w:eastAsia="Times New Roman" w:cs="Times New Roman"/>
      <w:sz w:val="20"/>
      <w:szCs w:val="20"/>
      <w:vertAlign w:val="superscript"/>
    </w:rPr>
  </w:style>
  <w:style w:type="character" w:styleId="Hyperlink">
    <w:name w:val="Hyperlink"/>
    <w:unhideWhenUsed/>
    <w:rsid w:val="00755E60"/>
    <w:rPr>
      <w:color w:val="0000FF"/>
      <w:u w:val="single"/>
    </w:rPr>
  </w:style>
  <w:style w:type="paragraph" w:customStyle="1" w:styleId="Normal1">
    <w:name w:val="Normal1"/>
    <w:basedOn w:val="Normal"/>
    <w:rsid w:val="00755E60"/>
    <w:pPr>
      <w:spacing w:before="100" w:beforeAutospacing="1" w:after="100" w:afterAutospacing="1"/>
    </w:pPr>
    <w:rPr>
      <w:rFonts w:eastAsia="Times New Roman" w:cs="Times New Roman"/>
      <w:szCs w:val="24"/>
    </w:rPr>
  </w:style>
  <w:style w:type="paragraph" w:customStyle="1" w:styleId="TableParagraph">
    <w:name w:val="Table Paragraph"/>
    <w:basedOn w:val="Normal"/>
    <w:uiPriority w:val="1"/>
    <w:qFormat/>
    <w:rsid w:val="00755E60"/>
    <w:pPr>
      <w:widowControl w:val="0"/>
      <w:autoSpaceDE w:val="0"/>
      <w:autoSpaceDN w:val="0"/>
      <w:spacing w:before="0" w:after="0"/>
      <w:ind w:left="106"/>
    </w:pPr>
    <w:rPr>
      <w:rFonts w:eastAsia="Times New Roman" w:cs="Times New Roman"/>
      <w:sz w:val="22"/>
      <w:lang w:val="vi"/>
    </w:rPr>
  </w:style>
  <w:style w:type="paragraph" w:styleId="Revision">
    <w:name w:val="Revision"/>
    <w:hidden/>
    <w:uiPriority w:val="99"/>
    <w:semiHidden/>
    <w:rsid w:val="00755E60"/>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2C2C5-D8EF-4E9C-8C81-AB592C96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71</Pages>
  <Words>19498</Words>
  <Characters>111143</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hanh.dothi1</dc:creator>
  <cp:keywords/>
  <dc:description/>
  <cp:lastModifiedBy>Administrator</cp:lastModifiedBy>
  <cp:revision>15</cp:revision>
  <cp:lastPrinted>2025-09-30T02:20:00Z</cp:lastPrinted>
  <dcterms:created xsi:type="dcterms:W3CDTF">2025-09-15T10:44:00Z</dcterms:created>
  <dcterms:modified xsi:type="dcterms:W3CDTF">2025-09-30T03:57:00Z</dcterms:modified>
</cp:coreProperties>
</file>