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D0" w:rsidRDefault="00140AD0" w:rsidP="00140AD0">
      <w:pPr>
        <w:pStyle w:val="NormalWeb"/>
        <w:jc w:val="both"/>
      </w:pPr>
      <w:r>
        <w:rPr>
          <w:rStyle w:val="Strong"/>
          <w:rFonts w:eastAsiaTheme="majorEastAsia"/>
        </w:rPr>
        <w:t xml:space="preserve">Press Release on the issuance of Circular No. 21/2025/TT-NHNN regulating the rating of </w:t>
      </w:r>
      <w:r w:rsidR="008873A8">
        <w:rPr>
          <w:rStyle w:val="Strong"/>
          <w:rFonts w:eastAsiaTheme="majorEastAsia"/>
        </w:rPr>
        <w:t xml:space="preserve">the </w:t>
      </w:r>
      <w:r>
        <w:rPr>
          <w:rStyle w:val="Strong"/>
          <w:rFonts w:eastAsiaTheme="majorEastAsia"/>
        </w:rPr>
        <w:t xml:space="preserve">credit institutions and </w:t>
      </w:r>
      <w:r w:rsidR="008873A8">
        <w:rPr>
          <w:rStyle w:val="Strong"/>
          <w:rFonts w:eastAsiaTheme="majorEastAsia"/>
        </w:rPr>
        <w:t xml:space="preserve">the </w:t>
      </w:r>
      <w:r>
        <w:rPr>
          <w:rStyle w:val="Strong"/>
          <w:rFonts w:eastAsiaTheme="majorEastAsia"/>
        </w:rPr>
        <w:t>foreign bank branches</w:t>
      </w:r>
    </w:p>
    <w:p w:rsidR="00140AD0" w:rsidRDefault="00140AD0" w:rsidP="00140AD0">
      <w:pPr>
        <w:pStyle w:val="NormalWeb"/>
        <w:jc w:val="both"/>
      </w:pPr>
      <w:r>
        <w:t xml:space="preserve">Hanoi, July 31, 2025. The Governor of the State Bank of Vietnam (SBV) has signed and issued Circular No. 21/2025/TT-NHNN regulating the rating of </w:t>
      </w:r>
      <w:r w:rsidR="008873A8">
        <w:t xml:space="preserve">the </w:t>
      </w:r>
      <w:r>
        <w:t xml:space="preserve">credit institutions and </w:t>
      </w:r>
      <w:r w:rsidR="008873A8">
        <w:t xml:space="preserve">the </w:t>
      </w:r>
      <w:r>
        <w:t xml:space="preserve">foreign bank branches (hereinafter </w:t>
      </w:r>
      <w:r w:rsidR="008873A8">
        <w:t xml:space="preserve">collectively </w:t>
      </w:r>
      <w:r>
        <w:t>referred to a</w:t>
      </w:r>
      <w:bookmarkStart w:id="0" w:name="_GoBack"/>
      <w:bookmarkEnd w:id="0"/>
      <w:r>
        <w:t xml:space="preserve">s </w:t>
      </w:r>
      <w:r w:rsidR="008873A8">
        <w:t>“</w:t>
      </w:r>
      <w:r>
        <w:t>credit institutions</w:t>
      </w:r>
      <w:r w:rsidR="008873A8">
        <w:t>” or</w:t>
      </w:r>
      <w:r>
        <w:t xml:space="preserve"> </w:t>
      </w:r>
      <w:r w:rsidR="008873A8">
        <w:t>“</w:t>
      </w:r>
      <w:r>
        <w:t>CIs</w:t>
      </w:r>
      <w:r w:rsidR="008873A8">
        <w:t>”</w:t>
      </w:r>
      <w:r>
        <w:t xml:space="preserve">). The Circular </w:t>
      </w:r>
      <w:r w:rsidR="008873A8">
        <w:t>comprises</w:t>
      </w:r>
      <w:r>
        <w:t xml:space="preserve"> 03 Chapters and 30 Articles</w:t>
      </w:r>
      <w:r w:rsidR="008873A8">
        <w:t>, marking a significant step in strengthening the regulatory framework for the safety and soundness of the banking system</w:t>
      </w:r>
      <w:r>
        <w:t>.</w:t>
      </w:r>
    </w:p>
    <w:p w:rsidR="008873A8" w:rsidRDefault="00140AD0" w:rsidP="00140AD0">
      <w:pPr>
        <w:pStyle w:val="NormalWeb"/>
        <w:jc w:val="both"/>
      </w:pPr>
      <w:r>
        <w:t xml:space="preserve">Circular No. 21/2025/TT-NHNN </w:t>
      </w:r>
      <w:r w:rsidR="008873A8">
        <w:t>builds upon the foundations</w:t>
      </w:r>
      <w:r>
        <w:t xml:space="preserve"> of Circular No. 52/2018/TT-NHNN (</w:t>
      </w:r>
      <w:r w:rsidR="008873A8">
        <w:t xml:space="preserve">as </w:t>
      </w:r>
      <w:r>
        <w:t xml:space="preserve">amended and supplemented in 2021), while </w:t>
      </w:r>
      <w:r w:rsidR="008873A8">
        <w:t>incorporating key enhancements in line with the SBV’s goals. It aims to</w:t>
      </w:r>
      <w:r>
        <w:t xml:space="preserve">: </w:t>
      </w:r>
    </w:p>
    <w:p w:rsidR="008873A8" w:rsidRDefault="008873A8" w:rsidP="007A4F23">
      <w:pPr>
        <w:pStyle w:val="NormalWeb"/>
        <w:numPr>
          <w:ilvl w:val="0"/>
          <w:numId w:val="2"/>
        </w:numPr>
        <w:jc w:val="both"/>
      </w:pPr>
      <w:r>
        <w:t>F</w:t>
      </w:r>
      <w:r w:rsidR="00140AD0">
        <w:t>urther improv</w:t>
      </w:r>
      <w:r>
        <w:t>e</w:t>
      </w:r>
      <w:r w:rsidR="00140AD0">
        <w:t xml:space="preserve"> the legal framework </w:t>
      </w:r>
      <w:r>
        <w:t>governing the</w:t>
      </w:r>
      <w:r w:rsidR="00140AD0">
        <w:t xml:space="preserve"> rating of </w:t>
      </w:r>
      <w:r>
        <w:t xml:space="preserve">the </w:t>
      </w:r>
      <w:r w:rsidR="00140AD0">
        <w:t xml:space="preserve">CIs; </w:t>
      </w:r>
    </w:p>
    <w:p w:rsidR="008873A8" w:rsidRDefault="008873A8" w:rsidP="007A4F23">
      <w:pPr>
        <w:pStyle w:val="NormalWeb"/>
        <w:numPr>
          <w:ilvl w:val="0"/>
          <w:numId w:val="2"/>
        </w:numPr>
        <w:jc w:val="both"/>
      </w:pPr>
      <w:r>
        <w:t>E</w:t>
      </w:r>
      <w:r w:rsidR="00140AD0">
        <w:t>nsur</w:t>
      </w:r>
      <w:r>
        <w:t>e</w:t>
      </w:r>
      <w:r w:rsidR="00140AD0">
        <w:t xml:space="preserve"> consistency with the </w:t>
      </w:r>
      <w:r>
        <w:t>mandates and responsibilities</w:t>
      </w:r>
      <w:r w:rsidR="00140AD0">
        <w:t xml:space="preserve"> of </w:t>
      </w:r>
      <w:r>
        <w:t xml:space="preserve">the </w:t>
      </w:r>
      <w:r w:rsidR="00140AD0">
        <w:t xml:space="preserve">relevant </w:t>
      </w:r>
      <w:r>
        <w:t xml:space="preserve">SBV </w:t>
      </w:r>
      <w:r w:rsidR="00140AD0">
        <w:t xml:space="preserve">units; </w:t>
      </w:r>
    </w:p>
    <w:p w:rsidR="00140AD0" w:rsidRDefault="008873A8" w:rsidP="007A4F23">
      <w:pPr>
        <w:pStyle w:val="NormalWeb"/>
        <w:numPr>
          <w:ilvl w:val="0"/>
          <w:numId w:val="2"/>
        </w:numPr>
        <w:jc w:val="both"/>
      </w:pPr>
      <w:r>
        <w:t>E</w:t>
      </w:r>
      <w:r w:rsidR="00140AD0">
        <w:t>nhanc</w:t>
      </w:r>
      <w:r>
        <w:t>e</w:t>
      </w:r>
      <w:r w:rsidR="00140AD0">
        <w:t xml:space="preserve"> the effectiveness of </w:t>
      </w:r>
      <w:r>
        <w:t xml:space="preserve">the </w:t>
      </w:r>
      <w:r w:rsidR="00140AD0">
        <w:t>banking supervision</w:t>
      </w:r>
      <w:r>
        <w:t xml:space="preserve"> and the overall stability of the financial</w:t>
      </w:r>
      <w:r w:rsidR="00140AD0">
        <w:t>.</w:t>
      </w:r>
    </w:p>
    <w:p w:rsidR="00140AD0" w:rsidRDefault="00140AD0" w:rsidP="00140AD0">
      <w:pPr>
        <w:pStyle w:val="NormalWeb"/>
        <w:jc w:val="both"/>
      </w:pPr>
      <w:r>
        <w:t xml:space="preserve">The </w:t>
      </w:r>
      <w:r w:rsidR="008873A8">
        <w:t xml:space="preserve">new </w:t>
      </w:r>
      <w:r>
        <w:t xml:space="preserve">Circular </w:t>
      </w:r>
      <w:r w:rsidR="008873A8">
        <w:t>is composed of</w:t>
      </w:r>
      <w:r>
        <w:t xml:space="preserve"> 03 Chapters and 30 Articles, specifically</w:t>
      </w:r>
      <w:r w:rsidR="008873A8">
        <w:t xml:space="preserve"> as follows</w:t>
      </w:r>
      <w:r>
        <w:t>:</w:t>
      </w:r>
    </w:p>
    <w:p w:rsidR="00140AD0" w:rsidRDefault="00140AD0" w:rsidP="00140AD0">
      <w:pPr>
        <w:pStyle w:val="NormalWeb"/>
        <w:jc w:val="both"/>
      </w:pPr>
      <w:r w:rsidRPr="00140AD0">
        <w:rPr>
          <w:rStyle w:val="Strong"/>
          <w:rFonts w:eastAsiaTheme="majorEastAsia"/>
          <w:b w:val="0"/>
        </w:rPr>
        <w:t>- Chapter I. General Provisions (06 Articles)</w:t>
      </w:r>
      <w:r w:rsidRPr="00140AD0">
        <w:t>:</w:t>
      </w:r>
      <w:r>
        <w:t xml:space="preserve"> </w:t>
      </w:r>
      <w:r w:rsidR="008873A8">
        <w:t>Outlining the s</w:t>
      </w:r>
      <w:r>
        <w:t xml:space="preserve">cope of regulation; </w:t>
      </w:r>
      <w:r w:rsidR="008873A8">
        <w:t>the s</w:t>
      </w:r>
      <w:r>
        <w:t xml:space="preserve">ubjects of application; </w:t>
      </w:r>
      <w:r w:rsidR="008873A8">
        <w:t>the definitions</w:t>
      </w:r>
      <w:r>
        <w:t xml:space="preserve"> of terms; </w:t>
      </w:r>
      <w:r w:rsidR="008873A8">
        <w:t>the rating p</w:t>
      </w:r>
      <w:r>
        <w:t xml:space="preserve">rinciples and methods; </w:t>
      </w:r>
      <w:r w:rsidR="008873A8">
        <w:t>the required d</w:t>
      </w:r>
      <w:r>
        <w:t>ocument</w:t>
      </w:r>
      <w:r w:rsidR="008873A8">
        <w:t>ation</w:t>
      </w:r>
      <w:r>
        <w:t xml:space="preserve"> and data </w:t>
      </w:r>
      <w:r w:rsidR="008873A8">
        <w:t xml:space="preserve">sources </w:t>
      </w:r>
      <w:r>
        <w:t xml:space="preserve">for rating; </w:t>
      </w:r>
      <w:r w:rsidR="008873A8">
        <w:t>and the r</w:t>
      </w:r>
      <w:r>
        <w:t>ating criteria system.</w:t>
      </w:r>
    </w:p>
    <w:p w:rsidR="00140AD0" w:rsidRDefault="00140AD0" w:rsidP="00140AD0">
      <w:pPr>
        <w:pStyle w:val="NormalWeb"/>
        <w:jc w:val="both"/>
      </w:pPr>
      <w:r w:rsidRPr="00140AD0">
        <w:rPr>
          <w:rStyle w:val="Strong"/>
          <w:rFonts w:eastAsiaTheme="majorEastAsia"/>
          <w:b w:val="0"/>
        </w:rPr>
        <w:t>- Chapter II. Specific Provisions (18 Articles)</w:t>
      </w:r>
      <w:r>
        <w:t>, divided into 03 Sections:</w:t>
      </w:r>
    </w:p>
    <w:p w:rsidR="00140AD0" w:rsidRDefault="007F2E9B" w:rsidP="00140AD0">
      <w:pPr>
        <w:pStyle w:val="NormalWeb"/>
        <w:jc w:val="both"/>
      </w:pPr>
      <w:r>
        <w:rPr>
          <w:rStyle w:val="Strong"/>
          <w:rFonts w:eastAsiaTheme="majorEastAsia"/>
          <w:b w:val="0"/>
        </w:rPr>
        <w:t xml:space="preserve">+ </w:t>
      </w:r>
      <w:r w:rsidR="00140AD0" w:rsidRPr="00140AD0">
        <w:rPr>
          <w:rStyle w:val="Strong"/>
          <w:rFonts w:eastAsiaTheme="majorEastAsia"/>
          <w:b w:val="0"/>
        </w:rPr>
        <w:t>Section 1</w:t>
      </w:r>
      <w:r w:rsidR="00140AD0">
        <w:t xml:space="preserve"> on</w:t>
      </w:r>
      <w:r w:rsidR="008873A8">
        <w:t xml:space="preserve"> rating</w:t>
      </w:r>
      <w:r w:rsidR="00140AD0">
        <w:t xml:space="preserve"> criteria and indicator</w:t>
      </w:r>
      <w:r w:rsidR="008873A8">
        <w:t xml:space="preserve"> group</w:t>
      </w:r>
      <w:r w:rsidR="00140AD0">
        <w:t xml:space="preserve">s, </w:t>
      </w:r>
      <w:r w:rsidR="003F6E3B">
        <w:t>covering</w:t>
      </w:r>
      <w:r w:rsidR="00140AD0">
        <w:t>: Capital; Asset quality; Governance and administration; Business performance; Liquidity; Market risk sensitivity.</w:t>
      </w:r>
    </w:p>
    <w:p w:rsidR="00140AD0" w:rsidRDefault="007F2E9B" w:rsidP="00140AD0">
      <w:pPr>
        <w:pStyle w:val="NormalWeb"/>
        <w:jc w:val="both"/>
      </w:pPr>
      <w:r>
        <w:rPr>
          <w:rStyle w:val="Strong"/>
          <w:rFonts w:eastAsiaTheme="majorEastAsia"/>
          <w:b w:val="0"/>
        </w:rPr>
        <w:t xml:space="preserve">+ </w:t>
      </w:r>
      <w:r w:rsidR="00140AD0" w:rsidRPr="00140AD0">
        <w:rPr>
          <w:rStyle w:val="Strong"/>
          <w:rFonts w:eastAsiaTheme="majorEastAsia"/>
          <w:b w:val="0"/>
        </w:rPr>
        <w:t>Section 2</w:t>
      </w:r>
      <w:r w:rsidR="00140AD0">
        <w:t xml:space="preserve"> on scoring and rating method</w:t>
      </w:r>
      <w:r w:rsidR="003F6E3B">
        <w:t>ology</w:t>
      </w:r>
      <w:r w:rsidR="00140AD0">
        <w:t xml:space="preserve">, </w:t>
      </w:r>
      <w:r w:rsidR="003F6E3B">
        <w:t>detailing</w:t>
      </w:r>
      <w:r w:rsidR="00140AD0">
        <w:t xml:space="preserve">: scoring </w:t>
      </w:r>
      <w:r w:rsidR="003F6E3B">
        <w:t>methods for individual</w:t>
      </w:r>
      <w:r w:rsidR="00140AD0">
        <w:t xml:space="preserve"> indicator</w:t>
      </w:r>
      <w:r w:rsidR="003F6E3B">
        <w:t>s</w:t>
      </w:r>
      <w:r w:rsidR="00140AD0">
        <w:t xml:space="preserve"> and quantitative indicator group; </w:t>
      </w:r>
      <w:r w:rsidR="003F6E3B">
        <w:t>t</w:t>
      </w:r>
      <w:r w:rsidR="00140AD0">
        <w:t xml:space="preserve">hresholds for quantitative indicators; </w:t>
      </w:r>
      <w:r w:rsidR="003F6E3B">
        <w:t>w</w:t>
      </w:r>
      <w:r w:rsidR="00140AD0">
        <w:t xml:space="preserve">eights </w:t>
      </w:r>
      <w:r w:rsidR="003F6E3B">
        <w:t>assigned to</w:t>
      </w:r>
      <w:r w:rsidR="00140AD0">
        <w:t xml:space="preserve"> indicators; scoring </w:t>
      </w:r>
      <w:r w:rsidR="003F6E3B">
        <w:t xml:space="preserve">methods for </w:t>
      </w:r>
      <w:r w:rsidR="00140AD0">
        <w:t>qualitative indicator</w:t>
      </w:r>
      <w:r w:rsidR="003F6E3B">
        <w:t>s</w:t>
      </w:r>
      <w:r w:rsidR="00140AD0">
        <w:t xml:space="preserve">; </w:t>
      </w:r>
      <w:r w:rsidR="000F46BD">
        <w:t>t</w:t>
      </w:r>
      <w:r w:rsidR="00140AD0">
        <w:t>hresholds for qualitative indicator</w:t>
      </w:r>
      <w:r w:rsidR="000F46BD">
        <w:t>s</w:t>
      </w:r>
      <w:r w:rsidR="00140AD0">
        <w:t xml:space="preserve">; </w:t>
      </w:r>
      <w:r w:rsidR="000F46BD">
        <w:t>s</w:t>
      </w:r>
      <w:r w:rsidR="00140AD0">
        <w:t xml:space="preserve">cores for each criterion; </w:t>
      </w:r>
      <w:r w:rsidR="000F46BD">
        <w:t>w</w:t>
      </w:r>
      <w:r w:rsidR="00140AD0">
        <w:t xml:space="preserve">eights for each criterion, quantitative and qualitative indicator groups; </w:t>
      </w:r>
      <w:r w:rsidR="000F46BD">
        <w:t>m</w:t>
      </w:r>
      <w:r w:rsidR="00140AD0">
        <w:t xml:space="preserve">ethod of calculating </w:t>
      </w:r>
      <w:r w:rsidR="000F46BD">
        <w:t>the overall</w:t>
      </w:r>
      <w:r w:rsidR="00140AD0">
        <w:t xml:space="preserve"> rating score; </w:t>
      </w:r>
      <w:r w:rsidR="000F46BD">
        <w:t>r</w:t>
      </w:r>
      <w:r w:rsidR="00140AD0">
        <w:t>ating categories.</w:t>
      </w:r>
    </w:p>
    <w:p w:rsidR="00140AD0" w:rsidRDefault="007F2E9B" w:rsidP="00140AD0">
      <w:pPr>
        <w:pStyle w:val="NormalWeb"/>
        <w:jc w:val="both"/>
      </w:pPr>
      <w:r>
        <w:rPr>
          <w:rStyle w:val="Strong"/>
          <w:rFonts w:eastAsiaTheme="majorEastAsia"/>
          <w:b w:val="0"/>
        </w:rPr>
        <w:t xml:space="preserve">+ </w:t>
      </w:r>
      <w:r w:rsidR="00140AD0" w:rsidRPr="00140AD0">
        <w:rPr>
          <w:rStyle w:val="Strong"/>
          <w:rFonts w:eastAsiaTheme="majorEastAsia"/>
          <w:b w:val="0"/>
        </w:rPr>
        <w:t>Section 3</w:t>
      </w:r>
      <w:r w:rsidR="00140AD0">
        <w:t xml:space="preserve"> on rating results, including: </w:t>
      </w:r>
      <w:r w:rsidR="000F46BD">
        <w:t>f</w:t>
      </w:r>
      <w:r w:rsidR="00140AD0">
        <w:t xml:space="preserve">requency and timing of rating approval; </w:t>
      </w:r>
      <w:r w:rsidR="000F46BD">
        <w:t>n</w:t>
      </w:r>
      <w:r w:rsidR="00140AD0">
        <w:t xml:space="preserve">otification of rating results; </w:t>
      </w:r>
      <w:r w:rsidR="000F46BD">
        <w:t>m</w:t>
      </w:r>
      <w:r w:rsidR="00140AD0">
        <w:t xml:space="preserve">anagement </w:t>
      </w:r>
      <w:r w:rsidR="000F46BD">
        <w:t xml:space="preserve">and use </w:t>
      </w:r>
      <w:r w:rsidR="00140AD0">
        <w:t>of rating results.</w:t>
      </w:r>
    </w:p>
    <w:p w:rsidR="00140AD0" w:rsidRDefault="00140AD0" w:rsidP="00140AD0">
      <w:pPr>
        <w:pStyle w:val="NormalWeb"/>
        <w:jc w:val="both"/>
      </w:pPr>
      <w:r w:rsidRPr="00140AD0">
        <w:rPr>
          <w:rStyle w:val="Strong"/>
          <w:rFonts w:eastAsiaTheme="majorEastAsia"/>
          <w:b w:val="0"/>
        </w:rPr>
        <w:t>- Chapter III. Implementation (06 Articles)</w:t>
      </w:r>
      <w:r>
        <w:t xml:space="preserve">: </w:t>
      </w:r>
      <w:r w:rsidR="000F46BD">
        <w:t>specifying the roles, r</w:t>
      </w:r>
      <w:r>
        <w:t>esponsibilities</w:t>
      </w:r>
      <w:r w:rsidR="000F46BD">
        <w:t>,</w:t>
      </w:r>
      <w:r>
        <w:t xml:space="preserve"> and powers of</w:t>
      </w:r>
      <w:r w:rsidR="000F46BD">
        <w:t xml:space="preserve"> the</w:t>
      </w:r>
      <w:r>
        <w:t xml:space="preserve"> relevant units (</w:t>
      </w:r>
      <w:r w:rsidR="000F46BD">
        <w:t xml:space="preserve">the </w:t>
      </w:r>
      <w:r>
        <w:t>credit institutions</w:t>
      </w:r>
      <w:r w:rsidR="000F46BD">
        <w:t xml:space="preserve"> and the</w:t>
      </w:r>
      <w:r>
        <w:t xml:space="preserve"> foreign bank branches; </w:t>
      </w:r>
      <w:r w:rsidR="000F46BD">
        <w:t xml:space="preserve">the </w:t>
      </w:r>
      <w:r>
        <w:t>Department of Credit Institution</w:t>
      </w:r>
      <w:r w:rsidR="000F46BD">
        <w:t>s</w:t>
      </w:r>
      <w:r>
        <w:t xml:space="preserve"> Supervision; </w:t>
      </w:r>
      <w:r w:rsidR="000F46BD">
        <w:t xml:space="preserve">the </w:t>
      </w:r>
      <w:r>
        <w:t xml:space="preserve">SBV regional branches; other units </w:t>
      </w:r>
      <w:r w:rsidR="000F46BD">
        <w:t>under</w:t>
      </w:r>
      <w:r>
        <w:t xml:space="preserve"> the SBV); </w:t>
      </w:r>
      <w:r w:rsidR="000F46BD">
        <w:t>e</w:t>
      </w:r>
      <w:r>
        <w:t>ntry into force</w:t>
      </w:r>
      <w:r w:rsidR="000F46BD">
        <w:t>;</w:t>
      </w:r>
      <w:r>
        <w:t xml:space="preserve"> and implementation arrangements.</w:t>
      </w:r>
    </w:p>
    <w:p w:rsidR="000F46BD" w:rsidRDefault="00140AD0" w:rsidP="00140AD0">
      <w:pPr>
        <w:pStyle w:val="NormalWeb"/>
        <w:jc w:val="both"/>
      </w:pPr>
      <w:r>
        <w:t xml:space="preserve">This Circular </w:t>
      </w:r>
      <w:r w:rsidR="000F46BD">
        <w:t>will come into effect</w:t>
      </w:r>
      <w:r w:rsidR="007F2E9B">
        <w:t xml:space="preserve"> on</w:t>
      </w:r>
      <w:r>
        <w:t xml:space="preserve"> November 1, 2025</w:t>
      </w:r>
      <w:r w:rsidR="000F46BD">
        <w:t>,</w:t>
      </w:r>
      <w:r>
        <w:t xml:space="preserve"> with respect to provisions </w:t>
      </w:r>
      <w:r w:rsidR="000F46BD">
        <w:t>concerning</w:t>
      </w:r>
      <w:r>
        <w:t xml:space="preserve"> rating subjects and responsibilities of </w:t>
      </w:r>
      <w:r w:rsidR="000F46BD">
        <w:t xml:space="preserve">the </w:t>
      </w:r>
      <w:r>
        <w:t xml:space="preserve">relevant </w:t>
      </w:r>
      <w:r w:rsidR="000F46BD">
        <w:t>entities</w:t>
      </w:r>
      <w:r>
        <w:t xml:space="preserve">. </w:t>
      </w:r>
    </w:p>
    <w:p w:rsidR="000F46BD" w:rsidRDefault="00140AD0" w:rsidP="00140AD0">
      <w:pPr>
        <w:pStyle w:val="NormalWeb"/>
        <w:jc w:val="both"/>
      </w:pPr>
      <w:r>
        <w:t xml:space="preserve">Provisions </w:t>
      </w:r>
      <w:r w:rsidR="000F46BD">
        <w:t>relating to</w:t>
      </w:r>
      <w:r>
        <w:t xml:space="preserve"> indicators, criteria, thresholds, weights</w:t>
      </w:r>
      <w:r w:rsidR="000F46BD">
        <w:t>,</w:t>
      </w:r>
      <w:r>
        <w:t xml:space="preserve"> and scoring method</w:t>
      </w:r>
      <w:r w:rsidR="000F46BD">
        <w:t>ologie</w:t>
      </w:r>
      <w:r>
        <w:t xml:space="preserve">s </w:t>
      </w:r>
      <w:r w:rsidR="000F46BD">
        <w:t>will</w:t>
      </w:r>
      <w:r>
        <w:t xml:space="preserve"> appl</w:t>
      </w:r>
      <w:r w:rsidR="000F46BD">
        <w:t>y</w:t>
      </w:r>
      <w:r>
        <w:t xml:space="preserve"> from the </w:t>
      </w:r>
      <w:r w:rsidR="000F46BD">
        <w:t xml:space="preserve">2026 </w:t>
      </w:r>
      <w:r>
        <w:t>rating year onward</w:t>
      </w:r>
      <w:r w:rsidR="000F46BD">
        <w:t>s. Accordingly</w:t>
      </w:r>
      <w:r>
        <w:t xml:space="preserve">, the SBV will apply these </w:t>
      </w:r>
      <w:r w:rsidR="000F46BD">
        <w:t xml:space="preserve">new </w:t>
      </w:r>
      <w:r>
        <w:t xml:space="preserve">provisions </w:t>
      </w:r>
      <w:r w:rsidR="000F46BD">
        <w:t>beginning in 2027, when conducting ratings for the</w:t>
      </w:r>
      <w:r>
        <w:t xml:space="preserve"> 2026</w:t>
      </w:r>
      <w:r w:rsidR="000F46BD">
        <w:t xml:space="preserve"> financial year</w:t>
      </w:r>
      <w:r>
        <w:t xml:space="preserve">. </w:t>
      </w:r>
    </w:p>
    <w:p w:rsidR="00BD4075" w:rsidRDefault="00140AD0" w:rsidP="0005309B">
      <w:pPr>
        <w:pStyle w:val="NormalWeb"/>
        <w:jc w:val="both"/>
      </w:pPr>
      <w:r>
        <w:t>For rating years prior to 2026, Circular No. 52</w:t>
      </w:r>
      <w:r w:rsidR="000F46BD">
        <w:t>/2018/TT-NHNN</w:t>
      </w:r>
      <w:r>
        <w:t xml:space="preserve"> </w:t>
      </w:r>
      <w:r w:rsidR="000F46BD">
        <w:t>will remain in effect</w:t>
      </w:r>
      <w:r>
        <w:t>.</w:t>
      </w:r>
    </w:p>
    <w:sectPr w:rsidR="00BD4075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073"/>
    <w:multiLevelType w:val="multilevel"/>
    <w:tmpl w:val="742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A03F1"/>
    <w:multiLevelType w:val="hybridMultilevel"/>
    <w:tmpl w:val="26CAA0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D0"/>
    <w:rsid w:val="0005309B"/>
    <w:rsid w:val="000F46BD"/>
    <w:rsid w:val="00140AD0"/>
    <w:rsid w:val="00371A55"/>
    <w:rsid w:val="003F6E3B"/>
    <w:rsid w:val="007A4F23"/>
    <w:rsid w:val="007F2BB8"/>
    <w:rsid w:val="007F2E9B"/>
    <w:rsid w:val="008873A8"/>
    <w:rsid w:val="00B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768D6-43CE-4A1E-ACFD-E7F4987D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unhideWhenUsed/>
    <w:rsid w:val="00140AD0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0A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Huu Manh (TBNH)</dc:creator>
  <cp:lastModifiedBy>Nguyen Huu Manh (TBNH)</cp:lastModifiedBy>
  <cp:revision>7</cp:revision>
  <cp:lastPrinted>2025-09-30T04:14:00Z</cp:lastPrinted>
  <dcterms:created xsi:type="dcterms:W3CDTF">2025-09-30T13:34:00Z</dcterms:created>
  <dcterms:modified xsi:type="dcterms:W3CDTF">2025-10-01T02:45:00Z</dcterms:modified>
</cp:coreProperties>
</file>