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ABF" w:rsidRPr="00336D0A" w:rsidRDefault="006370D9" w:rsidP="00336D0A">
      <w:pPr>
        <w:pStyle w:val="Heading1"/>
        <w:jc w:val="both"/>
        <w:rPr>
          <w:rFonts w:ascii="Times New Roman" w:hAnsi="Times New Roman" w:cs="Times New Roman"/>
          <w:color w:val="auto"/>
          <w:sz w:val="24"/>
          <w:szCs w:val="24"/>
        </w:rPr>
      </w:pPr>
      <w:r w:rsidRPr="00336D0A">
        <w:rPr>
          <w:rFonts w:ascii="Times New Roman" w:hAnsi="Times New Roman" w:cs="Times New Roman"/>
          <w:color w:val="auto"/>
          <w:sz w:val="24"/>
          <w:szCs w:val="24"/>
        </w:rPr>
        <w:t>Developments in the Money Market and Inter-</w:t>
      </w:r>
      <w:proofErr w:type="gramStart"/>
      <w:r w:rsidRPr="00336D0A">
        <w:rPr>
          <w:rFonts w:ascii="Times New Roman" w:hAnsi="Times New Roman" w:cs="Times New Roman"/>
          <w:color w:val="auto"/>
          <w:sz w:val="24"/>
          <w:szCs w:val="24"/>
        </w:rPr>
        <w:t>bank</w:t>
      </w:r>
      <w:proofErr w:type="gramEnd"/>
      <w:r w:rsidRPr="00336D0A">
        <w:rPr>
          <w:rFonts w:ascii="Times New Roman" w:hAnsi="Times New Roman" w:cs="Times New Roman"/>
          <w:color w:val="auto"/>
          <w:sz w:val="24"/>
          <w:szCs w:val="24"/>
        </w:rPr>
        <w:t xml:space="preserve"> Market (October 20–24, 2025)</w:t>
      </w:r>
    </w:p>
    <w:p w:rsidR="00284ABF" w:rsidRPr="00336D0A" w:rsidRDefault="006370D9" w:rsidP="00336D0A">
      <w:pPr>
        <w:pStyle w:val="Heading2"/>
        <w:jc w:val="both"/>
        <w:rPr>
          <w:rFonts w:ascii="Times New Roman" w:hAnsi="Times New Roman" w:cs="Times New Roman"/>
          <w:color w:val="auto"/>
          <w:sz w:val="24"/>
          <w:szCs w:val="24"/>
        </w:rPr>
      </w:pPr>
      <w:r w:rsidRPr="00336D0A">
        <w:rPr>
          <w:rFonts w:ascii="Times New Roman" w:hAnsi="Times New Roman" w:cs="Times New Roman"/>
          <w:color w:val="auto"/>
          <w:sz w:val="24"/>
          <w:szCs w:val="24"/>
        </w:rPr>
        <w:t>1. Forex market and exchange rates</w:t>
      </w:r>
    </w:p>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 xml:space="preserve">On October 20, 2025, the buying and selling rates of USD/VND quoted on the website of the Joint Stock Commercial Bank for Foreign Trade of Vietnam (Vietcombank) were VND 26,146/26,356 per USD, </w:t>
      </w:r>
      <w:r w:rsidR="009270A2" w:rsidRPr="009270A2">
        <w:rPr>
          <w:rFonts w:ascii="Times New Roman" w:hAnsi="Times New Roman" w:cs="Times New Roman"/>
          <w:sz w:val="24"/>
          <w:szCs w:val="24"/>
        </w:rPr>
        <w:t>unchanged from the rates of the last working day of the previous week (October 17, 2025)</w:t>
      </w:r>
      <w:r w:rsidRPr="00336D0A">
        <w:rPr>
          <w:rFonts w:ascii="Times New Roman" w:hAnsi="Times New Roman" w:cs="Times New Roman"/>
          <w:sz w:val="24"/>
          <w:szCs w:val="24"/>
        </w:rPr>
        <w:t xml:space="preserve">. By the end of October 24, 2025, the rates were quoted at VND 26,112/26,352 per USD, </w:t>
      </w:r>
      <w:r w:rsidRPr="006370D9">
        <w:rPr>
          <w:rFonts w:ascii="Times New Roman" w:hAnsi="Times New Roman" w:cs="Times New Roman"/>
          <w:sz w:val="24"/>
          <w:szCs w:val="24"/>
        </w:rPr>
        <w:t xml:space="preserve">a decrease of </w:t>
      </w:r>
      <w:r w:rsidRPr="00336D0A">
        <w:rPr>
          <w:rFonts w:ascii="Times New Roman" w:hAnsi="Times New Roman" w:cs="Times New Roman"/>
          <w:sz w:val="24"/>
          <w:szCs w:val="24"/>
        </w:rPr>
        <w:t xml:space="preserve">VND 34 and VND 4 per USD respectively </w:t>
      </w:r>
      <w:r>
        <w:rPr>
          <w:rFonts w:ascii="Times New Roman" w:hAnsi="Times New Roman" w:cs="Times New Roman"/>
          <w:sz w:val="24"/>
          <w:szCs w:val="24"/>
        </w:rPr>
        <w:t xml:space="preserve">as </w:t>
      </w:r>
      <w:r w:rsidRPr="00336D0A">
        <w:rPr>
          <w:rFonts w:ascii="Times New Roman" w:hAnsi="Times New Roman" w:cs="Times New Roman"/>
          <w:sz w:val="24"/>
          <w:szCs w:val="24"/>
        </w:rPr>
        <w:t>compared with those on October 20, 2025.</w:t>
      </w:r>
      <w:r w:rsidR="009270A2">
        <w:rPr>
          <w:rFonts w:ascii="Times New Roman" w:hAnsi="Times New Roman" w:cs="Times New Roman"/>
          <w:sz w:val="24"/>
          <w:szCs w:val="24"/>
        </w:rPr>
        <w:t xml:space="preserve"> </w:t>
      </w:r>
    </w:p>
    <w:p w:rsidR="00284ABF" w:rsidRPr="00336D0A" w:rsidRDefault="006370D9" w:rsidP="00336D0A">
      <w:pPr>
        <w:pStyle w:val="Heading2"/>
        <w:jc w:val="both"/>
        <w:rPr>
          <w:rFonts w:ascii="Times New Roman" w:hAnsi="Times New Roman" w:cs="Times New Roman"/>
          <w:color w:val="auto"/>
          <w:sz w:val="24"/>
          <w:szCs w:val="24"/>
        </w:rPr>
      </w:pPr>
      <w:r w:rsidRPr="00336D0A">
        <w:rPr>
          <w:rFonts w:ascii="Times New Roman" w:hAnsi="Times New Roman" w:cs="Times New Roman"/>
          <w:color w:val="auto"/>
          <w:sz w:val="24"/>
          <w:szCs w:val="24"/>
        </w:rPr>
        <w:t>2. Inter-bank market operations</w:t>
      </w:r>
    </w:p>
    <w:p w:rsidR="009270A2" w:rsidRDefault="009270A2" w:rsidP="009270A2">
      <w:pPr>
        <w:pStyle w:val="NormalWeb"/>
        <w:jc w:val="both"/>
        <w:rPr>
          <w:rStyle w:val="Strong"/>
        </w:rPr>
      </w:pPr>
      <w:r>
        <w:rPr>
          <w:rStyle w:val="Strong"/>
        </w:rPr>
        <w:t>2.1. Transactions</w:t>
      </w:r>
    </w:p>
    <w:p w:rsidR="009270A2" w:rsidRDefault="009270A2" w:rsidP="009270A2">
      <w:pPr>
        <w:pStyle w:val="NormalWeb"/>
        <w:jc w:val="both"/>
      </w:pPr>
      <w:r>
        <w:t>According to statistical reports submitted by credit institutions and foreign bank branches, the total transaction volume in the interbank market during the week in VND reached approximately VND 3,375,941 billion, averaging VND 675,188 billion per day—an increase of VND 27,887 billion per day compared with the previous week. Meanwhile, the total transaction volume in USD (converted into VND) was approximately VND 658,930 billion, averaging VND 131,786 billion per day—an increase of VND 37,357 billion per day compared with the previous week.</w:t>
      </w:r>
    </w:p>
    <w:p w:rsidR="009270A2" w:rsidRDefault="009270A2" w:rsidP="009270A2">
      <w:pPr>
        <w:pStyle w:val="NormalWeb"/>
        <w:jc w:val="both"/>
      </w:pPr>
      <w:r>
        <w:t>Regarding maturities, most VND transactions were for overnight terms (accounting for 94% of the total VND transaction volume) and 2-week terms (2%). For USD transactions, the largest shares were for overnight and 1-week terms, accounting for 90% and 7% of the total transaction volume respectively.</w:t>
      </w:r>
    </w:p>
    <w:p w:rsidR="009270A2" w:rsidRDefault="009270A2" w:rsidP="009270A2">
      <w:pPr>
        <w:pStyle w:val="NormalWeb"/>
        <w:jc w:val="both"/>
        <w:rPr>
          <w:rStyle w:val="Strong"/>
        </w:rPr>
      </w:pPr>
      <w:r>
        <w:rPr>
          <w:rStyle w:val="Strong"/>
        </w:rPr>
        <w:t>2.2. Interbank interest rates</w:t>
      </w:r>
    </w:p>
    <w:p w:rsidR="009270A2" w:rsidRDefault="009270A2" w:rsidP="009270A2">
      <w:pPr>
        <w:pStyle w:val="NormalWeb"/>
        <w:jc w:val="both"/>
      </w:pPr>
      <w:r>
        <w:t>For transactions in VND, the average interbank interest rates continued to rise compared with the previous week. Specifically, the average rates for overnight, 1-week, and 1-month terms increased by 0.46, 0.25, and 0.14 percentage points respectively, to 5.60% p.a., 5.56% p.a., and 5.52% p.a.</w:t>
      </w:r>
    </w:p>
    <w:p w:rsidR="009270A2" w:rsidRDefault="009270A2" w:rsidP="009270A2">
      <w:pPr>
        <w:pStyle w:val="NormalWeb"/>
        <w:jc w:val="both"/>
      </w:pPr>
      <w:r>
        <w:t>For transactions in USD, the average interbank interest rates remained relatively stable, with slight fluctuations compared with the previous week. Specifically, the overnight rate was unchanged at 4.10% p.a.; the 1-week rate declined slightly by 0.01 percentage point to 4.14% p.a.; while the 1-month rate rose slightly by 0.03 percentage point to 4.18% p.a.</w:t>
      </w:r>
    </w:p>
    <w:p w:rsidR="006370D9" w:rsidRDefault="006370D9" w:rsidP="006370D9">
      <w:pPr>
        <w:jc w:val="both"/>
        <w:rPr>
          <w:rFonts w:ascii="Times New Roman" w:hAnsi="Times New Roman" w:cs="Times New Roman"/>
          <w:sz w:val="24"/>
          <w:szCs w:val="24"/>
        </w:rPr>
      </w:pPr>
      <w:r w:rsidRPr="006370D9">
        <w:rPr>
          <w:rFonts w:ascii="Times New Roman" w:hAnsi="Times New Roman" w:cs="Times New Roman"/>
          <w:sz w:val="24"/>
          <w:szCs w:val="24"/>
        </w:rPr>
        <w:t xml:space="preserve">The specific average inter-bank interest rates were as follows: </w:t>
      </w:r>
    </w:p>
    <w:p w:rsidR="009270A2" w:rsidRPr="006370D9" w:rsidRDefault="009270A2" w:rsidP="006370D9">
      <w:pPr>
        <w:jc w:val="both"/>
        <w:rPr>
          <w:rFonts w:ascii="Times New Roman" w:hAnsi="Times New Roman" w:cs="Times New Roman"/>
          <w:sz w:val="24"/>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70"/>
        <w:gridCol w:w="1080"/>
        <w:gridCol w:w="1080"/>
        <w:gridCol w:w="1080"/>
        <w:gridCol w:w="1080"/>
        <w:gridCol w:w="1080"/>
        <w:gridCol w:w="1080"/>
      </w:tblGrid>
      <w:tr w:rsidR="00336D0A" w:rsidRPr="00336D0A" w:rsidTr="00336D0A">
        <w:tc>
          <w:tcPr>
            <w:tcW w:w="1080" w:type="dxa"/>
          </w:tcPr>
          <w:p w:rsidR="00284ABF" w:rsidRPr="00336D0A" w:rsidRDefault="00284ABF" w:rsidP="00336D0A">
            <w:pPr>
              <w:jc w:val="both"/>
              <w:rPr>
                <w:rFonts w:ascii="Times New Roman" w:hAnsi="Times New Roman" w:cs="Times New Roman"/>
                <w:sz w:val="24"/>
                <w:szCs w:val="24"/>
              </w:rPr>
            </w:pPr>
          </w:p>
        </w:tc>
        <w:tc>
          <w:tcPr>
            <w:tcW w:w="1270" w:type="dxa"/>
          </w:tcPr>
          <w:p w:rsidR="00284ABF" w:rsidRPr="00336D0A" w:rsidRDefault="006370D9" w:rsidP="00336D0A">
            <w:pPr>
              <w:jc w:val="both"/>
              <w:rPr>
                <w:rFonts w:ascii="Times New Roman" w:hAnsi="Times New Roman" w:cs="Times New Roman"/>
                <w:b/>
              </w:rPr>
            </w:pPr>
            <w:r w:rsidRPr="00336D0A">
              <w:rPr>
                <w:rFonts w:ascii="Times New Roman" w:hAnsi="Times New Roman" w:cs="Times New Roman"/>
                <w:b/>
              </w:rPr>
              <w:t>Overnight</w:t>
            </w:r>
          </w:p>
        </w:tc>
        <w:tc>
          <w:tcPr>
            <w:tcW w:w="1080" w:type="dxa"/>
          </w:tcPr>
          <w:p w:rsidR="00284ABF" w:rsidRPr="00336D0A" w:rsidRDefault="006370D9" w:rsidP="00336D0A">
            <w:pPr>
              <w:jc w:val="both"/>
              <w:rPr>
                <w:rFonts w:ascii="Times New Roman" w:hAnsi="Times New Roman" w:cs="Times New Roman"/>
                <w:b/>
              </w:rPr>
            </w:pPr>
            <w:r w:rsidRPr="00336D0A">
              <w:rPr>
                <w:rFonts w:ascii="Times New Roman" w:hAnsi="Times New Roman" w:cs="Times New Roman"/>
                <w:b/>
              </w:rPr>
              <w:t>1-week</w:t>
            </w:r>
          </w:p>
        </w:tc>
        <w:tc>
          <w:tcPr>
            <w:tcW w:w="1080" w:type="dxa"/>
          </w:tcPr>
          <w:p w:rsidR="00284ABF" w:rsidRPr="00336D0A" w:rsidRDefault="006370D9" w:rsidP="00336D0A">
            <w:pPr>
              <w:jc w:val="both"/>
              <w:rPr>
                <w:rFonts w:ascii="Times New Roman" w:hAnsi="Times New Roman" w:cs="Times New Roman"/>
                <w:b/>
              </w:rPr>
            </w:pPr>
            <w:r w:rsidRPr="00336D0A">
              <w:rPr>
                <w:rFonts w:ascii="Times New Roman" w:hAnsi="Times New Roman" w:cs="Times New Roman"/>
                <w:b/>
              </w:rPr>
              <w:t>2-week</w:t>
            </w:r>
          </w:p>
        </w:tc>
        <w:tc>
          <w:tcPr>
            <w:tcW w:w="1080" w:type="dxa"/>
          </w:tcPr>
          <w:p w:rsidR="00284ABF" w:rsidRPr="00336D0A" w:rsidRDefault="006370D9" w:rsidP="00336D0A">
            <w:pPr>
              <w:jc w:val="both"/>
              <w:rPr>
                <w:rFonts w:ascii="Times New Roman" w:hAnsi="Times New Roman" w:cs="Times New Roman"/>
                <w:b/>
              </w:rPr>
            </w:pPr>
            <w:r w:rsidRPr="00336D0A">
              <w:rPr>
                <w:rFonts w:ascii="Times New Roman" w:hAnsi="Times New Roman" w:cs="Times New Roman"/>
                <w:b/>
              </w:rPr>
              <w:t>1-month</w:t>
            </w:r>
          </w:p>
        </w:tc>
        <w:tc>
          <w:tcPr>
            <w:tcW w:w="1080" w:type="dxa"/>
          </w:tcPr>
          <w:p w:rsidR="00284ABF" w:rsidRPr="00336D0A" w:rsidRDefault="006370D9" w:rsidP="00336D0A">
            <w:pPr>
              <w:jc w:val="both"/>
              <w:rPr>
                <w:rFonts w:ascii="Times New Roman" w:hAnsi="Times New Roman" w:cs="Times New Roman"/>
                <w:b/>
              </w:rPr>
            </w:pPr>
            <w:r w:rsidRPr="00336D0A">
              <w:rPr>
                <w:rFonts w:ascii="Times New Roman" w:hAnsi="Times New Roman" w:cs="Times New Roman"/>
                <w:b/>
              </w:rPr>
              <w:t>3-month</w:t>
            </w:r>
          </w:p>
        </w:tc>
        <w:tc>
          <w:tcPr>
            <w:tcW w:w="1080" w:type="dxa"/>
          </w:tcPr>
          <w:p w:rsidR="00284ABF" w:rsidRPr="00336D0A" w:rsidRDefault="006370D9" w:rsidP="00336D0A">
            <w:pPr>
              <w:jc w:val="both"/>
              <w:rPr>
                <w:rFonts w:ascii="Times New Roman" w:hAnsi="Times New Roman" w:cs="Times New Roman"/>
                <w:b/>
              </w:rPr>
            </w:pPr>
            <w:r w:rsidRPr="00336D0A">
              <w:rPr>
                <w:rFonts w:ascii="Times New Roman" w:hAnsi="Times New Roman" w:cs="Times New Roman"/>
                <w:b/>
              </w:rPr>
              <w:t>6-month</w:t>
            </w:r>
          </w:p>
        </w:tc>
        <w:tc>
          <w:tcPr>
            <w:tcW w:w="1080" w:type="dxa"/>
          </w:tcPr>
          <w:p w:rsidR="00284ABF" w:rsidRPr="00336D0A" w:rsidRDefault="006370D9" w:rsidP="00336D0A">
            <w:pPr>
              <w:jc w:val="both"/>
              <w:rPr>
                <w:rFonts w:ascii="Times New Roman" w:hAnsi="Times New Roman" w:cs="Times New Roman"/>
                <w:b/>
              </w:rPr>
            </w:pPr>
            <w:r w:rsidRPr="00336D0A">
              <w:rPr>
                <w:rFonts w:ascii="Times New Roman" w:hAnsi="Times New Roman" w:cs="Times New Roman"/>
                <w:b/>
              </w:rPr>
              <w:t>9-month</w:t>
            </w:r>
          </w:p>
        </w:tc>
      </w:tr>
      <w:tr w:rsidR="00336D0A" w:rsidRPr="00336D0A" w:rsidTr="00336D0A">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VND</w:t>
            </w:r>
          </w:p>
        </w:tc>
        <w:tc>
          <w:tcPr>
            <w:tcW w:w="127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5.60</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5.56</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5.73</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5.52</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5.73</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5.93</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5.10</w:t>
            </w:r>
          </w:p>
        </w:tc>
      </w:tr>
      <w:tr w:rsidR="00336D0A" w:rsidRPr="00336D0A" w:rsidTr="00336D0A">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USD</w:t>
            </w:r>
          </w:p>
        </w:tc>
        <w:tc>
          <w:tcPr>
            <w:tcW w:w="127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4.10</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4.14</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4.18</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4.18</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4.19</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4.52</w:t>
            </w:r>
          </w:p>
        </w:tc>
        <w:tc>
          <w:tcPr>
            <w:tcW w:w="1080" w:type="dxa"/>
          </w:tcPr>
          <w:p w:rsidR="00284ABF" w:rsidRPr="00336D0A" w:rsidRDefault="006370D9" w:rsidP="00336D0A">
            <w:pPr>
              <w:jc w:val="both"/>
              <w:rPr>
                <w:rFonts w:ascii="Times New Roman" w:hAnsi="Times New Roman" w:cs="Times New Roman"/>
                <w:sz w:val="24"/>
                <w:szCs w:val="24"/>
              </w:rPr>
            </w:pPr>
            <w:r w:rsidRPr="00336D0A">
              <w:rPr>
                <w:rFonts w:ascii="Times New Roman" w:hAnsi="Times New Roman" w:cs="Times New Roman"/>
                <w:sz w:val="24"/>
                <w:szCs w:val="24"/>
              </w:rPr>
              <w:t>–</w:t>
            </w:r>
          </w:p>
        </w:tc>
      </w:tr>
    </w:tbl>
    <w:p w:rsidR="00284ABF" w:rsidRPr="006370D9" w:rsidRDefault="006370D9" w:rsidP="00336D0A">
      <w:pPr>
        <w:jc w:val="both"/>
        <w:rPr>
          <w:rFonts w:ascii="Times New Roman" w:hAnsi="Times New Roman" w:cs="Times New Roman"/>
          <w:b/>
          <w:i/>
          <w:sz w:val="24"/>
          <w:szCs w:val="24"/>
        </w:rPr>
      </w:pPr>
      <w:r w:rsidRPr="00336D0A">
        <w:rPr>
          <w:rFonts w:ascii="Times New Roman" w:hAnsi="Times New Roman" w:cs="Times New Roman"/>
          <w:sz w:val="24"/>
          <w:szCs w:val="24"/>
        </w:rPr>
        <w:br/>
      </w:r>
      <w:r w:rsidRPr="006370D9">
        <w:rPr>
          <w:rFonts w:ascii="Times New Roman" w:hAnsi="Times New Roman" w:cs="Times New Roman"/>
          <w:b/>
          <w:i/>
          <w:sz w:val="24"/>
          <w:szCs w:val="24"/>
        </w:rPr>
        <w:t>Translated by HM</w:t>
      </w:r>
    </w:p>
    <w:sectPr w:rsidR="00284ABF" w:rsidRPr="006370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84ABF"/>
    <w:rsid w:val="0029639D"/>
    <w:rsid w:val="00326F90"/>
    <w:rsid w:val="00336D0A"/>
    <w:rsid w:val="006370D9"/>
    <w:rsid w:val="009270A2"/>
    <w:rsid w:val="00AA1D8D"/>
    <w:rsid w:val="00B47730"/>
    <w:rsid w:val="00CB0664"/>
    <w:rsid w:val="00F422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A9491"/>
  <w14:defaultImageDpi w14:val="300"/>
  <w15:docId w15:val="{FAE951F3-A572-4A96-A780-59CD693B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270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40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ECC1-84E8-4CEE-8FB5-87F151A0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Nguyen Huu Manh (TBNH)</cp:lastModifiedBy>
  <cp:revision>6</cp:revision>
  <dcterms:created xsi:type="dcterms:W3CDTF">2013-12-23T23:15:00Z</dcterms:created>
  <dcterms:modified xsi:type="dcterms:W3CDTF">2025-10-29T06:29:00Z</dcterms:modified>
  <cp:category/>
</cp:coreProperties>
</file>