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4747"/>
      </w:tblGrid>
      <w:tr w:rsidR="00312F2E" w:rsidRPr="006D3FAE">
        <w:trPr>
          <w:trHeight w:val="915"/>
        </w:trPr>
        <w:tc>
          <w:tcPr>
            <w:tcW w:w="4747" w:type="dxa"/>
            <w:tcBorders>
              <w:top w:val="nil"/>
              <w:left w:val="nil"/>
              <w:bottom w:val="nil"/>
              <w:right w:val="nil"/>
            </w:tcBorders>
          </w:tcPr>
          <w:p w:rsidR="00312F2E" w:rsidRPr="006D3FAE" w:rsidRDefault="00312F2E" w:rsidP="00081F6E">
            <w:pPr>
              <w:jc w:val="center"/>
              <w:rPr>
                <w:b/>
                <w:sz w:val="28"/>
                <w:szCs w:val="28"/>
              </w:rPr>
            </w:pPr>
            <w:r w:rsidRPr="006D3FAE">
              <w:rPr>
                <w:b/>
                <w:sz w:val="28"/>
                <w:szCs w:val="28"/>
              </w:rPr>
              <w:t>NGÂN HÀNG NHÀ N</w:t>
            </w:r>
            <w:r w:rsidRPr="006D3FAE">
              <w:rPr>
                <w:rFonts w:hint="eastAsia"/>
                <w:b/>
                <w:sz w:val="28"/>
                <w:szCs w:val="28"/>
              </w:rPr>
              <w:t>Ư</w:t>
            </w:r>
            <w:r w:rsidRPr="006D3FAE">
              <w:rPr>
                <w:b/>
                <w:sz w:val="28"/>
                <w:szCs w:val="28"/>
              </w:rPr>
              <w:t>ỚC</w:t>
            </w:r>
          </w:p>
          <w:p w:rsidR="00312F2E" w:rsidRPr="006D3FAE" w:rsidRDefault="00312F2E" w:rsidP="00081F6E">
            <w:pPr>
              <w:jc w:val="center"/>
              <w:rPr>
                <w:b/>
                <w:sz w:val="28"/>
                <w:szCs w:val="28"/>
              </w:rPr>
            </w:pPr>
            <w:r w:rsidRPr="006D3FAE">
              <w:rPr>
                <w:b/>
                <w:sz w:val="28"/>
                <w:szCs w:val="28"/>
              </w:rPr>
              <w:t xml:space="preserve">VIỆT </w:t>
            </w:r>
            <w:smartTag w:uri="urn:schemas-microsoft-com:office:smarttags" w:element="place">
              <w:smartTag w:uri="urn:schemas-microsoft-com:office:smarttags" w:element="country-region">
                <w:r w:rsidRPr="006D3FAE">
                  <w:rPr>
                    <w:b/>
                    <w:sz w:val="28"/>
                    <w:szCs w:val="28"/>
                  </w:rPr>
                  <w:t>NAM</w:t>
                </w:r>
              </w:smartTag>
            </w:smartTag>
          </w:p>
          <w:p w:rsidR="00312F2E" w:rsidRPr="006D3FAE" w:rsidRDefault="00BF30C1" w:rsidP="00081F6E">
            <w:pPr>
              <w:jc w:val="center"/>
              <w:rPr>
                <w:b/>
                <w:sz w:val="28"/>
                <w:szCs w:val="28"/>
              </w:rPr>
            </w:pPr>
            <w:r w:rsidRPr="00BF30C1">
              <w:rPr>
                <w:noProof/>
                <w:sz w:val="28"/>
                <w:szCs w:val="28"/>
              </w:rPr>
              <w:pict>
                <v:line id="_x0000_s1026" style="position:absolute;left:0;text-align:left;z-index:251657728" from="82.8pt,3.85pt" to="133.25pt,3.9pt" strokeweight=".5pt">
                  <v:stroke startarrowwidth="narrow" startarrowlength="short" endarrowwidth="narrow" endarrowlength="short"/>
                </v:line>
              </w:pict>
            </w:r>
          </w:p>
        </w:tc>
        <w:tc>
          <w:tcPr>
            <w:tcW w:w="4747" w:type="dxa"/>
            <w:tcBorders>
              <w:top w:val="nil"/>
              <w:left w:val="nil"/>
              <w:bottom w:val="nil"/>
              <w:right w:val="nil"/>
            </w:tcBorders>
          </w:tcPr>
          <w:p w:rsidR="00312F2E" w:rsidRPr="006D3FAE" w:rsidRDefault="0097023F" w:rsidP="00081F6E">
            <w:pPr>
              <w:jc w:val="center"/>
              <w:rPr>
                <w:b/>
                <w:sz w:val="28"/>
                <w:szCs w:val="28"/>
              </w:rPr>
            </w:pPr>
            <w:r w:rsidRPr="006D3FAE">
              <w:rPr>
                <w:i/>
                <w:sz w:val="28"/>
                <w:szCs w:val="28"/>
              </w:rPr>
              <w:t xml:space="preserve">    Hà Nội, ngày</w:t>
            </w:r>
            <w:r w:rsidR="00DE70C3">
              <w:rPr>
                <w:i/>
                <w:sz w:val="28"/>
                <w:szCs w:val="28"/>
              </w:rPr>
              <w:t xml:space="preserve"> </w:t>
            </w:r>
            <w:r w:rsidR="008D6A9B">
              <w:rPr>
                <w:i/>
                <w:sz w:val="28"/>
                <w:szCs w:val="28"/>
              </w:rPr>
              <w:t>25</w:t>
            </w:r>
            <w:r w:rsidR="00DE70C3">
              <w:rPr>
                <w:i/>
                <w:sz w:val="28"/>
                <w:szCs w:val="28"/>
              </w:rPr>
              <w:t xml:space="preserve"> </w:t>
            </w:r>
            <w:r w:rsidR="0000366B">
              <w:rPr>
                <w:i/>
                <w:sz w:val="28"/>
                <w:szCs w:val="28"/>
              </w:rPr>
              <w:t>tháng</w:t>
            </w:r>
            <w:r w:rsidR="00DC311B">
              <w:rPr>
                <w:i/>
                <w:sz w:val="28"/>
                <w:szCs w:val="28"/>
              </w:rPr>
              <w:t xml:space="preserve"> </w:t>
            </w:r>
            <w:r w:rsidR="00146F44">
              <w:rPr>
                <w:i/>
                <w:sz w:val="28"/>
                <w:szCs w:val="28"/>
              </w:rPr>
              <w:t>0</w:t>
            </w:r>
            <w:r w:rsidR="00214709">
              <w:rPr>
                <w:i/>
                <w:sz w:val="28"/>
                <w:szCs w:val="28"/>
              </w:rPr>
              <w:t>3</w:t>
            </w:r>
            <w:r w:rsidR="003D5790">
              <w:rPr>
                <w:i/>
                <w:sz w:val="28"/>
                <w:szCs w:val="28"/>
              </w:rPr>
              <w:t xml:space="preserve"> </w:t>
            </w:r>
            <w:r w:rsidR="00312F2E" w:rsidRPr="006D3FAE">
              <w:rPr>
                <w:i/>
                <w:sz w:val="28"/>
                <w:szCs w:val="28"/>
              </w:rPr>
              <w:t>năm 201</w:t>
            </w:r>
            <w:r w:rsidR="00146F44">
              <w:rPr>
                <w:i/>
                <w:sz w:val="28"/>
                <w:szCs w:val="28"/>
              </w:rPr>
              <w:t>5</w:t>
            </w:r>
          </w:p>
          <w:p w:rsidR="00312F2E" w:rsidRPr="006D3FAE" w:rsidRDefault="00312F2E" w:rsidP="00081F6E">
            <w:pPr>
              <w:jc w:val="center"/>
              <w:rPr>
                <w:b/>
                <w:sz w:val="28"/>
                <w:szCs w:val="28"/>
              </w:rPr>
            </w:pPr>
          </w:p>
        </w:tc>
      </w:tr>
    </w:tbl>
    <w:p w:rsidR="00EB30DD" w:rsidRDefault="00EB30DD" w:rsidP="00B86494">
      <w:pPr>
        <w:jc w:val="center"/>
        <w:rPr>
          <w:b/>
          <w:sz w:val="28"/>
          <w:szCs w:val="28"/>
        </w:rPr>
      </w:pPr>
    </w:p>
    <w:p w:rsidR="00312F2E" w:rsidRPr="006D3FAE" w:rsidRDefault="00312F2E" w:rsidP="00B86494">
      <w:pPr>
        <w:jc w:val="center"/>
        <w:rPr>
          <w:b/>
          <w:sz w:val="28"/>
          <w:szCs w:val="28"/>
        </w:rPr>
      </w:pPr>
      <w:r w:rsidRPr="006D3FAE">
        <w:rPr>
          <w:b/>
          <w:sz w:val="28"/>
          <w:szCs w:val="28"/>
        </w:rPr>
        <w:t>THÔNG TIN VỀ HOẠT ĐỘNG NGÂN HÀNG</w:t>
      </w:r>
    </w:p>
    <w:p w:rsidR="00312F2E" w:rsidRPr="006D3FAE" w:rsidRDefault="009D3C8F" w:rsidP="00B86494">
      <w:pPr>
        <w:pStyle w:val="Heading1"/>
        <w:spacing w:before="0" w:after="0" w:line="240" w:lineRule="auto"/>
        <w:rPr>
          <w:sz w:val="28"/>
        </w:rPr>
      </w:pPr>
      <w:r w:rsidRPr="006D3FAE">
        <w:rPr>
          <w:sz w:val="28"/>
        </w:rPr>
        <w:t xml:space="preserve">TRONG TUẦN (Từ </w:t>
      </w:r>
      <w:r w:rsidR="00982750">
        <w:rPr>
          <w:sz w:val="28"/>
        </w:rPr>
        <w:t>16-2</w:t>
      </w:r>
      <w:r w:rsidR="00A81188">
        <w:rPr>
          <w:sz w:val="28"/>
        </w:rPr>
        <w:t>0</w:t>
      </w:r>
      <w:r w:rsidR="00214709">
        <w:rPr>
          <w:sz w:val="28"/>
        </w:rPr>
        <w:t>/03</w:t>
      </w:r>
      <w:r w:rsidR="005F56D3" w:rsidRPr="006D3FAE">
        <w:rPr>
          <w:sz w:val="28"/>
        </w:rPr>
        <w:t>/</w:t>
      </w:r>
      <w:r w:rsidR="00312F2E" w:rsidRPr="006D3FAE">
        <w:rPr>
          <w:sz w:val="28"/>
        </w:rPr>
        <w:t>201</w:t>
      </w:r>
      <w:r w:rsidR="00146F44">
        <w:rPr>
          <w:sz w:val="28"/>
        </w:rPr>
        <w:t>5</w:t>
      </w:r>
      <w:r w:rsidR="00312F2E" w:rsidRPr="006D3FAE">
        <w:rPr>
          <w:sz w:val="28"/>
        </w:rPr>
        <w:t>)</w:t>
      </w:r>
    </w:p>
    <w:p w:rsidR="00BE3966" w:rsidRPr="006D3FAE" w:rsidRDefault="00BE3966" w:rsidP="004F6CA8">
      <w:pPr>
        <w:spacing w:before="120" w:after="120"/>
      </w:pPr>
    </w:p>
    <w:p w:rsidR="00312F2E" w:rsidRPr="0018692E" w:rsidRDefault="0018692E" w:rsidP="0018692E">
      <w:pPr>
        <w:spacing w:after="120"/>
        <w:rPr>
          <w:b/>
          <w:sz w:val="28"/>
          <w:szCs w:val="28"/>
        </w:rPr>
      </w:pPr>
      <w:r>
        <w:t xml:space="preserve">  </w:t>
      </w:r>
      <w:r>
        <w:tab/>
      </w:r>
      <w:r w:rsidRPr="0018692E">
        <w:rPr>
          <w:b/>
          <w:sz w:val="28"/>
          <w:szCs w:val="28"/>
        </w:rPr>
        <w:t xml:space="preserve">1. </w:t>
      </w:r>
      <w:r w:rsidR="00BC5F9A" w:rsidRPr="0018692E">
        <w:rPr>
          <w:b/>
          <w:sz w:val="28"/>
          <w:szCs w:val="28"/>
        </w:rPr>
        <w:t>L</w:t>
      </w:r>
      <w:r w:rsidR="00312F2E" w:rsidRPr="0018692E">
        <w:rPr>
          <w:b/>
          <w:sz w:val="28"/>
          <w:szCs w:val="28"/>
        </w:rPr>
        <w:t>ãi suấ</w:t>
      </w:r>
      <w:r w:rsidR="009D3C8F" w:rsidRPr="0018692E">
        <w:rPr>
          <w:b/>
          <w:sz w:val="28"/>
          <w:szCs w:val="28"/>
        </w:rPr>
        <w:t>t</w:t>
      </w:r>
      <w:r w:rsidR="00BC5F9A" w:rsidRPr="0018692E">
        <w:rPr>
          <w:b/>
          <w:sz w:val="28"/>
          <w:szCs w:val="28"/>
        </w:rPr>
        <w:t xml:space="preserve"> huy động và cho vay của các tổ chức tín dụng</w:t>
      </w:r>
    </w:p>
    <w:p w:rsidR="00890B11" w:rsidRPr="0018692E" w:rsidRDefault="0018692E" w:rsidP="0018692E">
      <w:pPr>
        <w:spacing w:after="120"/>
        <w:rPr>
          <w:b/>
          <w:i/>
          <w:sz w:val="28"/>
          <w:szCs w:val="28"/>
        </w:rPr>
      </w:pPr>
      <w:r>
        <w:rPr>
          <w:b/>
          <w:i/>
          <w:sz w:val="28"/>
          <w:szCs w:val="28"/>
        </w:rPr>
        <w:t xml:space="preserve"> </w:t>
      </w:r>
      <w:r>
        <w:rPr>
          <w:b/>
          <w:i/>
          <w:sz w:val="28"/>
          <w:szCs w:val="28"/>
        </w:rPr>
        <w:tab/>
        <w:t xml:space="preserve"> </w:t>
      </w:r>
      <w:r w:rsidR="00857443" w:rsidRPr="0018692E">
        <w:rPr>
          <w:b/>
          <w:i/>
          <w:sz w:val="28"/>
          <w:szCs w:val="28"/>
        </w:rPr>
        <w:t xml:space="preserve">1.1. </w:t>
      </w:r>
      <w:r w:rsidR="00475B4C" w:rsidRPr="0018692E">
        <w:rPr>
          <w:b/>
          <w:i/>
          <w:sz w:val="28"/>
          <w:szCs w:val="28"/>
        </w:rPr>
        <w:t>Lãi suất huy động</w:t>
      </w:r>
    </w:p>
    <w:p w:rsidR="00214709" w:rsidRDefault="00982750" w:rsidP="0018692E">
      <w:pPr>
        <w:tabs>
          <w:tab w:val="left" w:pos="4452"/>
        </w:tabs>
        <w:spacing w:after="120"/>
        <w:ind w:firstLine="567"/>
        <w:jc w:val="both"/>
        <w:rPr>
          <w:sz w:val="28"/>
          <w:szCs w:val="28"/>
          <w:lang w:val="sv-SE"/>
        </w:rPr>
      </w:pPr>
      <w:r>
        <w:rPr>
          <w:i/>
          <w:spacing w:val="-2"/>
          <w:sz w:val="28"/>
          <w:szCs w:val="28"/>
          <w:lang w:val="sv-SE"/>
        </w:rPr>
        <w:t>-</w:t>
      </w:r>
      <w:r w:rsidR="00214709" w:rsidRPr="0050158A">
        <w:rPr>
          <w:i/>
          <w:spacing w:val="-2"/>
          <w:sz w:val="28"/>
          <w:szCs w:val="28"/>
          <w:lang w:val="sv-SE"/>
        </w:rPr>
        <w:t xml:space="preserve"> </w:t>
      </w:r>
      <w:r w:rsidR="00214709" w:rsidRPr="00982750">
        <w:rPr>
          <w:spacing w:val="-2"/>
          <w:sz w:val="28"/>
          <w:szCs w:val="28"/>
          <w:lang w:val="sv-SE"/>
        </w:rPr>
        <w:t>L</w:t>
      </w:r>
      <w:r w:rsidR="00214709" w:rsidRPr="00982750">
        <w:rPr>
          <w:sz w:val="28"/>
          <w:szCs w:val="28"/>
        </w:rPr>
        <w:t>ãi suất huy động bằng VND tương đối ổn định</w:t>
      </w:r>
      <w:r w:rsidR="00214709">
        <w:rPr>
          <w:i/>
          <w:sz w:val="28"/>
          <w:szCs w:val="28"/>
        </w:rPr>
        <w:t xml:space="preserve">: </w:t>
      </w:r>
      <w:r w:rsidR="00214709" w:rsidRPr="00B528ED">
        <w:rPr>
          <w:sz w:val="28"/>
          <w:szCs w:val="28"/>
          <w:lang w:val="sv-SE"/>
        </w:rPr>
        <w:t xml:space="preserve">Hiện nay, lãi suất huy động bằng VND phổ biến ở mức 0,8-1%/năm đối với tiền gửi không kỳ hạn và có kỳ hạn dưới 1 tháng; </w:t>
      </w:r>
      <w:r w:rsidR="00214709">
        <w:rPr>
          <w:sz w:val="28"/>
          <w:szCs w:val="28"/>
          <w:lang w:val="sv-SE"/>
        </w:rPr>
        <w:t>4,5</w:t>
      </w:r>
      <w:r w:rsidR="00214709" w:rsidRPr="00B528ED">
        <w:rPr>
          <w:sz w:val="28"/>
          <w:szCs w:val="28"/>
          <w:lang w:val="sv-SE"/>
        </w:rPr>
        <w:t>-5,</w:t>
      </w:r>
      <w:r w:rsidR="00214709">
        <w:rPr>
          <w:sz w:val="28"/>
          <w:szCs w:val="28"/>
          <w:lang w:val="sv-SE"/>
        </w:rPr>
        <w:t>4</w:t>
      </w:r>
      <w:r w:rsidR="00214709" w:rsidRPr="00B528ED">
        <w:rPr>
          <w:sz w:val="28"/>
          <w:szCs w:val="28"/>
          <w:lang w:val="sv-SE"/>
        </w:rPr>
        <w:t xml:space="preserve">%/năm đối với tiền gửi có kỳ hạn </w:t>
      </w:r>
      <w:r w:rsidR="00214709">
        <w:rPr>
          <w:sz w:val="28"/>
          <w:szCs w:val="28"/>
          <w:lang w:val="sv-SE"/>
        </w:rPr>
        <w:t xml:space="preserve">từ </w:t>
      </w:r>
      <w:r w:rsidR="00214709" w:rsidRPr="00B528ED">
        <w:rPr>
          <w:sz w:val="28"/>
          <w:szCs w:val="28"/>
          <w:lang w:val="sv-SE"/>
        </w:rPr>
        <w:t xml:space="preserve">1 tháng </w:t>
      </w:r>
      <w:r w:rsidR="00214709">
        <w:rPr>
          <w:sz w:val="28"/>
          <w:szCs w:val="28"/>
          <w:lang w:val="sv-SE"/>
        </w:rPr>
        <w:t>đến</w:t>
      </w:r>
      <w:r w:rsidR="00214709" w:rsidRPr="00B528ED">
        <w:rPr>
          <w:sz w:val="28"/>
          <w:szCs w:val="28"/>
          <w:lang w:val="sv-SE"/>
        </w:rPr>
        <w:t xml:space="preserve"> dưới 6 tháng; 5,</w:t>
      </w:r>
      <w:r w:rsidR="00214709">
        <w:rPr>
          <w:sz w:val="28"/>
          <w:szCs w:val="28"/>
          <w:lang w:val="sv-SE"/>
        </w:rPr>
        <w:t>4</w:t>
      </w:r>
      <w:r w:rsidR="00214709" w:rsidRPr="00B528ED">
        <w:rPr>
          <w:sz w:val="28"/>
          <w:szCs w:val="28"/>
          <w:lang w:val="sv-SE"/>
        </w:rPr>
        <w:t>-6,</w:t>
      </w:r>
      <w:r w:rsidR="00214709">
        <w:rPr>
          <w:sz w:val="28"/>
          <w:szCs w:val="28"/>
          <w:lang w:val="sv-SE"/>
        </w:rPr>
        <w:t>5</w:t>
      </w:r>
      <w:r w:rsidR="00214709" w:rsidRPr="00B528ED">
        <w:rPr>
          <w:sz w:val="28"/>
          <w:szCs w:val="28"/>
          <w:lang w:val="sv-SE"/>
        </w:rPr>
        <w:t>%/năm đối với tiền gửi có kỳ hạn từ 6 tháng đến dưới 12 tháng; kỳ hạn trên 12 tháng ở mức 6,</w:t>
      </w:r>
      <w:r w:rsidR="00214709">
        <w:rPr>
          <w:sz w:val="28"/>
          <w:szCs w:val="28"/>
          <w:lang w:val="sv-SE"/>
        </w:rPr>
        <w:t>4</w:t>
      </w:r>
      <w:r w:rsidR="00214709" w:rsidRPr="00B528ED">
        <w:rPr>
          <w:sz w:val="28"/>
          <w:szCs w:val="28"/>
          <w:lang w:val="sv-SE"/>
        </w:rPr>
        <w:t>-7,</w:t>
      </w:r>
      <w:r w:rsidR="00214709">
        <w:rPr>
          <w:sz w:val="28"/>
          <w:szCs w:val="28"/>
          <w:lang w:val="sv-SE"/>
        </w:rPr>
        <w:t>2</w:t>
      </w:r>
      <w:r w:rsidR="00214709" w:rsidRPr="00B528ED">
        <w:rPr>
          <w:sz w:val="28"/>
          <w:szCs w:val="28"/>
          <w:lang w:val="sv-SE"/>
        </w:rPr>
        <w:t xml:space="preserve">%/năm. </w:t>
      </w:r>
    </w:p>
    <w:p w:rsidR="00982750" w:rsidRDefault="00982750" w:rsidP="0018692E">
      <w:pPr>
        <w:tabs>
          <w:tab w:val="left" w:pos="4452"/>
        </w:tabs>
        <w:spacing w:after="120"/>
        <w:ind w:firstLine="567"/>
        <w:jc w:val="both"/>
        <w:rPr>
          <w:sz w:val="28"/>
          <w:szCs w:val="28"/>
          <w:lang w:val="sv-SE"/>
        </w:rPr>
      </w:pPr>
      <w:r>
        <w:rPr>
          <w:spacing w:val="-6"/>
          <w:sz w:val="28"/>
          <w:szCs w:val="28"/>
          <w:lang w:val="pt-BR"/>
        </w:rPr>
        <w:t>- L</w:t>
      </w:r>
      <w:r w:rsidRPr="00151952">
        <w:rPr>
          <w:spacing w:val="-6"/>
          <w:sz w:val="28"/>
          <w:szCs w:val="28"/>
          <w:lang w:val="pt-BR"/>
        </w:rPr>
        <w:t xml:space="preserve">ãi suất huy động bằng  USD ổn định so với tuần trước. Hiện nay, lãi suất huy động USD phổ biến bằng mức trần do </w:t>
      </w:r>
      <w:r w:rsidRPr="00B27DF3">
        <w:rPr>
          <w:sz w:val="28"/>
          <w:szCs w:val="28"/>
          <w:lang w:val="pt-BR"/>
        </w:rPr>
        <w:t>NHNN quy định là 0,25%/năm đối với tiền gửi của tổ chức và 0,75%/năm đối với tiền gửi của dân cư.</w:t>
      </w:r>
    </w:p>
    <w:p w:rsidR="00214709" w:rsidRPr="00214709" w:rsidRDefault="0018692E" w:rsidP="0018692E">
      <w:pPr>
        <w:tabs>
          <w:tab w:val="left" w:pos="4452"/>
        </w:tabs>
        <w:spacing w:after="120"/>
        <w:jc w:val="both"/>
        <w:rPr>
          <w:b/>
          <w:i/>
          <w:sz w:val="28"/>
          <w:szCs w:val="28"/>
        </w:rPr>
      </w:pPr>
      <w:r>
        <w:rPr>
          <w:b/>
          <w:i/>
          <w:sz w:val="28"/>
          <w:szCs w:val="28"/>
          <w:lang w:val="sv-SE"/>
        </w:rPr>
        <w:t xml:space="preserve">         </w:t>
      </w:r>
      <w:r w:rsidR="00214709" w:rsidRPr="00214709">
        <w:rPr>
          <w:b/>
          <w:i/>
          <w:sz w:val="28"/>
          <w:szCs w:val="28"/>
          <w:lang w:val="sv-SE"/>
        </w:rPr>
        <w:t>1.2. Lãi suất cho vay</w:t>
      </w:r>
    </w:p>
    <w:p w:rsidR="00214709" w:rsidRPr="0048624F" w:rsidRDefault="00214709" w:rsidP="0018692E">
      <w:pPr>
        <w:tabs>
          <w:tab w:val="left" w:pos="4452"/>
        </w:tabs>
        <w:spacing w:after="120"/>
        <w:ind w:firstLine="567"/>
        <w:jc w:val="both"/>
        <w:rPr>
          <w:bCs/>
          <w:color w:val="000000"/>
          <w:sz w:val="28"/>
          <w:szCs w:val="28"/>
          <w:shd w:val="clear" w:color="auto" w:fill="FFFFFF"/>
        </w:rPr>
      </w:pPr>
      <w:r w:rsidRPr="00151952">
        <w:rPr>
          <w:bCs/>
          <w:i/>
          <w:spacing w:val="-6"/>
          <w:sz w:val="28"/>
          <w:szCs w:val="28"/>
          <w:lang w:val="sv-SE"/>
        </w:rPr>
        <w:t xml:space="preserve">- </w:t>
      </w:r>
      <w:r w:rsidRPr="00982750">
        <w:rPr>
          <w:bCs/>
          <w:spacing w:val="-6"/>
          <w:sz w:val="28"/>
          <w:szCs w:val="28"/>
          <w:lang w:val="sv-SE"/>
        </w:rPr>
        <w:t>Lãi suất cho vay bằng VND</w:t>
      </w:r>
      <w:r w:rsidR="00982750" w:rsidRPr="00982750">
        <w:rPr>
          <w:bCs/>
          <w:spacing w:val="-6"/>
          <w:sz w:val="28"/>
          <w:szCs w:val="28"/>
          <w:lang w:val="sv-SE"/>
        </w:rPr>
        <w:t xml:space="preserve">  tiếp tục ổn định</w:t>
      </w:r>
      <w:r w:rsidR="00982750">
        <w:rPr>
          <w:bCs/>
          <w:i/>
          <w:spacing w:val="-6"/>
          <w:sz w:val="28"/>
          <w:szCs w:val="28"/>
          <w:lang w:val="sv-SE"/>
        </w:rPr>
        <w:t xml:space="preserve">. </w:t>
      </w:r>
      <w:r w:rsidRPr="00151952">
        <w:rPr>
          <w:bCs/>
          <w:spacing w:val="-6"/>
          <w:sz w:val="28"/>
          <w:szCs w:val="28"/>
        </w:rPr>
        <w:t xml:space="preserve">Hiện nay, mặt bằng lãi </w:t>
      </w:r>
      <w:r w:rsidRPr="00151952">
        <w:rPr>
          <w:bCs/>
          <w:spacing w:val="-6"/>
          <w:sz w:val="28"/>
          <w:szCs w:val="28"/>
          <w:lang w:val="pt-BR"/>
        </w:rPr>
        <w:t xml:space="preserve">suất cho vay phổ biến đối với các lĩnh vực ưu tiên </w:t>
      </w:r>
      <w:r w:rsidRPr="00151952">
        <w:rPr>
          <w:spacing w:val="-6"/>
          <w:sz w:val="28"/>
          <w:szCs w:val="28"/>
          <w:lang w:val="it-IT"/>
        </w:rPr>
        <w:t xml:space="preserve">ở mức 7%/năm đối với ngắn hạn, các NHTM nhà nước tiếp tục áp dụng lãi suất cho vay trung và dài hạn phổ biến </w:t>
      </w:r>
      <w:r w:rsidRPr="00151952">
        <w:rPr>
          <w:bCs/>
          <w:spacing w:val="-6"/>
          <w:sz w:val="28"/>
          <w:szCs w:val="28"/>
          <w:lang w:val="pt-BR"/>
        </w:rPr>
        <w:t xml:space="preserve">đối với các lĩnh vực ưu tiên </w:t>
      </w:r>
      <w:r w:rsidRPr="00151952">
        <w:rPr>
          <w:spacing w:val="-6"/>
          <w:sz w:val="28"/>
          <w:szCs w:val="28"/>
          <w:lang w:val="it-IT"/>
        </w:rPr>
        <w:t>ở mức 9-10%/năm.</w:t>
      </w:r>
      <w:r w:rsidRPr="00151952">
        <w:rPr>
          <w:spacing w:val="-6"/>
          <w:sz w:val="28"/>
          <w:szCs w:val="28"/>
          <w:lang w:val="pt-BR"/>
        </w:rPr>
        <w:t xml:space="preserve"> L</w:t>
      </w:r>
      <w:r w:rsidRPr="00151952">
        <w:rPr>
          <w:spacing w:val="-6"/>
          <w:sz w:val="28"/>
          <w:szCs w:val="28"/>
          <w:lang w:val="it-IT"/>
        </w:rPr>
        <w:t xml:space="preserve">ãi suất cho vay các lĩnh vực sản xuất kinh doanh thông thường ở mức 7-9%/năm đối với ngắn hạn; 9,5-11%/năm đối với trung và dài hạn. </w:t>
      </w:r>
    </w:p>
    <w:p w:rsidR="00214709" w:rsidRDefault="00982750" w:rsidP="0018692E">
      <w:pPr>
        <w:spacing w:after="120"/>
        <w:ind w:firstLine="567"/>
        <w:jc w:val="both"/>
        <w:rPr>
          <w:noProof/>
          <w:sz w:val="28"/>
          <w:szCs w:val="28"/>
          <w:lang w:val="pt-BR"/>
        </w:rPr>
      </w:pPr>
      <w:r>
        <w:rPr>
          <w:noProof/>
          <w:sz w:val="28"/>
          <w:szCs w:val="28"/>
          <w:lang w:val="pt-BR"/>
        </w:rPr>
        <w:t xml:space="preserve">- </w:t>
      </w:r>
      <w:r w:rsidR="00214709" w:rsidRPr="00B27DF3">
        <w:rPr>
          <w:noProof/>
          <w:sz w:val="28"/>
          <w:szCs w:val="28"/>
          <w:lang w:val="pt-BR"/>
        </w:rPr>
        <w:t>Lãi suất cho vay USD phổ biến ở mức 3-7%/năm; trong đó lãi suất cho vay ngắn hạn phổ biến ở mức 3-6%/năm</w:t>
      </w:r>
      <w:r w:rsidR="00214709" w:rsidRPr="00B27DF3">
        <w:rPr>
          <w:noProof/>
          <w:sz w:val="28"/>
          <w:szCs w:val="28"/>
          <w:lang w:val="it-IT"/>
        </w:rPr>
        <w:t>,</w:t>
      </w:r>
      <w:r w:rsidR="00214709" w:rsidRPr="00B27DF3">
        <w:rPr>
          <w:noProof/>
          <w:sz w:val="28"/>
          <w:szCs w:val="28"/>
          <w:lang w:val="pt-BR"/>
        </w:rPr>
        <w:t xml:space="preserve"> 5,5-7%/năm đối với trung và dài hạn.</w:t>
      </w:r>
    </w:p>
    <w:p w:rsidR="00214709" w:rsidRPr="003D3FFE" w:rsidRDefault="00214709" w:rsidP="00DE70C3">
      <w:pPr>
        <w:spacing w:beforeLines="80" w:afterLines="80" w:line="320" w:lineRule="atLeast"/>
        <w:ind w:firstLine="567"/>
        <w:jc w:val="center"/>
        <w:rPr>
          <w:noProof/>
          <w:spacing w:val="-2"/>
          <w:sz w:val="28"/>
          <w:szCs w:val="28"/>
          <w:lang w:val="pt-BR"/>
        </w:rPr>
      </w:pPr>
      <w:r w:rsidRPr="0009144A">
        <w:rPr>
          <w:b/>
          <w:spacing w:val="-2"/>
          <w:sz w:val="28"/>
          <w:szCs w:val="28"/>
          <w:lang w:val="pt-BR"/>
        </w:rPr>
        <w:t xml:space="preserve">Lãi suất cho vay phổ biến của các TCTD đối với khách hàng </w:t>
      </w:r>
      <w:r w:rsidRPr="003D3FFE">
        <w:rPr>
          <w:b/>
          <w:spacing w:val="-2"/>
          <w:sz w:val="28"/>
          <w:szCs w:val="28"/>
          <w:lang w:val="pt-BR"/>
        </w:rPr>
        <w:t xml:space="preserve">từ </w:t>
      </w:r>
      <w:r w:rsidRPr="003D3FFE">
        <w:rPr>
          <w:b/>
          <w:spacing w:val="-2"/>
          <w:sz w:val="28"/>
          <w:szCs w:val="28"/>
          <w:lang w:val="pt-BR"/>
        </w:rPr>
        <w:br/>
        <w:t xml:space="preserve">ngày </w:t>
      </w:r>
      <w:r>
        <w:rPr>
          <w:b/>
          <w:spacing w:val="-2"/>
          <w:sz w:val="28"/>
          <w:szCs w:val="28"/>
          <w:lang w:val="pt-BR"/>
        </w:rPr>
        <w:t>16/3-20/3</w:t>
      </w:r>
      <w:r w:rsidRPr="003D3FFE">
        <w:rPr>
          <w:b/>
          <w:spacing w:val="-2"/>
          <w:sz w:val="28"/>
          <w:szCs w:val="28"/>
          <w:lang w:val="pt-BR"/>
        </w:rPr>
        <w:t>/201</w:t>
      </w:r>
      <w:r>
        <w:rPr>
          <w:b/>
          <w:spacing w:val="-2"/>
          <w:sz w:val="28"/>
          <w:szCs w:val="28"/>
          <w:lang w:val="pt-BR"/>
        </w:rPr>
        <w:t>5</w:t>
      </w:r>
    </w:p>
    <w:p w:rsidR="00214709" w:rsidRDefault="00214709" w:rsidP="00214709">
      <w:pPr>
        <w:tabs>
          <w:tab w:val="left" w:pos="720"/>
        </w:tabs>
        <w:spacing w:before="120" w:after="120"/>
        <w:ind w:firstLine="567"/>
        <w:jc w:val="center"/>
        <w:rPr>
          <w:i/>
          <w:spacing w:val="-4"/>
        </w:rPr>
      </w:pPr>
      <w:r w:rsidRPr="003D3FFE">
        <w:rPr>
          <w:i/>
          <w:spacing w:val="-4"/>
          <w:lang w:val="pt-BR"/>
        </w:rPr>
        <w:t xml:space="preserve">    </w:t>
      </w:r>
      <w:r w:rsidRPr="003D3FFE">
        <w:rPr>
          <w:i/>
          <w:spacing w:val="-4"/>
          <w:lang w:val="pt-BR"/>
        </w:rPr>
        <w:tab/>
      </w:r>
      <w:r w:rsidRPr="003D3FFE">
        <w:rPr>
          <w:i/>
          <w:spacing w:val="-4"/>
          <w:lang w:val="pt-BR"/>
        </w:rPr>
        <w:tab/>
      </w:r>
      <w:r w:rsidRPr="003D3FFE">
        <w:rPr>
          <w:i/>
          <w:spacing w:val="-4"/>
          <w:lang w:val="pt-BR"/>
        </w:rPr>
        <w:tab/>
      </w:r>
      <w:r w:rsidRPr="003D3FFE">
        <w:rPr>
          <w:i/>
          <w:spacing w:val="-4"/>
          <w:lang w:val="pt-BR"/>
        </w:rPr>
        <w:tab/>
      </w:r>
      <w:r w:rsidRPr="003D3FFE">
        <w:rPr>
          <w:i/>
          <w:spacing w:val="-4"/>
          <w:lang w:val="pt-BR"/>
        </w:rPr>
        <w:tab/>
      </w:r>
      <w:r w:rsidRPr="003D3FFE">
        <w:rPr>
          <w:b/>
          <w:i/>
          <w:spacing w:val="-4"/>
          <w:lang w:val="pt-BR"/>
        </w:rPr>
        <w:tab/>
      </w:r>
      <w:r w:rsidRPr="003D3FFE">
        <w:rPr>
          <w:i/>
          <w:spacing w:val="-4"/>
          <w:lang w:val="pt-BR"/>
        </w:rPr>
        <w:tab/>
      </w:r>
      <w:r w:rsidRPr="003D3FFE">
        <w:rPr>
          <w:i/>
          <w:spacing w:val="-4"/>
          <w:lang w:val="pt-BR"/>
        </w:rPr>
        <w:tab/>
      </w:r>
      <w:r w:rsidRPr="003D3FFE">
        <w:rPr>
          <w:i/>
          <w:spacing w:val="-4"/>
          <w:lang w:val="pt-BR"/>
        </w:rPr>
        <w:tab/>
        <w:t xml:space="preserve">  </w:t>
      </w:r>
      <w:r w:rsidRPr="00C619DF">
        <w:rPr>
          <w:i/>
          <w:spacing w:val="-4"/>
        </w:rPr>
        <w:t>Đơn vị: %/năm</w:t>
      </w:r>
    </w:p>
    <w:tbl>
      <w:tblPr>
        <w:tblW w:w="9520" w:type="dxa"/>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2778"/>
        <w:gridCol w:w="2477"/>
        <w:gridCol w:w="2208"/>
      </w:tblGrid>
      <w:tr w:rsidR="00214709" w:rsidRPr="0009144A" w:rsidTr="00EB3094">
        <w:trPr>
          <w:trHeight w:val="395"/>
          <w:jc w:val="center"/>
        </w:trPr>
        <w:tc>
          <w:tcPr>
            <w:tcW w:w="2057" w:type="dxa"/>
            <w:vAlign w:val="center"/>
          </w:tcPr>
          <w:p w:rsidR="00214709" w:rsidRPr="0009144A" w:rsidRDefault="00214709" w:rsidP="00EB3094">
            <w:pPr>
              <w:jc w:val="center"/>
              <w:rPr>
                <w:b/>
                <w:sz w:val="27"/>
                <w:szCs w:val="27"/>
              </w:rPr>
            </w:pPr>
            <w:r w:rsidRPr="0009144A">
              <w:rPr>
                <w:b/>
                <w:sz w:val="27"/>
                <w:szCs w:val="27"/>
              </w:rPr>
              <w:t>Nhóm NHTM</w:t>
            </w:r>
          </w:p>
        </w:tc>
        <w:tc>
          <w:tcPr>
            <w:tcW w:w="2778" w:type="dxa"/>
            <w:vAlign w:val="center"/>
          </w:tcPr>
          <w:p w:rsidR="00214709" w:rsidRPr="0009144A" w:rsidRDefault="00214709" w:rsidP="00EB3094">
            <w:pPr>
              <w:spacing w:line="300" w:lineRule="auto"/>
              <w:jc w:val="center"/>
              <w:rPr>
                <w:b/>
                <w:sz w:val="27"/>
                <w:szCs w:val="27"/>
              </w:rPr>
            </w:pPr>
            <w:r w:rsidRPr="0009144A">
              <w:rPr>
                <w:b/>
                <w:sz w:val="27"/>
                <w:szCs w:val="27"/>
              </w:rPr>
              <w:t>Đối tượng</w:t>
            </w:r>
          </w:p>
        </w:tc>
        <w:tc>
          <w:tcPr>
            <w:tcW w:w="2477" w:type="dxa"/>
            <w:vAlign w:val="center"/>
          </w:tcPr>
          <w:p w:rsidR="00214709" w:rsidRPr="0009144A" w:rsidRDefault="00214709" w:rsidP="00EB3094">
            <w:pPr>
              <w:spacing w:line="300" w:lineRule="auto"/>
              <w:jc w:val="center"/>
              <w:rPr>
                <w:b/>
                <w:sz w:val="27"/>
                <w:szCs w:val="27"/>
              </w:rPr>
            </w:pPr>
            <w:r w:rsidRPr="0009144A">
              <w:rPr>
                <w:b/>
                <w:sz w:val="27"/>
                <w:szCs w:val="27"/>
              </w:rPr>
              <w:t>Ngắn hạn</w:t>
            </w:r>
          </w:p>
        </w:tc>
        <w:tc>
          <w:tcPr>
            <w:tcW w:w="2208" w:type="dxa"/>
            <w:vAlign w:val="center"/>
          </w:tcPr>
          <w:p w:rsidR="00214709" w:rsidRPr="0009144A" w:rsidRDefault="00214709" w:rsidP="00EB3094">
            <w:pPr>
              <w:jc w:val="center"/>
              <w:rPr>
                <w:b/>
                <w:sz w:val="27"/>
                <w:szCs w:val="27"/>
              </w:rPr>
            </w:pPr>
            <w:r w:rsidRPr="0009144A">
              <w:rPr>
                <w:b/>
                <w:sz w:val="27"/>
                <w:szCs w:val="27"/>
              </w:rPr>
              <w:t>Trung, dài hạn</w:t>
            </w:r>
          </w:p>
        </w:tc>
      </w:tr>
      <w:tr w:rsidR="00214709" w:rsidRPr="0009144A" w:rsidTr="00EB3094">
        <w:trPr>
          <w:trHeight w:val="418"/>
          <w:jc w:val="center"/>
        </w:trPr>
        <w:tc>
          <w:tcPr>
            <w:tcW w:w="2057" w:type="dxa"/>
            <w:vMerge w:val="restart"/>
            <w:vAlign w:val="center"/>
          </w:tcPr>
          <w:p w:rsidR="00214709" w:rsidRPr="0009144A" w:rsidRDefault="00214709" w:rsidP="00EB3094">
            <w:pPr>
              <w:jc w:val="center"/>
              <w:rPr>
                <w:sz w:val="27"/>
                <w:szCs w:val="27"/>
              </w:rPr>
            </w:pPr>
          </w:p>
          <w:p w:rsidR="00214709" w:rsidRPr="0009144A" w:rsidRDefault="00214709" w:rsidP="00EB3094">
            <w:pPr>
              <w:jc w:val="center"/>
              <w:rPr>
                <w:sz w:val="27"/>
                <w:szCs w:val="27"/>
              </w:rPr>
            </w:pPr>
            <w:r w:rsidRPr="0009144A">
              <w:rPr>
                <w:sz w:val="27"/>
                <w:szCs w:val="27"/>
              </w:rPr>
              <w:t>NHTM</w:t>
            </w:r>
          </w:p>
          <w:p w:rsidR="00214709" w:rsidRPr="0009144A" w:rsidRDefault="00214709" w:rsidP="00EB3094">
            <w:pPr>
              <w:jc w:val="center"/>
              <w:rPr>
                <w:sz w:val="27"/>
                <w:szCs w:val="27"/>
              </w:rPr>
            </w:pPr>
            <w:r w:rsidRPr="0009144A">
              <w:rPr>
                <w:sz w:val="27"/>
                <w:szCs w:val="27"/>
              </w:rPr>
              <w:t>Nhà nước</w:t>
            </w:r>
          </w:p>
          <w:p w:rsidR="00214709" w:rsidRPr="0009144A" w:rsidRDefault="00214709" w:rsidP="00EB3094">
            <w:pPr>
              <w:jc w:val="center"/>
              <w:rPr>
                <w:sz w:val="27"/>
                <w:szCs w:val="27"/>
              </w:rPr>
            </w:pPr>
          </w:p>
          <w:p w:rsidR="00214709" w:rsidRPr="0009144A" w:rsidRDefault="00214709" w:rsidP="00EB3094">
            <w:pPr>
              <w:jc w:val="center"/>
              <w:rPr>
                <w:sz w:val="27"/>
                <w:szCs w:val="27"/>
              </w:rPr>
            </w:pPr>
          </w:p>
        </w:tc>
        <w:tc>
          <w:tcPr>
            <w:tcW w:w="2778" w:type="dxa"/>
          </w:tcPr>
          <w:p w:rsidR="00214709" w:rsidRPr="0009144A" w:rsidRDefault="00214709" w:rsidP="00EB3094">
            <w:pPr>
              <w:spacing w:line="300" w:lineRule="auto"/>
              <w:rPr>
                <w:sz w:val="27"/>
                <w:szCs w:val="27"/>
              </w:rPr>
            </w:pPr>
            <w:r w:rsidRPr="0009144A">
              <w:rPr>
                <w:sz w:val="27"/>
                <w:szCs w:val="27"/>
              </w:rPr>
              <w:t>VND:</w:t>
            </w:r>
          </w:p>
          <w:p w:rsidR="00214709" w:rsidRPr="0009144A" w:rsidRDefault="00214709" w:rsidP="00EB3094">
            <w:pPr>
              <w:spacing w:line="300" w:lineRule="auto"/>
              <w:rPr>
                <w:sz w:val="27"/>
                <w:szCs w:val="27"/>
              </w:rPr>
            </w:pPr>
            <w:r w:rsidRPr="0009144A">
              <w:rPr>
                <w:sz w:val="27"/>
                <w:szCs w:val="27"/>
              </w:rPr>
              <w:t>- Sản xuất kinh doanh thông thường</w:t>
            </w:r>
          </w:p>
        </w:tc>
        <w:tc>
          <w:tcPr>
            <w:tcW w:w="2477" w:type="dxa"/>
            <w:vAlign w:val="center"/>
          </w:tcPr>
          <w:p w:rsidR="00214709" w:rsidRPr="0009144A" w:rsidRDefault="00214709" w:rsidP="00EB3094">
            <w:pPr>
              <w:spacing w:line="300" w:lineRule="auto"/>
              <w:jc w:val="center"/>
              <w:rPr>
                <w:sz w:val="27"/>
                <w:szCs w:val="27"/>
              </w:rPr>
            </w:pPr>
            <w:r>
              <w:rPr>
                <w:sz w:val="27"/>
                <w:szCs w:val="27"/>
              </w:rPr>
              <w:t>7,0-9,0</w:t>
            </w:r>
          </w:p>
        </w:tc>
        <w:tc>
          <w:tcPr>
            <w:tcW w:w="2208" w:type="dxa"/>
            <w:vAlign w:val="center"/>
          </w:tcPr>
          <w:p w:rsidR="00214709" w:rsidRPr="00AD626B" w:rsidRDefault="00214709" w:rsidP="00EB3094">
            <w:pPr>
              <w:spacing w:line="300" w:lineRule="auto"/>
              <w:jc w:val="center"/>
              <w:rPr>
                <w:sz w:val="27"/>
                <w:szCs w:val="27"/>
              </w:rPr>
            </w:pPr>
            <w:r>
              <w:rPr>
                <w:sz w:val="27"/>
                <w:szCs w:val="27"/>
              </w:rPr>
              <w:t>9,5-10,5</w:t>
            </w:r>
          </w:p>
        </w:tc>
      </w:tr>
      <w:tr w:rsidR="00214709" w:rsidRPr="0009144A" w:rsidTr="00EB3094">
        <w:trPr>
          <w:trHeight w:val="862"/>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jc w:val="both"/>
              <w:rPr>
                <w:sz w:val="27"/>
                <w:szCs w:val="27"/>
              </w:rPr>
            </w:pPr>
            <w:r w:rsidRPr="0009144A">
              <w:rPr>
                <w:sz w:val="27"/>
                <w:szCs w:val="27"/>
              </w:rPr>
              <w:t xml:space="preserve">- Nông nghiệp, nông thôn, xuất khẩu, DN </w:t>
            </w:r>
            <w:r w:rsidRPr="0009144A">
              <w:rPr>
                <w:noProof/>
                <w:spacing w:val="-6"/>
                <w:sz w:val="27"/>
                <w:szCs w:val="27"/>
                <w:lang w:val="it-IT"/>
              </w:rPr>
              <w:t xml:space="preserve">nhỏ và vừa, công nghiệp hỗ trợ, DN ứng dụng công nghệ cao </w:t>
            </w:r>
            <w:r w:rsidRPr="0009144A">
              <w:rPr>
                <w:spacing w:val="4"/>
                <w:sz w:val="27"/>
                <w:szCs w:val="27"/>
              </w:rPr>
              <w:t xml:space="preserve"> </w:t>
            </w:r>
            <w:r w:rsidRPr="0009144A">
              <w:rPr>
                <w:sz w:val="27"/>
                <w:szCs w:val="27"/>
              </w:rPr>
              <w:t xml:space="preserve"> </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hd w:val="clear" w:color="auto" w:fill="FFFFFF"/>
              <w:spacing w:line="300" w:lineRule="auto"/>
              <w:jc w:val="center"/>
              <w:rPr>
                <w:sz w:val="27"/>
                <w:szCs w:val="27"/>
              </w:rPr>
            </w:pPr>
            <w:r w:rsidRPr="0009144A">
              <w:rPr>
                <w:sz w:val="27"/>
                <w:szCs w:val="27"/>
              </w:rPr>
              <w:t>7,0</w:t>
            </w:r>
          </w:p>
          <w:p w:rsidR="00214709" w:rsidRPr="0009144A" w:rsidRDefault="00214709" w:rsidP="00EB3094">
            <w:pPr>
              <w:spacing w:line="300" w:lineRule="auto"/>
              <w:jc w:val="center"/>
              <w:rPr>
                <w:sz w:val="27"/>
                <w:szCs w:val="27"/>
              </w:rPr>
            </w:pPr>
          </w:p>
        </w:tc>
        <w:tc>
          <w:tcPr>
            <w:tcW w:w="2208" w:type="dxa"/>
            <w:vAlign w:val="center"/>
          </w:tcPr>
          <w:p w:rsidR="00214709" w:rsidRPr="0009144A" w:rsidRDefault="00214709" w:rsidP="00EB3094">
            <w:pPr>
              <w:spacing w:line="300" w:lineRule="auto"/>
              <w:jc w:val="center"/>
              <w:rPr>
                <w:sz w:val="27"/>
                <w:szCs w:val="27"/>
              </w:rPr>
            </w:pPr>
            <w:r>
              <w:rPr>
                <w:sz w:val="27"/>
                <w:szCs w:val="27"/>
              </w:rPr>
              <w:t>9</w:t>
            </w:r>
            <w:r w:rsidRPr="0009144A">
              <w:rPr>
                <w:sz w:val="27"/>
                <w:szCs w:val="27"/>
              </w:rPr>
              <w:t>,0-1</w:t>
            </w:r>
            <w:r>
              <w:rPr>
                <w:sz w:val="27"/>
                <w:szCs w:val="27"/>
              </w:rPr>
              <w:t>0</w:t>
            </w:r>
            <w:r w:rsidRPr="0009144A">
              <w:rPr>
                <w:sz w:val="27"/>
                <w:szCs w:val="27"/>
              </w:rPr>
              <w:t>,0</w:t>
            </w:r>
          </w:p>
        </w:tc>
      </w:tr>
      <w:tr w:rsidR="00214709" w:rsidRPr="0009144A" w:rsidTr="00EB3094">
        <w:trPr>
          <w:trHeight w:val="531"/>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rPr>
                <w:sz w:val="27"/>
                <w:szCs w:val="27"/>
              </w:rPr>
            </w:pPr>
            <w:r w:rsidRPr="0009144A">
              <w:rPr>
                <w:sz w:val="27"/>
                <w:szCs w:val="27"/>
              </w:rPr>
              <w:t>USD:</w:t>
            </w:r>
          </w:p>
        </w:tc>
        <w:tc>
          <w:tcPr>
            <w:tcW w:w="2477" w:type="dxa"/>
            <w:vAlign w:val="center"/>
          </w:tcPr>
          <w:p w:rsidR="00214709" w:rsidRPr="0009144A" w:rsidRDefault="00214709" w:rsidP="00EB3094">
            <w:pPr>
              <w:spacing w:line="300" w:lineRule="auto"/>
              <w:jc w:val="center"/>
              <w:rPr>
                <w:sz w:val="27"/>
                <w:szCs w:val="27"/>
              </w:rPr>
            </w:pPr>
            <w:r w:rsidRPr="0009144A">
              <w:rPr>
                <w:sz w:val="27"/>
                <w:szCs w:val="27"/>
              </w:rPr>
              <w:t>3,0-4,5</w:t>
            </w:r>
          </w:p>
        </w:tc>
        <w:tc>
          <w:tcPr>
            <w:tcW w:w="2208" w:type="dxa"/>
            <w:vAlign w:val="center"/>
          </w:tcPr>
          <w:p w:rsidR="00214709" w:rsidRPr="0009144A" w:rsidRDefault="00214709" w:rsidP="00EB3094">
            <w:pPr>
              <w:spacing w:line="300" w:lineRule="auto"/>
              <w:jc w:val="center"/>
              <w:rPr>
                <w:sz w:val="27"/>
                <w:szCs w:val="27"/>
              </w:rPr>
            </w:pPr>
            <w:r w:rsidRPr="0009144A">
              <w:rPr>
                <w:sz w:val="27"/>
                <w:szCs w:val="27"/>
              </w:rPr>
              <w:t>5,5-6,5</w:t>
            </w:r>
          </w:p>
        </w:tc>
      </w:tr>
      <w:tr w:rsidR="00214709" w:rsidRPr="0009144A" w:rsidTr="00EB3094">
        <w:trPr>
          <w:trHeight w:val="863"/>
          <w:jc w:val="center"/>
        </w:trPr>
        <w:tc>
          <w:tcPr>
            <w:tcW w:w="2057" w:type="dxa"/>
            <w:vMerge w:val="restart"/>
            <w:vAlign w:val="center"/>
          </w:tcPr>
          <w:p w:rsidR="00214709" w:rsidRPr="0009144A" w:rsidRDefault="00214709" w:rsidP="00EB3094">
            <w:pPr>
              <w:jc w:val="center"/>
              <w:rPr>
                <w:sz w:val="27"/>
                <w:szCs w:val="27"/>
              </w:rPr>
            </w:pPr>
            <w:r w:rsidRPr="0009144A">
              <w:rPr>
                <w:sz w:val="27"/>
                <w:szCs w:val="27"/>
              </w:rPr>
              <w:t>NHTM</w:t>
            </w:r>
          </w:p>
          <w:p w:rsidR="00214709" w:rsidRPr="0009144A" w:rsidRDefault="00214709" w:rsidP="00EB3094">
            <w:pPr>
              <w:jc w:val="center"/>
              <w:rPr>
                <w:sz w:val="27"/>
                <w:szCs w:val="27"/>
              </w:rPr>
            </w:pPr>
            <w:r w:rsidRPr="0009144A">
              <w:rPr>
                <w:sz w:val="27"/>
                <w:szCs w:val="27"/>
              </w:rPr>
              <w:t>cổ phần</w:t>
            </w:r>
          </w:p>
        </w:tc>
        <w:tc>
          <w:tcPr>
            <w:tcW w:w="2778" w:type="dxa"/>
            <w:vAlign w:val="center"/>
          </w:tcPr>
          <w:p w:rsidR="00214709" w:rsidRPr="0009144A" w:rsidRDefault="00214709" w:rsidP="00EB3094">
            <w:pPr>
              <w:spacing w:line="300" w:lineRule="auto"/>
              <w:rPr>
                <w:sz w:val="27"/>
                <w:szCs w:val="27"/>
              </w:rPr>
            </w:pPr>
            <w:r w:rsidRPr="0009144A">
              <w:rPr>
                <w:sz w:val="27"/>
                <w:szCs w:val="27"/>
              </w:rPr>
              <w:t>VND:</w:t>
            </w:r>
          </w:p>
          <w:p w:rsidR="00214709" w:rsidRPr="0009144A" w:rsidRDefault="00214709" w:rsidP="00EB3094">
            <w:pPr>
              <w:spacing w:line="300" w:lineRule="auto"/>
              <w:rPr>
                <w:sz w:val="27"/>
                <w:szCs w:val="27"/>
              </w:rPr>
            </w:pPr>
            <w:r w:rsidRPr="0009144A">
              <w:rPr>
                <w:sz w:val="27"/>
                <w:szCs w:val="27"/>
              </w:rPr>
              <w:t>- Sản xuất kinh doanh thông thường</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pacing w:line="300" w:lineRule="auto"/>
              <w:jc w:val="center"/>
              <w:rPr>
                <w:sz w:val="27"/>
                <w:szCs w:val="27"/>
              </w:rPr>
            </w:pPr>
            <w:r>
              <w:rPr>
                <w:sz w:val="27"/>
                <w:szCs w:val="27"/>
              </w:rPr>
              <w:t>8,0-9,0</w:t>
            </w:r>
          </w:p>
          <w:p w:rsidR="00214709" w:rsidRPr="0009144A" w:rsidRDefault="00214709" w:rsidP="00EB3094">
            <w:pPr>
              <w:spacing w:line="300" w:lineRule="auto"/>
              <w:rPr>
                <w:sz w:val="27"/>
                <w:szCs w:val="27"/>
              </w:rPr>
            </w:pPr>
          </w:p>
        </w:tc>
        <w:tc>
          <w:tcPr>
            <w:tcW w:w="2208" w:type="dxa"/>
            <w:vAlign w:val="center"/>
          </w:tcPr>
          <w:p w:rsidR="00214709" w:rsidRPr="0009144A" w:rsidRDefault="00214709" w:rsidP="00EB3094">
            <w:pPr>
              <w:spacing w:line="300" w:lineRule="auto"/>
              <w:jc w:val="center"/>
              <w:rPr>
                <w:sz w:val="27"/>
                <w:szCs w:val="27"/>
              </w:rPr>
            </w:pPr>
            <w:r>
              <w:rPr>
                <w:sz w:val="27"/>
                <w:szCs w:val="27"/>
              </w:rPr>
              <w:t>10,0-11,0</w:t>
            </w:r>
          </w:p>
        </w:tc>
      </w:tr>
      <w:tr w:rsidR="00214709" w:rsidRPr="00AD626B" w:rsidTr="00EB3094">
        <w:trPr>
          <w:trHeight w:val="862"/>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jc w:val="both"/>
              <w:rPr>
                <w:sz w:val="27"/>
                <w:szCs w:val="27"/>
              </w:rPr>
            </w:pPr>
            <w:r w:rsidRPr="0009144A">
              <w:rPr>
                <w:sz w:val="27"/>
                <w:szCs w:val="27"/>
              </w:rPr>
              <w:t xml:space="preserve">- Nông nghiệp, nông thôn, xuất khẩu, DN </w:t>
            </w:r>
            <w:r w:rsidRPr="0009144A">
              <w:rPr>
                <w:noProof/>
                <w:spacing w:val="-6"/>
                <w:sz w:val="27"/>
                <w:szCs w:val="27"/>
                <w:lang w:val="it-IT"/>
              </w:rPr>
              <w:t xml:space="preserve">nhỏ và vừa, công nghiệp hỗ trợ, DN ứng dụng công nghệ cao </w:t>
            </w:r>
            <w:r w:rsidRPr="0009144A">
              <w:rPr>
                <w:spacing w:val="4"/>
                <w:sz w:val="27"/>
                <w:szCs w:val="27"/>
              </w:rPr>
              <w:t xml:space="preserve"> </w:t>
            </w:r>
            <w:r w:rsidRPr="0009144A">
              <w:rPr>
                <w:sz w:val="27"/>
                <w:szCs w:val="27"/>
              </w:rPr>
              <w:t xml:space="preserve"> </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pacing w:line="300" w:lineRule="auto"/>
              <w:jc w:val="center"/>
              <w:rPr>
                <w:sz w:val="27"/>
                <w:szCs w:val="27"/>
              </w:rPr>
            </w:pPr>
          </w:p>
          <w:p w:rsidR="00214709" w:rsidRPr="00AD626B" w:rsidRDefault="00214709" w:rsidP="00EB3094">
            <w:pPr>
              <w:spacing w:line="300" w:lineRule="auto"/>
              <w:jc w:val="center"/>
              <w:rPr>
                <w:sz w:val="27"/>
                <w:szCs w:val="27"/>
              </w:rPr>
            </w:pPr>
            <w:r w:rsidRPr="00AD626B">
              <w:rPr>
                <w:sz w:val="27"/>
                <w:szCs w:val="27"/>
              </w:rPr>
              <w:t>7,0</w:t>
            </w:r>
          </w:p>
          <w:p w:rsidR="00214709" w:rsidRPr="0009144A" w:rsidRDefault="00214709" w:rsidP="00EB3094">
            <w:pPr>
              <w:spacing w:line="300" w:lineRule="auto"/>
              <w:jc w:val="center"/>
              <w:rPr>
                <w:sz w:val="27"/>
                <w:szCs w:val="27"/>
              </w:rPr>
            </w:pPr>
          </w:p>
        </w:tc>
        <w:tc>
          <w:tcPr>
            <w:tcW w:w="2208" w:type="dxa"/>
            <w:vAlign w:val="center"/>
          </w:tcPr>
          <w:p w:rsidR="00214709" w:rsidRPr="00AD626B" w:rsidRDefault="00214709" w:rsidP="00EB3094">
            <w:pPr>
              <w:spacing w:line="300" w:lineRule="auto"/>
              <w:jc w:val="center"/>
              <w:rPr>
                <w:sz w:val="27"/>
                <w:szCs w:val="27"/>
              </w:rPr>
            </w:pPr>
            <w:r>
              <w:rPr>
                <w:sz w:val="27"/>
                <w:szCs w:val="27"/>
              </w:rPr>
              <w:t>10,0</w:t>
            </w:r>
            <w:r w:rsidRPr="00AD626B">
              <w:rPr>
                <w:sz w:val="27"/>
                <w:szCs w:val="27"/>
              </w:rPr>
              <w:t>-11</w:t>
            </w:r>
            <w:r>
              <w:rPr>
                <w:sz w:val="27"/>
                <w:szCs w:val="27"/>
              </w:rPr>
              <w:t>,0</w:t>
            </w:r>
          </w:p>
        </w:tc>
      </w:tr>
      <w:tr w:rsidR="00214709" w:rsidRPr="0009144A" w:rsidTr="00EB3094">
        <w:trPr>
          <w:trHeight w:val="469"/>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rPr>
                <w:sz w:val="27"/>
                <w:szCs w:val="27"/>
              </w:rPr>
            </w:pPr>
            <w:r w:rsidRPr="0009144A">
              <w:rPr>
                <w:sz w:val="27"/>
                <w:szCs w:val="27"/>
              </w:rPr>
              <w:t>USD:</w:t>
            </w:r>
          </w:p>
        </w:tc>
        <w:tc>
          <w:tcPr>
            <w:tcW w:w="2477" w:type="dxa"/>
            <w:vAlign w:val="center"/>
          </w:tcPr>
          <w:p w:rsidR="00214709" w:rsidRPr="0009144A" w:rsidRDefault="00214709" w:rsidP="00EB3094">
            <w:pPr>
              <w:spacing w:line="300" w:lineRule="auto"/>
              <w:jc w:val="center"/>
              <w:rPr>
                <w:sz w:val="27"/>
                <w:szCs w:val="27"/>
              </w:rPr>
            </w:pPr>
            <w:r w:rsidRPr="0009144A">
              <w:rPr>
                <w:sz w:val="27"/>
                <w:szCs w:val="27"/>
              </w:rPr>
              <w:t>4,5-6,0</w:t>
            </w:r>
          </w:p>
        </w:tc>
        <w:tc>
          <w:tcPr>
            <w:tcW w:w="2208" w:type="dxa"/>
            <w:vAlign w:val="center"/>
          </w:tcPr>
          <w:p w:rsidR="00214709" w:rsidRPr="0009144A" w:rsidRDefault="00214709" w:rsidP="00EB3094">
            <w:pPr>
              <w:spacing w:line="300" w:lineRule="auto"/>
              <w:jc w:val="center"/>
              <w:rPr>
                <w:sz w:val="27"/>
                <w:szCs w:val="27"/>
              </w:rPr>
            </w:pPr>
            <w:r w:rsidRPr="0009144A">
              <w:rPr>
                <w:sz w:val="27"/>
                <w:szCs w:val="27"/>
              </w:rPr>
              <w:t>6,0-7,0</w:t>
            </w:r>
          </w:p>
        </w:tc>
      </w:tr>
    </w:tbl>
    <w:p w:rsidR="0018692E" w:rsidRDefault="0018692E" w:rsidP="004F7622">
      <w:pPr>
        <w:spacing w:after="120" w:line="264" w:lineRule="auto"/>
        <w:ind w:firstLine="720"/>
        <w:jc w:val="both"/>
        <w:rPr>
          <w:b/>
          <w:sz w:val="28"/>
          <w:szCs w:val="28"/>
        </w:rPr>
      </w:pPr>
    </w:p>
    <w:p w:rsidR="00983E59" w:rsidRPr="0018692E" w:rsidRDefault="00983E59" w:rsidP="004F7622">
      <w:pPr>
        <w:spacing w:after="120" w:line="264" w:lineRule="auto"/>
        <w:ind w:firstLine="720"/>
        <w:jc w:val="both"/>
        <w:rPr>
          <w:b/>
          <w:sz w:val="28"/>
          <w:szCs w:val="28"/>
        </w:rPr>
      </w:pPr>
      <w:r w:rsidRPr="0018692E">
        <w:rPr>
          <w:b/>
          <w:sz w:val="28"/>
          <w:szCs w:val="28"/>
        </w:rPr>
        <w:t>2. Hoạt động của thị trường liên ngân hàng</w:t>
      </w:r>
    </w:p>
    <w:p w:rsidR="004F7622" w:rsidRPr="0002393D" w:rsidRDefault="00983E59" w:rsidP="004F7622">
      <w:pPr>
        <w:spacing w:after="120" w:line="264" w:lineRule="auto"/>
        <w:ind w:firstLine="720"/>
        <w:jc w:val="both"/>
        <w:rPr>
          <w:b/>
          <w:color w:val="000000"/>
          <w:sz w:val="28"/>
          <w:szCs w:val="28"/>
        </w:rPr>
      </w:pPr>
      <w:r w:rsidRPr="0018692E">
        <w:rPr>
          <w:b/>
          <w:i/>
          <w:color w:val="000000"/>
          <w:sz w:val="28"/>
          <w:szCs w:val="28"/>
        </w:rPr>
        <w:t>2.1</w:t>
      </w:r>
      <w:r w:rsidR="004F7622" w:rsidRPr="0018692E">
        <w:rPr>
          <w:b/>
          <w:i/>
          <w:color w:val="000000"/>
          <w:sz w:val="28"/>
          <w:szCs w:val="28"/>
        </w:rPr>
        <w:t>. Về doanh số giao dịch</w:t>
      </w:r>
      <w:r w:rsidR="004F7622" w:rsidRPr="0002393D">
        <w:rPr>
          <w:b/>
          <w:color w:val="000000"/>
          <w:sz w:val="28"/>
          <w:szCs w:val="28"/>
        </w:rPr>
        <w:t xml:space="preserve">: </w:t>
      </w:r>
    </w:p>
    <w:p w:rsidR="004F7622" w:rsidRPr="0002393D" w:rsidRDefault="004F7622" w:rsidP="004F7622">
      <w:pPr>
        <w:spacing w:after="120" w:line="264" w:lineRule="auto"/>
        <w:ind w:firstLine="720"/>
        <w:jc w:val="both"/>
        <w:rPr>
          <w:sz w:val="28"/>
          <w:szCs w:val="28"/>
        </w:rPr>
      </w:pPr>
      <w:r w:rsidRPr="0002393D">
        <w:rPr>
          <w:color w:val="000000"/>
          <w:sz w:val="28"/>
          <w:szCs w:val="28"/>
        </w:rPr>
        <w:t xml:space="preserve">Theo báo cáo của các TCTD, chi nhánh ngân hàng nước ngoài qua hệ thống báo cáo thống kê, tổng doanh số giao dịch trên thị trường liên ngân hàng trong kỳ bằng VND đạt xấp xỉ 127.986 </w:t>
      </w:r>
      <w:r w:rsidRPr="0002393D">
        <w:rPr>
          <w:sz w:val="28"/>
          <w:szCs w:val="28"/>
        </w:rPr>
        <w:t>tỷ đồng (</w:t>
      </w:r>
      <w:r w:rsidRPr="0002393D">
        <w:rPr>
          <w:color w:val="000000"/>
          <w:sz w:val="28"/>
          <w:szCs w:val="28"/>
        </w:rPr>
        <w:t xml:space="preserve">bình quân 25.597 </w:t>
      </w:r>
      <w:r w:rsidRPr="0002393D">
        <w:rPr>
          <w:sz w:val="28"/>
          <w:szCs w:val="28"/>
        </w:rPr>
        <w:t>tỷ đồng/ngày), tăng 20.609 tỷ đồng so với tuần từ 09– 13/3/2015; bằng USD quy đổi ra VND đạt 56.800 tỷ đồng (bình quân khoảng 11.360 tỷ đồng/ngày), tăng 15.823 tỷ  đồng so với tuần trước đó.</w:t>
      </w:r>
    </w:p>
    <w:p w:rsidR="004F7622" w:rsidRPr="0002393D" w:rsidRDefault="00983E59" w:rsidP="004F7622">
      <w:pPr>
        <w:spacing w:after="120" w:line="264" w:lineRule="auto"/>
        <w:ind w:firstLine="720"/>
        <w:jc w:val="both"/>
        <w:rPr>
          <w:color w:val="000000"/>
          <w:sz w:val="28"/>
          <w:szCs w:val="28"/>
        </w:rPr>
      </w:pPr>
      <w:r w:rsidRPr="0002393D">
        <w:rPr>
          <w:color w:val="000000"/>
          <w:sz w:val="28"/>
          <w:szCs w:val="28"/>
        </w:rPr>
        <w:t>C</w:t>
      </w:r>
      <w:r w:rsidR="004F7622" w:rsidRPr="0002393D">
        <w:rPr>
          <w:color w:val="000000"/>
          <w:sz w:val="28"/>
          <w:szCs w:val="28"/>
        </w:rPr>
        <w:t>ác giao dịch VND chủ yếu tập trung vào kỳ hạn 1 tuần (chiếm 31%) và qua đêm (25%). Đối với giao dịch USD, kỳ hạn có doanh số lớn nhất là kỳ hạn qua đêm và 1 tuần với tỷ trọng lần lượt là 40% và 18% tổng doanh số giao dịch bằng USD.</w:t>
      </w:r>
    </w:p>
    <w:p w:rsidR="004F7622" w:rsidRPr="0002393D" w:rsidRDefault="004F7622" w:rsidP="004F7622">
      <w:pPr>
        <w:spacing w:after="120" w:line="264" w:lineRule="auto"/>
        <w:ind w:firstLine="720"/>
        <w:jc w:val="both"/>
        <w:rPr>
          <w:b/>
          <w:color w:val="000000"/>
          <w:sz w:val="28"/>
          <w:szCs w:val="28"/>
        </w:rPr>
      </w:pPr>
      <w:r w:rsidRPr="0018692E">
        <w:rPr>
          <w:b/>
          <w:i/>
          <w:color w:val="000000"/>
          <w:sz w:val="28"/>
          <w:szCs w:val="28"/>
        </w:rPr>
        <w:t>2.</w:t>
      </w:r>
      <w:r w:rsidR="00983E59" w:rsidRPr="0018692E">
        <w:rPr>
          <w:b/>
          <w:i/>
          <w:color w:val="000000"/>
          <w:sz w:val="28"/>
          <w:szCs w:val="28"/>
        </w:rPr>
        <w:t>2. L</w:t>
      </w:r>
      <w:r w:rsidRPr="0018692E">
        <w:rPr>
          <w:b/>
          <w:i/>
          <w:color w:val="000000"/>
          <w:sz w:val="28"/>
          <w:szCs w:val="28"/>
        </w:rPr>
        <w:t>ãi suất</w:t>
      </w:r>
      <w:r w:rsidR="00983E59" w:rsidRPr="0018692E">
        <w:rPr>
          <w:b/>
          <w:i/>
          <w:color w:val="000000"/>
          <w:sz w:val="28"/>
          <w:szCs w:val="28"/>
        </w:rPr>
        <w:t xml:space="preserve"> bình quân liên ngân hàng</w:t>
      </w:r>
      <w:r w:rsidRPr="0002393D">
        <w:rPr>
          <w:b/>
          <w:color w:val="000000"/>
          <w:sz w:val="28"/>
          <w:szCs w:val="28"/>
        </w:rPr>
        <w:t>:</w:t>
      </w:r>
    </w:p>
    <w:p w:rsidR="004F7622" w:rsidRPr="0002393D" w:rsidRDefault="004F7622" w:rsidP="004F7622">
      <w:pPr>
        <w:spacing w:after="120" w:line="264" w:lineRule="auto"/>
        <w:ind w:firstLine="720"/>
        <w:jc w:val="both"/>
        <w:rPr>
          <w:sz w:val="28"/>
          <w:szCs w:val="28"/>
        </w:rPr>
      </w:pPr>
      <w:r w:rsidRPr="0002393D">
        <w:rPr>
          <w:sz w:val="28"/>
          <w:szCs w:val="28"/>
        </w:rPr>
        <w:t xml:space="preserve">- Đối với các giao dịch bằng VND: </w:t>
      </w:r>
      <w:r w:rsidR="00983E59" w:rsidRPr="0002393D">
        <w:rPr>
          <w:sz w:val="28"/>
          <w:szCs w:val="28"/>
        </w:rPr>
        <w:t>L</w:t>
      </w:r>
      <w:r w:rsidRPr="0002393D">
        <w:rPr>
          <w:sz w:val="28"/>
          <w:szCs w:val="28"/>
        </w:rPr>
        <w:t xml:space="preserve">ãi suất bình quân trên thị trường liên ngân hàng giảm ở hầu hết các kỳ hạn chủ chốt. Cụ thể, lãi suất bình quân kỳ hạn qua đêm là 4,01%/năm, giảm 0,22%/năm so với tuần trước đó. Lãi suất các kỳ hạn 1 tuần và 1 tháng giảm lần lượt 0,16%/năm và 0,01%/năm. </w:t>
      </w:r>
    </w:p>
    <w:p w:rsidR="004F7622" w:rsidRPr="0002393D" w:rsidRDefault="004F7622" w:rsidP="004F7622">
      <w:pPr>
        <w:spacing w:after="120" w:line="264" w:lineRule="auto"/>
        <w:ind w:firstLine="720"/>
        <w:jc w:val="both"/>
        <w:rPr>
          <w:sz w:val="28"/>
          <w:szCs w:val="28"/>
        </w:rPr>
      </w:pPr>
      <w:r w:rsidRPr="0002393D">
        <w:rPr>
          <w:sz w:val="28"/>
          <w:szCs w:val="28"/>
        </w:rPr>
        <w:t>- Đối với các giao dịch USD</w:t>
      </w:r>
      <w:r w:rsidR="00983E59" w:rsidRPr="0002393D">
        <w:rPr>
          <w:sz w:val="28"/>
          <w:szCs w:val="28"/>
        </w:rPr>
        <w:t>: L</w:t>
      </w:r>
      <w:r w:rsidRPr="0002393D">
        <w:rPr>
          <w:sz w:val="28"/>
          <w:szCs w:val="28"/>
        </w:rPr>
        <w:t>ãi suất giao dịch bình quân trên thị trường liên ngân hàng trong tuần không thay đổi ở kỳ hạn qua đêm, giảm ở các kỳ hạn còn lại dưới 1 tháng và tăng ở các kỳ hạn chủ chốt từ 1 tháng trở lên. Cụ thể, lãi suất bình quân ở kỳ hạn 1 tuần giảm ở mức 0,04%/năm; lãi suất bình quân 1 tháng tăng 0,14%/năm.</w:t>
      </w:r>
    </w:p>
    <w:p w:rsidR="0018692E" w:rsidRDefault="0018692E" w:rsidP="004F7622">
      <w:pPr>
        <w:spacing w:after="120" w:line="264" w:lineRule="auto"/>
        <w:ind w:firstLine="720"/>
        <w:jc w:val="both"/>
        <w:rPr>
          <w:b/>
          <w:color w:val="000000"/>
          <w:sz w:val="28"/>
          <w:szCs w:val="28"/>
        </w:rPr>
      </w:pPr>
    </w:p>
    <w:p w:rsidR="0018692E" w:rsidRDefault="0018692E" w:rsidP="004F7622">
      <w:pPr>
        <w:spacing w:after="120" w:line="264" w:lineRule="auto"/>
        <w:ind w:firstLine="720"/>
        <w:jc w:val="both"/>
        <w:rPr>
          <w:b/>
          <w:color w:val="000000"/>
          <w:sz w:val="28"/>
          <w:szCs w:val="28"/>
        </w:rPr>
      </w:pPr>
    </w:p>
    <w:p w:rsidR="0018692E" w:rsidRDefault="0018692E" w:rsidP="004F7622">
      <w:pPr>
        <w:spacing w:after="120" w:line="264" w:lineRule="auto"/>
        <w:ind w:firstLine="720"/>
        <w:jc w:val="both"/>
        <w:rPr>
          <w:b/>
          <w:color w:val="000000"/>
          <w:sz w:val="28"/>
          <w:szCs w:val="28"/>
        </w:rPr>
      </w:pPr>
    </w:p>
    <w:p w:rsidR="004F7622" w:rsidRPr="0002393D" w:rsidRDefault="00983E59" w:rsidP="004F7622">
      <w:pPr>
        <w:spacing w:after="120" w:line="264" w:lineRule="auto"/>
        <w:ind w:firstLine="720"/>
        <w:jc w:val="both"/>
        <w:rPr>
          <w:color w:val="000000"/>
          <w:sz w:val="28"/>
          <w:szCs w:val="28"/>
        </w:rPr>
      </w:pPr>
      <w:r w:rsidRPr="0018692E">
        <w:rPr>
          <w:b/>
          <w:color w:val="000000"/>
          <w:sz w:val="28"/>
          <w:szCs w:val="28"/>
        </w:rPr>
        <w:lastRenderedPageBreak/>
        <w:t>L</w:t>
      </w:r>
      <w:r w:rsidR="004F7622" w:rsidRPr="0018692E">
        <w:rPr>
          <w:b/>
          <w:color w:val="000000"/>
          <w:sz w:val="28"/>
          <w:szCs w:val="28"/>
        </w:rPr>
        <w:t xml:space="preserve">ãi suất bình quân thị trường liên ngân hàng </w:t>
      </w:r>
      <w:r w:rsidRPr="0018692E">
        <w:rPr>
          <w:b/>
          <w:color w:val="000000"/>
          <w:sz w:val="28"/>
          <w:szCs w:val="28"/>
        </w:rPr>
        <w:t>cụ thể</w:t>
      </w:r>
      <w:r w:rsidR="004F7622" w:rsidRPr="0018692E">
        <w:rPr>
          <w:b/>
          <w:color w:val="000000"/>
          <w:sz w:val="28"/>
          <w:szCs w:val="28"/>
        </w:rPr>
        <w:t xml:space="preserve"> như sau</w:t>
      </w:r>
      <w:r w:rsidR="004F7622" w:rsidRPr="0002393D">
        <w:rPr>
          <w:color w:val="000000"/>
          <w:sz w:val="28"/>
          <w:szCs w:val="28"/>
        </w:rPr>
        <w:t>:</w:t>
      </w:r>
    </w:p>
    <w:tbl>
      <w:tblPr>
        <w:tblW w:w="8926" w:type="dxa"/>
        <w:jc w:val="center"/>
        <w:tblLook w:val="04A0"/>
      </w:tblPr>
      <w:tblGrid>
        <w:gridCol w:w="846"/>
        <w:gridCol w:w="1134"/>
        <w:gridCol w:w="1276"/>
        <w:gridCol w:w="1134"/>
        <w:gridCol w:w="1134"/>
        <w:gridCol w:w="1134"/>
        <w:gridCol w:w="1134"/>
        <w:gridCol w:w="1134"/>
      </w:tblGrid>
      <w:tr w:rsidR="004F7622" w:rsidRPr="0002393D" w:rsidTr="00945247">
        <w:trPr>
          <w:trHeight w:val="342"/>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rPr>
                <w:color w:val="000000"/>
                <w:sz w:val="28"/>
                <w:szCs w:val="28"/>
                <w:lang w:val="vi-VN" w:eastAsia="vi-VN"/>
              </w:rPr>
            </w:pPr>
            <w:r w:rsidRPr="0002393D">
              <w:rPr>
                <w:color w:val="000000"/>
                <w:sz w:val="28"/>
                <w:szCs w:val="28"/>
                <w:lang w:val="vi-VN" w:eastAsia="vi-VN"/>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Qua đêm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1 tuần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2 tuần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1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3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6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9 tháng</w:t>
            </w:r>
          </w:p>
        </w:tc>
      </w:tr>
      <w:tr w:rsidR="004F7622" w:rsidRPr="0002393D" w:rsidTr="00945247">
        <w:trPr>
          <w:trHeight w:val="34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VND</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lang w:eastAsia="vi-VN"/>
              </w:rPr>
            </w:pPr>
            <w:r w:rsidRPr="0002393D">
              <w:rPr>
                <w:color w:val="000000"/>
                <w:sz w:val="28"/>
                <w:szCs w:val="28"/>
              </w:rPr>
              <w:t>4,01</w:t>
            </w:r>
          </w:p>
        </w:tc>
        <w:tc>
          <w:tcPr>
            <w:tcW w:w="1276"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4,24</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4,41</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4,55</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4,59</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4,57</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w:t>
            </w:r>
          </w:p>
        </w:tc>
      </w:tr>
      <w:tr w:rsidR="004F7622" w:rsidRPr="0002393D" w:rsidTr="00945247">
        <w:trPr>
          <w:trHeight w:val="34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USD</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0,23</w:t>
            </w:r>
          </w:p>
        </w:tc>
        <w:tc>
          <w:tcPr>
            <w:tcW w:w="1276"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0,33</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0,40</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0,68</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1,27</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1,89</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w:t>
            </w:r>
          </w:p>
        </w:tc>
      </w:tr>
    </w:tbl>
    <w:p w:rsidR="00D25C12" w:rsidRPr="0002393D" w:rsidRDefault="00D25C12" w:rsidP="00D25C12">
      <w:pPr>
        <w:tabs>
          <w:tab w:val="center" w:pos="2160"/>
          <w:tab w:val="center" w:pos="6480"/>
        </w:tabs>
        <w:spacing w:before="120" w:after="120" w:line="400" w:lineRule="exact"/>
        <w:jc w:val="both"/>
        <w:rPr>
          <w:b/>
          <w:i/>
          <w:sz w:val="28"/>
          <w:szCs w:val="28"/>
        </w:rPr>
      </w:pPr>
      <w:r w:rsidRPr="0018692E">
        <w:rPr>
          <w:b/>
          <w:sz w:val="28"/>
          <w:szCs w:val="28"/>
        </w:rPr>
        <w:t>3</w:t>
      </w:r>
      <w:r w:rsidRPr="0002393D">
        <w:rPr>
          <w:b/>
          <w:i/>
          <w:sz w:val="28"/>
          <w:szCs w:val="28"/>
        </w:rPr>
        <w:t>.</w:t>
      </w:r>
      <w:r w:rsidRPr="0018692E">
        <w:rPr>
          <w:b/>
          <w:sz w:val="28"/>
          <w:szCs w:val="28"/>
        </w:rPr>
        <w:t>Thị trường ngoại hối</w:t>
      </w:r>
    </w:p>
    <w:p w:rsidR="009E6C04" w:rsidRPr="0002393D" w:rsidRDefault="009E6C04" w:rsidP="009E6C04">
      <w:pPr>
        <w:tabs>
          <w:tab w:val="center" w:pos="2160"/>
          <w:tab w:val="center" w:pos="6480"/>
        </w:tabs>
        <w:spacing w:before="120" w:after="120" w:line="400" w:lineRule="exact"/>
        <w:ind w:firstLine="539"/>
        <w:jc w:val="both"/>
        <w:rPr>
          <w:sz w:val="28"/>
          <w:szCs w:val="28"/>
        </w:rPr>
      </w:pPr>
      <w:r w:rsidRPr="0002393D">
        <w:rPr>
          <w:sz w:val="28"/>
          <w:szCs w:val="28"/>
        </w:rPr>
        <w:t>T</w:t>
      </w:r>
      <w:r w:rsidR="00983E59" w:rsidRPr="0002393D">
        <w:rPr>
          <w:sz w:val="28"/>
          <w:szCs w:val="28"/>
        </w:rPr>
        <w:t>rong tuần từ 16-20/3</w:t>
      </w:r>
      <w:r w:rsidRPr="0002393D">
        <w:rPr>
          <w:sz w:val="28"/>
          <w:szCs w:val="28"/>
        </w:rPr>
        <w:t xml:space="preserve">, trên website của Ngân hàng TMCP Ngoại thương, tỷ giá mua, bán VND/USD niêm yết (vào cuối ngày) có diễn biến tăng so với tuần trước, xoay quanh mức 21.450/21.510 VND/USD. Ngày cuối tuần (20/3), tỷ giá niêm yết ở mức 21.460/520 VND/USD, </w:t>
      </w:r>
      <w:r w:rsidRPr="0002393D">
        <w:rPr>
          <w:sz w:val="28"/>
          <w:szCs w:val="28"/>
          <w:lang w:eastAsia="ar-SA"/>
        </w:rPr>
        <w:t>tăng 115 VND/USD giá mua vào và tăng 125 VND/USD giá bán ra so với mức 21.345/21.395 VND/USD ngày cuối tuần trước (13/3)</w:t>
      </w:r>
      <w:r w:rsidRPr="0002393D">
        <w:rPr>
          <w:sz w:val="28"/>
          <w:szCs w:val="28"/>
        </w:rPr>
        <w:t xml:space="preserve">. </w:t>
      </w:r>
    </w:p>
    <w:p w:rsidR="00312F2E" w:rsidRDefault="009D28F8" w:rsidP="0002393D">
      <w:pPr>
        <w:tabs>
          <w:tab w:val="left" w:pos="4452"/>
        </w:tabs>
        <w:spacing w:before="120" w:after="120"/>
        <w:ind w:firstLine="567"/>
        <w:jc w:val="both"/>
        <w:rPr>
          <w:b/>
          <w:sz w:val="28"/>
          <w:szCs w:val="28"/>
        </w:rPr>
      </w:pPr>
      <w:r w:rsidRPr="0002393D">
        <w:rPr>
          <w:sz w:val="28"/>
          <w:szCs w:val="28"/>
          <w:lang w:val="sv-SE"/>
        </w:rPr>
        <w:t xml:space="preserve">          </w:t>
      </w:r>
      <w:r w:rsidR="00266CCB" w:rsidRPr="00E30338">
        <w:rPr>
          <w:i/>
          <w:spacing w:val="-4"/>
          <w:sz w:val="28"/>
          <w:szCs w:val="28"/>
          <w:lang w:val="it-IT"/>
        </w:rPr>
        <w:t xml:space="preserve">  </w:t>
      </w:r>
      <w:r w:rsidR="0002393D">
        <w:rPr>
          <w:i/>
          <w:spacing w:val="-4"/>
          <w:sz w:val="28"/>
          <w:szCs w:val="28"/>
          <w:lang w:val="it-IT"/>
        </w:rPr>
        <w:t xml:space="preserve">    </w:t>
      </w:r>
      <w:r w:rsidR="00996F47">
        <w:rPr>
          <w:b/>
          <w:sz w:val="28"/>
          <w:szCs w:val="28"/>
        </w:rPr>
        <w:t xml:space="preserve">  </w:t>
      </w:r>
      <w:r w:rsidR="00996F47">
        <w:rPr>
          <w:b/>
          <w:sz w:val="28"/>
          <w:szCs w:val="28"/>
        </w:rPr>
        <w:tab/>
      </w:r>
      <w:r w:rsidR="008B5101">
        <w:rPr>
          <w:b/>
          <w:sz w:val="28"/>
          <w:szCs w:val="28"/>
        </w:rPr>
        <w:tab/>
      </w:r>
      <w:r w:rsidR="0002393D">
        <w:rPr>
          <w:b/>
          <w:sz w:val="28"/>
          <w:szCs w:val="28"/>
        </w:rPr>
        <w:t xml:space="preserve">                                </w:t>
      </w:r>
      <w:r w:rsidR="00BF6F90" w:rsidRPr="00C07C6F">
        <w:rPr>
          <w:b/>
          <w:sz w:val="28"/>
          <w:szCs w:val="28"/>
        </w:rPr>
        <w:t xml:space="preserve"> </w:t>
      </w:r>
      <w:r w:rsidR="0057764C" w:rsidRPr="00C07C6F">
        <w:rPr>
          <w:b/>
          <w:sz w:val="28"/>
          <w:szCs w:val="28"/>
        </w:rPr>
        <w:t>NHNN VN</w:t>
      </w:r>
    </w:p>
    <w:sectPr w:rsidR="00312F2E" w:rsidSect="007963E5">
      <w:footerReference w:type="even" r:id="rId7"/>
      <w:footerReference w:type="default" r:id="rId8"/>
      <w:pgSz w:w="11907" w:h="16840" w:code="9"/>
      <w:pgMar w:top="1152" w:right="1138" w:bottom="1138"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4A" w:rsidRDefault="00273E4A">
      <w:r>
        <w:separator/>
      </w:r>
    </w:p>
  </w:endnote>
  <w:endnote w:type="continuationSeparator" w:id="1">
    <w:p w:rsidR="00273E4A" w:rsidRDefault="0027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40" w:rsidRDefault="00BF30C1" w:rsidP="00312F2E">
    <w:pPr>
      <w:pStyle w:val="Footer"/>
      <w:framePr w:wrap="around" w:vAnchor="text" w:hAnchor="margin" w:xAlign="center" w:y="1"/>
      <w:rPr>
        <w:rStyle w:val="PageNumber"/>
      </w:rPr>
    </w:pPr>
    <w:r>
      <w:rPr>
        <w:rStyle w:val="PageNumber"/>
      </w:rPr>
      <w:fldChar w:fldCharType="begin"/>
    </w:r>
    <w:r w:rsidR="00002540">
      <w:rPr>
        <w:rStyle w:val="PageNumber"/>
      </w:rPr>
      <w:instrText xml:space="preserve">PAGE  </w:instrText>
    </w:r>
    <w:r>
      <w:rPr>
        <w:rStyle w:val="PageNumber"/>
      </w:rPr>
      <w:fldChar w:fldCharType="end"/>
    </w:r>
  </w:p>
  <w:p w:rsidR="00002540" w:rsidRDefault="00002540" w:rsidP="00312F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40" w:rsidRPr="00D10638" w:rsidRDefault="00BF30C1" w:rsidP="00312F2E">
    <w:pPr>
      <w:pStyle w:val="Footer"/>
      <w:framePr w:wrap="around" w:vAnchor="text" w:hAnchor="margin" w:xAlign="center" w:y="1"/>
      <w:rPr>
        <w:rStyle w:val="PageNumber"/>
        <w:sz w:val="20"/>
        <w:szCs w:val="20"/>
      </w:rPr>
    </w:pPr>
    <w:r w:rsidRPr="00D10638">
      <w:rPr>
        <w:rStyle w:val="PageNumber"/>
        <w:sz w:val="20"/>
        <w:szCs w:val="20"/>
      </w:rPr>
      <w:fldChar w:fldCharType="begin"/>
    </w:r>
    <w:r w:rsidR="00002540" w:rsidRPr="00D10638">
      <w:rPr>
        <w:rStyle w:val="PageNumber"/>
        <w:sz w:val="20"/>
        <w:szCs w:val="20"/>
      </w:rPr>
      <w:instrText xml:space="preserve">PAGE  </w:instrText>
    </w:r>
    <w:r w:rsidRPr="00D10638">
      <w:rPr>
        <w:rStyle w:val="PageNumber"/>
        <w:sz w:val="20"/>
        <w:szCs w:val="20"/>
      </w:rPr>
      <w:fldChar w:fldCharType="separate"/>
    </w:r>
    <w:r w:rsidR="00DE70C3">
      <w:rPr>
        <w:rStyle w:val="PageNumber"/>
        <w:noProof/>
        <w:sz w:val="20"/>
        <w:szCs w:val="20"/>
      </w:rPr>
      <w:t>1</w:t>
    </w:r>
    <w:r w:rsidRPr="00D10638">
      <w:rPr>
        <w:rStyle w:val="PageNumber"/>
        <w:sz w:val="20"/>
        <w:szCs w:val="20"/>
      </w:rPr>
      <w:fldChar w:fldCharType="end"/>
    </w:r>
  </w:p>
  <w:p w:rsidR="00002540" w:rsidRDefault="00002540" w:rsidP="00312F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4A" w:rsidRDefault="00273E4A">
      <w:r>
        <w:separator/>
      </w:r>
    </w:p>
  </w:footnote>
  <w:footnote w:type="continuationSeparator" w:id="1">
    <w:p w:rsidR="00273E4A" w:rsidRDefault="00273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500"/>
    <w:multiLevelType w:val="hybridMultilevel"/>
    <w:tmpl w:val="9B6059B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C6A22"/>
    <w:multiLevelType w:val="hybridMultilevel"/>
    <w:tmpl w:val="BAC8228E"/>
    <w:lvl w:ilvl="0" w:tplc="436E670C">
      <w:start w:val="2"/>
      <w:numFmt w:val="bullet"/>
      <w:lvlText w:val="-"/>
      <w:lvlJc w:val="left"/>
      <w:pPr>
        <w:ind w:left="720" w:hanging="360"/>
      </w:pPr>
      <w:rPr>
        <w:rFonts w:ascii="Arial Narrow" w:eastAsia="SimSun" w:hAnsi="Arial Narrow"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32F4FCF"/>
    <w:multiLevelType w:val="hybridMultilevel"/>
    <w:tmpl w:val="D1B0F60A"/>
    <w:lvl w:ilvl="0" w:tplc="4EACAB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894DA4"/>
    <w:multiLevelType w:val="hybridMultilevel"/>
    <w:tmpl w:val="FD404592"/>
    <w:lvl w:ilvl="0" w:tplc="FF82C7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FF7579"/>
    <w:multiLevelType w:val="multilevel"/>
    <w:tmpl w:val="C4D241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5">
    <w:nsid w:val="3FB420C9"/>
    <w:multiLevelType w:val="hybridMultilevel"/>
    <w:tmpl w:val="075E0AF2"/>
    <w:lvl w:ilvl="0" w:tplc="7220A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AF1154"/>
    <w:multiLevelType w:val="hybridMultilevel"/>
    <w:tmpl w:val="37E49362"/>
    <w:lvl w:ilvl="0" w:tplc="9C586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C7C71"/>
    <w:multiLevelType w:val="hybridMultilevel"/>
    <w:tmpl w:val="0BAADF58"/>
    <w:lvl w:ilvl="0" w:tplc="607AAFF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312F2E"/>
    <w:rsid w:val="00002540"/>
    <w:rsid w:val="00003391"/>
    <w:rsid w:val="0000366B"/>
    <w:rsid w:val="00010086"/>
    <w:rsid w:val="00022B17"/>
    <w:rsid w:val="0002393D"/>
    <w:rsid w:val="00024094"/>
    <w:rsid w:val="00024D5E"/>
    <w:rsid w:val="0003035B"/>
    <w:rsid w:val="00032356"/>
    <w:rsid w:val="00034DCD"/>
    <w:rsid w:val="00040718"/>
    <w:rsid w:val="000445B7"/>
    <w:rsid w:val="0004577F"/>
    <w:rsid w:val="00046151"/>
    <w:rsid w:val="00046210"/>
    <w:rsid w:val="000477B2"/>
    <w:rsid w:val="00047C3E"/>
    <w:rsid w:val="00052516"/>
    <w:rsid w:val="00052F73"/>
    <w:rsid w:val="00054128"/>
    <w:rsid w:val="000549D2"/>
    <w:rsid w:val="0006406F"/>
    <w:rsid w:val="0006514C"/>
    <w:rsid w:val="00065352"/>
    <w:rsid w:val="000705F7"/>
    <w:rsid w:val="000755AE"/>
    <w:rsid w:val="0007605A"/>
    <w:rsid w:val="0007628E"/>
    <w:rsid w:val="00081F6E"/>
    <w:rsid w:val="000903FF"/>
    <w:rsid w:val="000955AD"/>
    <w:rsid w:val="00095EDF"/>
    <w:rsid w:val="0009743D"/>
    <w:rsid w:val="000A1BDC"/>
    <w:rsid w:val="000A20A5"/>
    <w:rsid w:val="000A66C7"/>
    <w:rsid w:val="000B00F2"/>
    <w:rsid w:val="000B4733"/>
    <w:rsid w:val="000C132D"/>
    <w:rsid w:val="000C25F7"/>
    <w:rsid w:val="000C2FFE"/>
    <w:rsid w:val="000C3C97"/>
    <w:rsid w:val="000C65C8"/>
    <w:rsid w:val="000D1A7F"/>
    <w:rsid w:val="000D1AA2"/>
    <w:rsid w:val="000D5D56"/>
    <w:rsid w:val="000E00D6"/>
    <w:rsid w:val="000E1DFD"/>
    <w:rsid w:val="000E242F"/>
    <w:rsid w:val="000F02CB"/>
    <w:rsid w:val="000F1173"/>
    <w:rsid w:val="001001DD"/>
    <w:rsid w:val="001061DB"/>
    <w:rsid w:val="00106850"/>
    <w:rsid w:val="00110300"/>
    <w:rsid w:val="00110D42"/>
    <w:rsid w:val="0011621F"/>
    <w:rsid w:val="0011764E"/>
    <w:rsid w:val="00125319"/>
    <w:rsid w:val="00127C5A"/>
    <w:rsid w:val="00133DF2"/>
    <w:rsid w:val="001363EF"/>
    <w:rsid w:val="00137EE9"/>
    <w:rsid w:val="00140FB1"/>
    <w:rsid w:val="00141640"/>
    <w:rsid w:val="0014358E"/>
    <w:rsid w:val="0014385C"/>
    <w:rsid w:val="001457BC"/>
    <w:rsid w:val="00146F44"/>
    <w:rsid w:val="00147E34"/>
    <w:rsid w:val="00153C00"/>
    <w:rsid w:val="00155507"/>
    <w:rsid w:val="00155B72"/>
    <w:rsid w:val="00156F96"/>
    <w:rsid w:val="001570A1"/>
    <w:rsid w:val="00157C80"/>
    <w:rsid w:val="00162F2A"/>
    <w:rsid w:val="00166F3C"/>
    <w:rsid w:val="00170EA0"/>
    <w:rsid w:val="00176FFF"/>
    <w:rsid w:val="00185534"/>
    <w:rsid w:val="001863FA"/>
    <w:rsid w:val="0018692E"/>
    <w:rsid w:val="0019485C"/>
    <w:rsid w:val="001A03FC"/>
    <w:rsid w:val="001A08CB"/>
    <w:rsid w:val="001A5420"/>
    <w:rsid w:val="001B1AF9"/>
    <w:rsid w:val="001B2807"/>
    <w:rsid w:val="001C0A50"/>
    <w:rsid w:val="001C6E87"/>
    <w:rsid w:val="001D747D"/>
    <w:rsid w:val="001E5332"/>
    <w:rsid w:val="001E5EC7"/>
    <w:rsid w:val="001E6128"/>
    <w:rsid w:val="001E6C8F"/>
    <w:rsid w:val="001F28C4"/>
    <w:rsid w:val="001F55C3"/>
    <w:rsid w:val="00204092"/>
    <w:rsid w:val="00204E7E"/>
    <w:rsid w:val="00210FA3"/>
    <w:rsid w:val="00211FBD"/>
    <w:rsid w:val="002146E2"/>
    <w:rsid w:val="00214709"/>
    <w:rsid w:val="0021661F"/>
    <w:rsid w:val="00217713"/>
    <w:rsid w:val="002177BB"/>
    <w:rsid w:val="00221BA6"/>
    <w:rsid w:val="00224311"/>
    <w:rsid w:val="00226DB9"/>
    <w:rsid w:val="002342F4"/>
    <w:rsid w:val="00245677"/>
    <w:rsid w:val="00253920"/>
    <w:rsid w:val="00253BBB"/>
    <w:rsid w:val="00256207"/>
    <w:rsid w:val="002630BD"/>
    <w:rsid w:val="00266CCB"/>
    <w:rsid w:val="0026759F"/>
    <w:rsid w:val="00267C1E"/>
    <w:rsid w:val="002734E3"/>
    <w:rsid w:val="00273E4A"/>
    <w:rsid w:val="002800A1"/>
    <w:rsid w:val="00286FB4"/>
    <w:rsid w:val="002877A8"/>
    <w:rsid w:val="002919D0"/>
    <w:rsid w:val="0029371F"/>
    <w:rsid w:val="00295C7D"/>
    <w:rsid w:val="00296675"/>
    <w:rsid w:val="002A0816"/>
    <w:rsid w:val="002A6645"/>
    <w:rsid w:val="002A673C"/>
    <w:rsid w:val="002A733F"/>
    <w:rsid w:val="002B28AB"/>
    <w:rsid w:val="002C0D7B"/>
    <w:rsid w:val="002C1C03"/>
    <w:rsid w:val="002C1EF1"/>
    <w:rsid w:val="002C52CA"/>
    <w:rsid w:val="002C59A4"/>
    <w:rsid w:val="002C6285"/>
    <w:rsid w:val="002D0AFF"/>
    <w:rsid w:val="002D5F7E"/>
    <w:rsid w:val="002D6577"/>
    <w:rsid w:val="002D68E8"/>
    <w:rsid w:val="002E18A8"/>
    <w:rsid w:val="002E225D"/>
    <w:rsid w:val="002E3DEC"/>
    <w:rsid w:val="002E4186"/>
    <w:rsid w:val="002F5A72"/>
    <w:rsid w:val="00302C61"/>
    <w:rsid w:val="00304279"/>
    <w:rsid w:val="003047F5"/>
    <w:rsid w:val="0030580C"/>
    <w:rsid w:val="00310A4C"/>
    <w:rsid w:val="00312F2E"/>
    <w:rsid w:val="00313F1F"/>
    <w:rsid w:val="00317261"/>
    <w:rsid w:val="003212E5"/>
    <w:rsid w:val="00322C40"/>
    <w:rsid w:val="003234C3"/>
    <w:rsid w:val="00324D77"/>
    <w:rsid w:val="00325DC7"/>
    <w:rsid w:val="003320DB"/>
    <w:rsid w:val="003443C5"/>
    <w:rsid w:val="0035759D"/>
    <w:rsid w:val="00365581"/>
    <w:rsid w:val="00367808"/>
    <w:rsid w:val="0037556E"/>
    <w:rsid w:val="00387C15"/>
    <w:rsid w:val="00391ADB"/>
    <w:rsid w:val="00392735"/>
    <w:rsid w:val="00393255"/>
    <w:rsid w:val="003A56DA"/>
    <w:rsid w:val="003B1959"/>
    <w:rsid w:val="003B55BE"/>
    <w:rsid w:val="003B6869"/>
    <w:rsid w:val="003B6A9A"/>
    <w:rsid w:val="003C0802"/>
    <w:rsid w:val="003C3707"/>
    <w:rsid w:val="003C42F7"/>
    <w:rsid w:val="003C560B"/>
    <w:rsid w:val="003C7671"/>
    <w:rsid w:val="003D46F5"/>
    <w:rsid w:val="003D5790"/>
    <w:rsid w:val="003E338B"/>
    <w:rsid w:val="003E34EE"/>
    <w:rsid w:val="003E6CC2"/>
    <w:rsid w:val="003F05B1"/>
    <w:rsid w:val="003F3D90"/>
    <w:rsid w:val="003F507D"/>
    <w:rsid w:val="003F563A"/>
    <w:rsid w:val="003F75A9"/>
    <w:rsid w:val="004025B9"/>
    <w:rsid w:val="00402982"/>
    <w:rsid w:val="00404A71"/>
    <w:rsid w:val="00410596"/>
    <w:rsid w:val="00410D3E"/>
    <w:rsid w:val="00412E83"/>
    <w:rsid w:val="004134D0"/>
    <w:rsid w:val="0041547E"/>
    <w:rsid w:val="004276D6"/>
    <w:rsid w:val="0043165C"/>
    <w:rsid w:val="004377DF"/>
    <w:rsid w:val="00440302"/>
    <w:rsid w:val="00440417"/>
    <w:rsid w:val="00442AB9"/>
    <w:rsid w:val="00442DB4"/>
    <w:rsid w:val="0044510F"/>
    <w:rsid w:val="00451070"/>
    <w:rsid w:val="00451B61"/>
    <w:rsid w:val="00457DC8"/>
    <w:rsid w:val="00461102"/>
    <w:rsid w:val="00463004"/>
    <w:rsid w:val="00466B7A"/>
    <w:rsid w:val="00470796"/>
    <w:rsid w:val="00475B4C"/>
    <w:rsid w:val="004767C7"/>
    <w:rsid w:val="00477C7E"/>
    <w:rsid w:val="00480125"/>
    <w:rsid w:val="00481156"/>
    <w:rsid w:val="00484352"/>
    <w:rsid w:val="0048474D"/>
    <w:rsid w:val="00484BF0"/>
    <w:rsid w:val="0048516A"/>
    <w:rsid w:val="004948AC"/>
    <w:rsid w:val="00495CE3"/>
    <w:rsid w:val="004B02B5"/>
    <w:rsid w:val="004B21BE"/>
    <w:rsid w:val="004B39CF"/>
    <w:rsid w:val="004B4877"/>
    <w:rsid w:val="004B4DFA"/>
    <w:rsid w:val="004B6835"/>
    <w:rsid w:val="004B7457"/>
    <w:rsid w:val="004C083B"/>
    <w:rsid w:val="004C1845"/>
    <w:rsid w:val="004C2522"/>
    <w:rsid w:val="004C293E"/>
    <w:rsid w:val="004C2D7A"/>
    <w:rsid w:val="004C4BC4"/>
    <w:rsid w:val="004C67AE"/>
    <w:rsid w:val="004D19E9"/>
    <w:rsid w:val="004D3577"/>
    <w:rsid w:val="004E1465"/>
    <w:rsid w:val="004F6CA8"/>
    <w:rsid w:val="004F750F"/>
    <w:rsid w:val="004F7622"/>
    <w:rsid w:val="005002D6"/>
    <w:rsid w:val="00500F73"/>
    <w:rsid w:val="0051351F"/>
    <w:rsid w:val="0051723B"/>
    <w:rsid w:val="00520B63"/>
    <w:rsid w:val="005254BA"/>
    <w:rsid w:val="005265B4"/>
    <w:rsid w:val="005272F8"/>
    <w:rsid w:val="00531C11"/>
    <w:rsid w:val="00532895"/>
    <w:rsid w:val="00533808"/>
    <w:rsid w:val="0053508E"/>
    <w:rsid w:val="00535DDF"/>
    <w:rsid w:val="00536091"/>
    <w:rsid w:val="00536682"/>
    <w:rsid w:val="0054046A"/>
    <w:rsid w:val="00540D5A"/>
    <w:rsid w:val="00543521"/>
    <w:rsid w:val="00546809"/>
    <w:rsid w:val="00550F24"/>
    <w:rsid w:val="00556742"/>
    <w:rsid w:val="00556B1F"/>
    <w:rsid w:val="00557A50"/>
    <w:rsid w:val="00560246"/>
    <w:rsid w:val="00566451"/>
    <w:rsid w:val="005674F6"/>
    <w:rsid w:val="00571B80"/>
    <w:rsid w:val="00574C5C"/>
    <w:rsid w:val="0057764C"/>
    <w:rsid w:val="0058313B"/>
    <w:rsid w:val="005851D4"/>
    <w:rsid w:val="00594C29"/>
    <w:rsid w:val="005A3A73"/>
    <w:rsid w:val="005B2C15"/>
    <w:rsid w:val="005B3CBF"/>
    <w:rsid w:val="005B44EB"/>
    <w:rsid w:val="005C2BA3"/>
    <w:rsid w:val="005C2E18"/>
    <w:rsid w:val="005C549B"/>
    <w:rsid w:val="005C7202"/>
    <w:rsid w:val="005D11BC"/>
    <w:rsid w:val="005D3593"/>
    <w:rsid w:val="005D37AB"/>
    <w:rsid w:val="005E3D23"/>
    <w:rsid w:val="005E4B45"/>
    <w:rsid w:val="005E64C1"/>
    <w:rsid w:val="005F185F"/>
    <w:rsid w:val="005F44E2"/>
    <w:rsid w:val="005F4574"/>
    <w:rsid w:val="005F54A4"/>
    <w:rsid w:val="005F56D3"/>
    <w:rsid w:val="005F6EE8"/>
    <w:rsid w:val="005F7080"/>
    <w:rsid w:val="0060039E"/>
    <w:rsid w:val="00600725"/>
    <w:rsid w:val="0060159D"/>
    <w:rsid w:val="006019D8"/>
    <w:rsid w:val="00604C7A"/>
    <w:rsid w:val="00605547"/>
    <w:rsid w:val="0061060C"/>
    <w:rsid w:val="0061535D"/>
    <w:rsid w:val="006211FA"/>
    <w:rsid w:val="006221AC"/>
    <w:rsid w:val="00622EB4"/>
    <w:rsid w:val="006239C0"/>
    <w:rsid w:val="00626FB7"/>
    <w:rsid w:val="0063205D"/>
    <w:rsid w:val="00644BC8"/>
    <w:rsid w:val="0065016B"/>
    <w:rsid w:val="00652876"/>
    <w:rsid w:val="0065432D"/>
    <w:rsid w:val="00654FFC"/>
    <w:rsid w:val="00655DE1"/>
    <w:rsid w:val="00660A4D"/>
    <w:rsid w:val="00663CBC"/>
    <w:rsid w:val="00665175"/>
    <w:rsid w:val="006659C3"/>
    <w:rsid w:val="00665B0F"/>
    <w:rsid w:val="00670862"/>
    <w:rsid w:val="00672672"/>
    <w:rsid w:val="0067493C"/>
    <w:rsid w:val="00676B16"/>
    <w:rsid w:val="006804E1"/>
    <w:rsid w:val="006809F8"/>
    <w:rsid w:val="00685559"/>
    <w:rsid w:val="00685B79"/>
    <w:rsid w:val="006905B3"/>
    <w:rsid w:val="00691A5F"/>
    <w:rsid w:val="00692BD1"/>
    <w:rsid w:val="00694FE6"/>
    <w:rsid w:val="00697121"/>
    <w:rsid w:val="006A4A6A"/>
    <w:rsid w:val="006B072A"/>
    <w:rsid w:val="006B2CFA"/>
    <w:rsid w:val="006C0AA8"/>
    <w:rsid w:val="006C7BBD"/>
    <w:rsid w:val="006D0D6B"/>
    <w:rsid w:val="006D10EA"/>
    <w:rsid w:val="006D3FAE"/>
    <w:rsid w:val="006D5867"/>
    <w:rsid w:val="006D70BB"/>
    <w:rsid w:val="006D7A5D"/>
    <w:rsid w:val="006E09A5"/>
    <w:rsid w:val="006E0BAA"/>
    <w:rsid w:val="006E17D3"/>
    <w:rsid w:val="006E3690"/>
    <w:rsid w:val="006F390C"/>
    <w:rsid w:val="006F4B67"/>
    <w:rsid w:val="006F66E3"/>
    <w:rsid w:val="007010F3"/>
    <w:rsid w:val="007066A3"/>
    <w:rsid w:val="00710935"/>
    <w:rsid w:val="00712483"/>
    <w:rsid w:val="00713BA5"/>
    <w:rsid w:val="00716D4B"/>
    <w:rsid w:val="007271A2"/>
    <w:rsid w:val="00727B55"/>
    <w:rsid w:val="00731953"/>
    <w:rsid w:val="00733C57"/>
    <w:rsid w:val="007373CB"/>
    <w:rsid w:val="00741552"/>
    <w:rsid w:val="0074311B"/>
    <w:rsid w:val="00743E36"/>
    <w:rsid w:val="00747928"/>
    <w:rsid w:val="00747AB1"/>
    <w:rsid w:val="007517E8"/>
    <w:rsid w:val="007518D1"/>
    <w:rsid w:val="0075285C"/>
    <w:rsid w:val="0075428E"/>
    <w:rsid w:val="00756293"/>
    <w:rsid w:val="00761B32"/>
    <w:rsid w:val="00767325"/>
    <w:rsid w:val="00770E1E"/>
    <w:rsid w:val="00772A90"/>
    <w:rsid w:val="007832F4"/>
    <w:rsid w:val="00786BD9"/>
    <w:rsid w:val="007879BA"/>
    <w:rsid w:val="0079083B"/>
    <w:rsid w:val="007963E5"/>
    <w:rsid w:val="007976E4"/>
    <w:rsid w:val="007A3D20"/>
    <w:rsid w:val="007A5DBE"/>
    <w:rsid w:val="007B5260"/>
    <w:rsid w:val="007C0A67"/>
    <w:rsid w:val="007C3C61"/>
    <w:rsid w:val="007C646E"/>
    <w:rsid w:val="007C76D3"/>
    <w:rsid w:val="007D0861"/>
    <w:rsid w:val="007D51F7"/>
    <w:rsid w:val="007D7F94"/>
    <w:rsid w:val="007E1ABF"/>
    <w:rsid w:val="007E4187"/>
    <w:rsid w:val="007E6E63"/>
    <w:rsid w:val="007F7767"/>
    <w:rsid w:val="00802850"/>
    <w:rsid w:val="00815EEF"/>
    <w:rsid w:val="008171C1"/>
    <w:rsid w:val="00821253"/>
    <w:rsid w:val="00824324"/>
    <w:rsid w:val="008276CA"/>
    <w:rsid w:val="008335DC"/>
    <w:rsid w:val="008336B7"/>
    <w:rsid w:val="00833A86"/>
    <w:rsid w:val="00834719"/>
    <w:rsid w:val="00842095"/>
    <w:rsid w:val="00847560"/>
    <w:rsid w:val="00850A18"/>
    <w:rsid w:val="008549B2"/>
    <w:rsid w:val="008549D0"/>
    <w:rsid w:val="0085610D"/>
    <w:rsid w:val="008570B2"/>
    <w:rsid w:val="00857443"/>
    <w:rsid w:val="008617F5"/>
    <w:rsid w:val="00863449"/>
    <w:rsid w:val="0086373E"/>
    <w:rsid w:val="00864B93"/>
    <w:rsid w:val="00864BC6"/>
    <w:rsid w:val="00865895"/>
    <w:rsid w:val="00866CB8"/>
    <w:rsid w:val="00875EAA"/>
    <w:rsid w:val="00877665"/>
    <w:rsid w:val="00877703"/>
    <w:rsid w:val="00881E2E"/>
    <w:rsid w:val="008855DE"/>
    <w:rsid w:val="00887A2F"/>
    <w:rsid w:val="0089023C"/>
    <w:rsid w:val="00890B11"/>
    <w:rsid w:val="008919A4"/>
    <w:rsid w:val="00891E43"/>
    <w:rsid w:val="00891FDD"/>
    <w:rsid w:val="008929B7"/>
    <w:rsid w:val="008A184D"/>
    <w:rsid w:val="008A2C12"/>
    <w:rsid w:val="008A6BB0"/>
    <w:rsid w:val="008A789E"/>
    <w:rsid w:val="008B293F"/>
    <w:rsid w:val="008B4C12"/>
    <w:rsid w:val="008B5101"/>
    <w:rsid w:val="008C174A"/>
    <w:rsid w:val="008C4B15"/>
    <w:rsid w:val="008C7B83"/>
    <w:rsid w:val="008D3D17"/>
    <w:rsid w:val="008D6A9B"/>
    <w:rsid w:val="008E1373"/>
    <w:rsid w:val="008E5825"/>
    <w:rsid w:val="008E7CE1"/>
    <w:rsid w:val="008F27D9"/>
    <w:rsid w:val="008F2D5B"/>
    <w:rsid w:val="008F7857"/>
    <w:rsid w:val="00907892"/>
    <w:rsid w:val="0091069B"/>
    <w:rsid w:val="009114E1"/>
    <w:rsid w:val="00911517"/>
    <w:rsid w:val="00916F49"/>
    <w:rsid w:val="00920A5E"/>
    <w:rsid w:val="00922258"/>
    <w:rsid w:val="009255C5"/>
    <w:rsid w:val="00930DDE"/>
    <w:rsid w:val="00930EB8"/>
    <w:rsid w:val="00931048"/>
    <w:rsid w:val="009325F2"/>
    <w:rsid w:val="00934C11"/>
    <w:rsid w:val="00940C17"/>
    <w:rsid w:val="00941A00"/>
    <w:rsid w:val="00944350"/>
    <w:rsid w:val="00945247"/>
    <w:rsid w:val="00945D36"/>
    <w:rsid w:val="0094764D"/>
    <w:rsid w:val="0095215D"/>
    <w:rsid w:val="00964906"/>
    <w:rsid w:val="0097023F"/>
    <w:rsid w:val="009706F3"/>
    <w:rsid w:val="00970BEA"/>
    <w:rsid w:val="00973A69"/>
    <w:rsid w:val="00977014"/>
    <w:rsid w:val="00982750"/>
    <w:rsid w:val="00983E59"/>
    <w:rsid w:val="0098702F"/>
    <w:rsid w:val="009871DE"/>
    <w:rsid w:val="009873D9"/>
    <w:rsid w:val="00994225"/>
    <w:rsid w:val="00995924"/>
    <w:rsid w:val="00996F47"/>
    <w:rsid w:val="009A1CCE"/>
    <w:rsid w:val="009A37A4"/>
    <w:rsid w:val="009B3ACF"/>
    <w:rsid w:val="009B7E01"/>
    <w:rsid w:val="009B7FB6"/>
    <w:rsid w:val="009C122A"/>
    <w:rsid w:val="009C4A28"/>
    <w:rsid w:val="009C604D"/>
    <w:rsid w:val="009D28F8"/>
    <w:rsid w:val="009D2A9E"/>
    <w:rsid w:val="009D3C8F"/>
    <w:rsid w:val="009D65E2"/>
    <w:rsid w:val="009E080A"/>
    <w:rsid w:val="009E1A51"/>
    <w:rsid w:val="009E4785"/>
    <w:rsid w:val="009E674E"/>
    <w:rsid w:val="009E6C04"/>
    <w:rsid w:val="009E7601"/>
    <w:rsid w:val="009F1010"/>
    <w:rsid w:val="009F15F8"/>
    <w:rsid w:val="009F73E9"/>
    <w:rsid w:val="009F7DCD"/>
    <w:rsid w:val="00A010E3"/>
    <w:rsid w:val="00A0140A"/>
    <w:rsid w:val="00A01EB9"/>
    <w:rsid w:val="00A020A9"/>
    <w:rsid w:val="00A10400"/>
    <w:rsid w:val="00A1112F"/>
    <w:rsid w:val="00A13B75"/>
    <w:rsid w:val="00A15555"/>
    <w:rsid w:val="00A16B0A"/>
    <w:rsid w:val="00A1769B"/>
    <w:rsid w:val="00A2139C"/>
    <w:rsid w:val="00A21A03"/>
    <w:rsid w:val="00A234B6"/>
    <w:rsid w:val="00A257EA"/>
    <w:rsid w:val="00A265D3"/>
    <w:rsid w:val="00A3013A"/>
    <w:rsid w:val="00A32539"/>
    <w:rsid w:val="00A37519"/>
    <w:rsid w:val="00A558B6"/>
    <w:rsid w:val="00A55E29"/>
    <w:rsid w:val="00A607E0"/>
    <w:rsid w:val="00A6325F"/>
    <w:rsid w:val="00A75B8C"/>
    <w:rsid w:val="00A7786E"/>
    <w:rsid w:val="00A81188"/>
    <w:rsid w:val="00A836C7"/>
    <w:rsid w:val="00A9160B"/>
    <w:rsid w:val="00A93D54"/>
    <w:rsid w:val="00AA06AC"/>
    <w:rsid w:val="00AA35ED"/>
    <w:rsid w:val="00AA488D"/>
    <w:rsid w:val="00AA7249"/>
    <w:rsid w:val="00AC081F"/>
    <w:rsid w:val="00AD2FE4"/>
    <w:rsid w:val="00AD3342"/>
    <w:rsid w:val="00AD6350"/>
    <w:rsid w:val="00AD7485"/>
    <w:rsid w:val="00AF1878"/>
    <w:rsid w:val="00AF7E4D"/>
    <w:rsid w:val="00B01622"/>
    <w:rsid w:val="00B0434A"/>
    <w:rsid w:val="00B076D2"/>
    <w:rsid w:val="00B10886"/>
    <w:rsid w:val="00B10D74"/>
    <w:rsid w:val="00B15DDB"/>
    <w:rsid w:val="00B17179"/>
    <w:rsid w:val="00B172CB"/>
    <w:rsid w:val="00B20A91"/>
    <w:rsid w:val="00B216EE"/>
    <w:rsid w:val="00B22B24"/>
    <w:rsid w:val="00B23E7C"/>
    <w:rsid w:val="00B313DB"/>
    <w:rsid w:val="00B32606"/>
    <w:rsid w:val="00B34C2F"/>
    <w:rsid w:val="00B356D4"/>
    <w:rsid w:val="00B363F4"/>
    <w:rsid w:val="00B41048"/>
    <w:rsid w:val="00B4145E"/>
    <w:rsid w:val="00B444CF"/>
    <w:rsid w:val="00B44A28"/>
    <w:rsid w:val="00B44E7E"/>
    <w:rsid w:val="00B459A6"/>
    <w:rsid w:val="00B52BA9"/>
    <w:rsid w:val="00B537BA"/>
    <w:rsid w:val="00B562B4"/>
    <w:rsid w:val="00B5684A"/>
    <w:rsid w:val="00B60083"/>
    <w:rsid w:val="00B66603"/>
    <w:rsid w:val="00B76E48"/>
    <w:rsid w:val="00B8417C"/>
    <w:rsid w:val="00B85D8D"/>
    <w:rsid w:val="00B86494"/>
    <w:rsid w:val="00B90CBB"/>
    <w:rsid w:val="00B93093"/>
    <w:rsid w:val="00B9338F"/>
    <w:rsid w:val="00B9360D"/>
    <w:rsid w:val="00B93B89"/>
    <w:rsid w:val="00B97341"/>
    <w:rsid w:val="00BA4D0E"/>
    <w:rsid w:val="00BA650C"/>
    <w:rsid w:val="00BB38A0"/>
    <w:rsid w:val="00BB50BD"/>
    <w:rsid w:val="00BB5BDE"/>
    <w:rsid w:val="00BB7AEE"/>
    <w:rsid w:val="00BC23A5"/>
    <w:rsid w:val="00BC2459"/>
    <w:rsid w:val="00BC33E4"/>
    <w:rsid w:val="00BC37BB"/>
    <w:rsid w:val="00BC5F9A"/>
    <w:rsid w:val="00BD08B5"/>
    <w:rsid w:val="00BD09C8"/>
    <w:rsid w:val="00BD18F2"/>
    <w:rsid w:val="00BD7D2B"/>
    <w:rsid w:val="00BE0410"/>
    <w:rsid w:val="00BE3966"/>
    <w:rsid w:val="00BE63F5"/>
    <w:rsid w:val="00BE78CE"/>
    <w:rsid w:val="00BF0E47"/>
    <w:rsid w:val="00BF30C1"/>
    <w:rsid w:val="00BF4423"/>
    <w:rsid w:val="00BF4D4A"/>
    <w:rsid w:val="00BF507E"/>
    <w:rsid w:val="00BF56D0"/>
    <w:rsid w:val="00BF69F4"/>
    <w:rsid w:val="00BF6F90"/>
    <w:rsid w:val="00C011E4"/>
    <w:rsid w:val="00C07C6F"/>
    <w:rsid w:val="00C11CE0"/>
    <w:rsid w:val="00C21832"/>
    <w:rsid w:val="00C252BD"/>
    <w:rsid w:val="00C2600D"/>
    <w:rsid w:val="00C30A1E"/>
    <w:rsid w:val="00C40977"/>
    <w:rsid w:val="00C43DEA"/>
    <w:rsid w:val="00C5138F"/>
    <w:rsid w:val="00C54F23"/>
    <w:rsid w:val="00C550A4"/>
    <w:rsid w:val="00C62F27"/>
    <w:rsid w:val="00C6448E"/>
    <w:rsid w:val="00C67D9F"/>
    <w:rsid w:val="00C70569"/>
    <w:rsid w:val="00C74205"/>
    <w:rsid w:val="00C833E8"/>
    <w:rsid w:val="00C84215"/>
    <w:rsid w:val="00C851BF"/>
    <w:rsid w:val="00C904AD"/>
    <w:rsid w:val="00C91EFD"/>
    <w:rsid w:val="00C949A4"/>
    <w:rsid w:val="00C96498"/>
    <w:rsid w:val="00C96EF6"/>
    <w:rsid w:val="00CA5E81"/>
    <w:rsid w:val="00CA75E6"/>
    <w:rsid w:val="00CB03C8"/>
    <w:rsid w:val="00CB0DBD"/>
    <w:rsid w:val="00CB1D11"/>
    <w:rsid w:val="00CB3B66"/>
    <w:rsid w:val="00CB51ED"/>
    <w:rsid w:val="00CC17DE"/>
    <w:rsid w:val="00CC7557"/>
    <w:rsid w:val="00CD0CA7"/>
    <w:rsid w:val="00CD158D"/>
    <w:rsid w:val="00CE083C"/>
    <w:rsid w:val="00CE3769"/>
    <w:rsid w:val="00CF0659"/>
    <w:rsid w:val="00CF212F"/>
    <w:rsid w:val="00CF608F"/>
    <w:rsid w:val="00D010FB"/>
    <w:rsid w:val="00D01C6E"/>
    <w:rsid w:val="00D10FEC"/>
    <w:rsid w:val="00D13BE6"/>
    <w:rsid w:val="00D13F01"/>
    <w:rsid w:val="00D16C5F"/>
    <w:rsid w:val="00D20030"/>
    <w:rsid w:val="00D2280C"/>
    <w:rsid w:val="00D2284B"/>
    <w:rsid w:val="00D23C44"/>
    <w:rsid w:val="00D25C12"/>
    <w:rsid w:val="00D27DEE"/>
    <w:rsid w:val="00D345D6"/>
    <w:rsid w:val="00D37300"/>
    <w:rsid w:val="00D37E38"/>
    <w:rsid w:val="00D4067D"/>
    <w:rsid w:val="00D427EA"/>
    <w:rsid w:val="00D43B63"/>
    <w:rsid w:val="00D46D19"/>
    <w:rsid w:val="00D47C08"/>
    <w:rsid w:val="00D517AD"/>
    <w:rsid w:val="00D51BA8"/>
    <w:rsid w:val="00D52F2B"/>
    <w:rsid w:val="00D568EC"/>
    <w:rsid w:val="00D61FFA"/>
    <w:rsid w:val="00D67F6F"/>
    <w:rsid w:val="00D70CA4"/>
    <w:rsid w:val="00D71055"/>
    <w:rsid w:val="00D73A6F"/>
    <w:rsid w:val="00D81A29"/>
    <w:rsid w:val="00D847FF"/>
    <w:rsid w:val="00D8530C"/>
    <w:rsid w:val="00D855E4"/>
    <w:rsid w:val="00D9032A"/>
    <w:rsid w:val="00DA067A"/>
    <w:rsid w:val="00DA1719"/>
    <w:rsid w:val="00DA1821"/>
    <w:rsid w:val="00DA304C"/>
    <w:rsid w:val="00DA3D43"/>
    <w:rsid w:val="00DA4294"/>
    <w:rsid w:val="00DA57F8"/>
    <w:rsid w:val="00DA6D18"/>
    <w:rsid w:val="00DB17A5"/>
    <w:rsid w:val="00DB6176"/>
    <w:rsid w:val="00DB717B"/>
    <w:rsid w:val="00DB7CD5"/>
    <w:rsid w:val="00DC311B"/>
    <w:rsid w:val="00DC31F5"/>
    <w:rsid w:val="00DC4316"/>
    <w:rsid w:val="00DC71A9"/>
    <w:rsid w:val="00DD4C7A"/>
    <w:rsid w:val="00DD65F0"/>
    <w:rsid w:val="00DD671A"/>
    <w:rsid w:val="00DE3C6B"/>
    <w:rsid w:val="00DE43A9"/>
    <w:rsid w:val="00DE45D7"/>
    <w:rsid w:val="00DE6E06"/>
    <w:rsid w:val="00DE7068"/>
    <w:rsid w:val="00DE70C3"/>
    <w:rsid w:val="00DF44C8"/>
    <w:rsid w:val="00E02272"/>
    <w:rsid w:val="00E03023"/>
    <w:rsid w:val="00E036BC"/>
    <w:rsid w:val="00E04388"/>
    <w:rsid w:val="00E04BCF"/>
    <w:rsid w:val="00E05310"/>
    <w:rsid w:val="00E06E93"/>
    <w:rsid w:val="00E105B8"/>
    <w:rsid w:val="00E13A01"/>
    <w:rsid w:val="00E232A2"/>
    <w:rsid w:val="00E251D4"/>
    <w:rsid w:val="00E25E59"/>
    <w:rsid w:val="00E30338"/>
    <w:rsid w:val="00E31C8F"/>
    <w:rsid w:val="00E31F21"/>
    <w:rsid w:val="00E32365"/>
    <w:rsid w:val="00E347C8"/>
    <w:rsid w:val="00E363FF"/>
    <w:rsid w:val="00E425B4"/>
    <w:rsid w:val="00E431C9"/>
    <w:rsid w:val="00E454CE"/>
    <w:rsid w:val="00E4594D"/>
    <w:rsid w:val="00E4708F"/>
    <w:rsid w:val="00E50891"/>
    <w:rsid w:val="00E53CF5"/>
    <w:rsid w:val="00E55A1E"/>
    <w:rsid w:val="00E55F4A"/>
    <w:rsid w:val="00E5779B"/>
    <w:rsid w:val="00E5788E"/>
    <w:rsid w:val="00E621B4"/>
    <w:rsid w:val="00E65EFC"/>
    <w:rsid w:val="00E674A5"/>
    <w:rsid w:val="00E70D97"/>
    <w:rsid w:val="00E720D9"/>
    <w:rsid w:val="00E73244"/>
    <w:rsid w:val="00E73C91"/>
    <w:rsid w:val="00E7760D"/>
    <w:rsid w:val="00E81FD2"/>
    <w:rsid w:val="00E858A1"/>
    <w:rsid w:val="00E85DF1"/>
    <w:rsid w:val="00E90089"/>
    <w:rsid w:val="00E91128"/>
    <w:rsid w:val="00E92F1D"/>
    <w:rsid w:val="00E93D34"/>
    <w:rsid w:val="00E95432"/>
    <w:rsid w:val="00EA0E65"/>
    <w:rsid w:val="00EA19C1"/>
    <w:rsid w:val="00EA3671"/>
    <w:rsid w:val="00EA5C3D"/>
    <w:rsid w:val="00EA7903"/>
    <w:rsid w:val="00EB1437"/>
    <w:rsid w:val="00EB3094"/>
    <w:rsid w:val="00EB30DD"/>
    <w:rsid w:val="00EB5485"/>
    <w:rsid w:val="00EB57E1"/>
    <w:rsid w:val="00EB64A3"/>
    <w:rsid w:val="00EC2053"/>
    <w:rsid w:val="00EC75C1"/>
    <w:rsid w:val="00ED19E1"/>
    <w:rsid w:val="00ED22A0"/>
    <w:rsid w:val="00ED56F7"/>
    <w:rsid w:val="00ED5892"/>
    <w:rsid w:val="00EE2466"/>
    <w:rsid w:val="00EE7904"/>
    <w:rsid w:val="00EE7F97"/>
    <w:rsid w:val="00EF6330"/>
    <w:rsid w:val="00EF63AA"/>
    <w:rsid w:val="00F0421E"/>
    <w:rsid w:val="00F0472C"/>
    <w:rsid w:val="00F0524D"/>
    <w:rsid w:val="00F05E6A"/>
    <w:rsid w:val="00F05FF6"/>
    <w:rsid w:val="00F062F7"/>
    <w:rsid w:val="00F14217"/>
    <w:rsid w:val="00F23D3E"/>
    <w:rsid w:val="00F25574"/>
    <w:rsid w:val="00F3108B"/>
    <w:rsid w:val="00F32B67"/>
    <w:rsid w:val="00F3451C"/>
    <w:rsid w:val="00F42D54"/>
    <w:rsid w:val="00F42DF6"/>
    <w:rsid w:val="00F4526C"/>
    <w:rsid w:val="00F467B7"/>
    <w:rsid w:val="00F517C4"/>
    <w:rsid w:val="00F52A2A"/>
    <w:rsid w:val="00F56061"/>
    <w:rsid w:val="00F569CF"/>
    <w:rsid w:val="00F63190"/>
    <w:rsid w:val="00F676B8"/>
    <w:rsid w:val="00F7217E"/>
    <w:rsid w:val="00F74E36"/>
    <w:rsid w:val="00F75C1C"/>
    <w:rsid w:val="00F87C51"/>
    <w:rsid w:val="00F97789"/>
    <w:rsid w:val="00F9794A"/>
    <w:rsid w:val="00FA47A1"/>
    <w:rsid w:val="00FC3207"/>
    <w:rsid w:val="00FC441C"/>
    <w:rsid w:val="00FC486E"/>
    <w:rsid w:val="00FD3921"/>
    <w:rsid w:val="00FE77FD"/>
    <w:rsid w:val="00FE7B6F"/>
    <w:rsid w:val="00FF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0C1"/>
    <w:rPr>
      <w:sz w:val="24"/>
      <w:szCs w:val="24"/>
    </w:rPr>
  </w:style>
  <w:style w:type="paragraph" w:styleId="Heading1">
    <w:name w:val="heading 1"/>
    <w:basedOn w:val="Normal"/>
    <w:next w:val="Normal"/>
    <w:qFormat/>
    <w:rsid w:val="00312F2E"/>
    <w:pPr>
      <w:keepNext/>
      <w:spacing w:before="60" w:after="60" w:line="340" w:lineRule="atLeast"/>
      <w:jc w:val="center"/>
      <w:outlineLvl w:val="0"/>
    </w:pPr>
    <w:rPr>
      <w:b/>
      <w:szCs w:val="28"/>
    </w:rPr>
  </w:style>
  <w:style w:type="paragraph" w:styleId="Heading2">
    <w:name w:val="heading 2"/>
    <w:basedOn w:val="Normal"/>
    <w:next w:val="Normal"/>
    <w:qFormat/>
    <w:rsid w:val="00761B3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12F2E"/>
    <w:pPr>
      <w:pageBreakBefore/>
      <w:spacing w:before="100" w:beforeAutospacing="1" w:after="100" w:afterAutospacing="1"/>
    </w:pPr>
    <w:rPr>
      <w:rFonts w:ascii="Tahoma" w:hAnsi="Tahoma" w:cs="Tahoma"/>
      <w:sz w:val="20"/>
      <w:szCs w:val="20"/>
    </w:rPr>
  </w:style>
  <w:style w:type="paragraph" w:styleId="Footer">
    <w:name w:val="footer"/>
    <w:basedOn w:val="Normal"/>
    <w:rsid w:val="00312F2E"/>
    <w:pPr>
      <w:tabs>
        <w:tab w:val="center" w:pos="4320"/>
        <w:tab w:val="right" w:pos="8640"/>
      </w:tabs>
    </w:pPr>
    <w:rPr>
      <w:sz w:val="28"/>
      <w:szCs w:val="28"/>
    </w:rPr>
  </w:style>
  <w:style w:type="character" w:styleId="PageNumber">
    <w:name w:val="page number"/>
    <w:basedOn w:val="DefaultParagraphFont"/>
    <w:rsid w:val="00312F2E"/>
  </w:style>
  <w:style w:type="paragraph" w:customStyle="1" w:styleId="CharCharCharCharCharCharChar">
    <w:name w:val="Char Char Char Char Char Char Char"/>
    <w:basedOn w:val="Normal"/>
    <w:rsid w:val="00EE7F97"/>
    <w:pPr>
      <w:pageBreakBefore/>
      <w:spacing w:before="100" w:beforeAutospacing="1" w:after="100" w:afterAutospacing="1"/>
    </w:pPr>
    <w:rPr>
      <w:rFonts w:ascii="Tahoma" w:hAnsi="Tahoma" w:cs="Tahoma"/>
      <w:sz w:val="20"/>
      <w:szCs w:val="20"/>
    </w:rPr>
  </w:style>
  <w:style w:type="character" w:styleId="Strong">
    <w:name w:val="Strong"/>
    <w:uiPriority w:val="22"/>
    <w:qFormat/>
    <w:rsid w:val="00594C29"/>
    <w:rPr>
      <w:b/>
      <w:bCs/>
    </w:rPr>
  </w:style>
  <w:style w:type="paragraph" w:customStyle="1" w:styleId="yiv1295969056msonormal">
    <w:name w:val="yiv1295969056msonormal"/>
    <w:basedOn w:val="Normal"/>
    <w:rsid w:val="00266CCB"/>
    <w:pPr>
      <w:spacing w:before="100" w:beforeAutospacing="1" w:after="100" w:afterAutospacing="1"/>
    </w:pPr>
  </w:style>
  <w:style w:type="character" w:customStyle="1" w:styleId="apple-converted-space">
    <w:name w:val="apple-converted-space"/>
    <w:basedOn w:val="DefaultParagraphFont"/>
    <w:rsid w:val="00266CCB"/>
  </w:style>
  <w:style w:type="paragraph" w:styleId="NormalWeb">
    <w:name w:val="Normal (Web)"/>
    <w:basedOn w:val="Normal"/>
    <w:uiPriority w:val="99"/>
    <w:rsid w:val="0014358E"/>
    <w:pPr>
      <w:spacing w:before="100" w:beforeAutospacing="1" w:after="100" w:afterAutospacing="1"/>
    </w:pPr>
  </w:style>
  <w:style w:type="paragraph" w:styleId="ListParagraph">
    <w:name w:val="List Paragraph"/>
    <w:basedOn w:val="Normal"/>
    <w:uiPriority w:val="34"/>
    <w:qFormat/>
    <w:rsid w:val="002D5F7E"/>
    <w:pPr>
      <w:ind w:left="720"/>
      <w:contextualSpacing/>
    </w:pPr>
    <w:rPr>
      <w:rFonts w:eastAsia="SimSun" w:cs="Arial"/>
      <w:sz w:val="28"/>
      <w:szCs w:val="28"/>
      <w:lang w:eastAsia="zh-CN"/>
    </w:rPr>
  </w:style>
  <w:style w:type="paragraph" w:styleId="Header">
    <w:name w:val="header"/>
    <w:basedOn w:val="Normal"/>
    <w:link w:val="HeaderChar"/>
    <w:rsid w:val="006809F8"/>
    <w:pPr>
      <w:tabs>
        <w:tab w:val="center" w:pos="4680"/>
        <w:tab w:val="right" w:pos="9360"/>
      </w:tabs>
    </w:pPr>
  </w:style>
  <w:style w:type="character" w:customStyle="1" w:styleId="HeaderChar">
    <w:name w:val="Header Char"/>
    <w:link w:val="Header"/>
    <w:rsid w:val="006809F8"/>
    <w:rPr>
      <w:sz w:val="24"/>
      <w:szCs w:val="24"/>
    </w:rPr>
  </w:style>
</w:styles>
</file>

<file path=word/webSettings.xml><?xml version="1.0" encoding="utf-8"?>
<w:webSettings xmlns:r="http://schemas.openxmlformats.org/officeDocument/2006/relationships" xmlns:w="http://schemas.openxmlformats.org/wordprocessingml/2006/main">
  <w:divs>
    <w:div w:id="412165083">
      <w:bodyDiv w:val="1"/>
      <w:marLeft w:val="0"/>
      <w:marRight w:val="0"/>
      <w:marTop w:val="0"/>
      <w:marBottom w:val="0"/>
      <w:divBdr>
        <w:top w:val="none" w:sz="0" w:space="0" w:color="auto"/>
        <w:left w:val="none" w:sz="0" w:space="0" w:color="auto"/>
        <w:bottom w:val="none" w:sz="0" w:space="0" w:color="auto"/>
        <w:right w:val="none" w:sz="0" w:space="0" w:color="auto"/>
      </w:divBdr>
    </w:div>
    <w:div w:id="870386029">
      <w:bodyDiv w:val="1"/>
      <w:marLeft w:val="0"/>
      <w:marRight w:val="0"/>
      <w:marTop w:val="0"/>
      <w:marBottom w:val="0"/>
      <w:divBdr>
        <w:top w:val="none" w:sz="0" w:space="0" w:color="auto"/>
        <w:left w:val="none" w:sz="0" w:space="0" w:color="auto"/>
        <w:bottom w:val="none" w:sz="0" w:space="0" w:color="auto"/>
        <w:right w:val="none" w:sz="0" w:space="0" w:color="auto"/>
      </w:divBdr>
    </w:div>
    <w:div w:id="877937762">
      <w:bodyDiv w:val="1"/>
      <w:marLeft w:val="0"/>
      <w:marRight w:val="0"/>
      <w:marTop w:val="0"/>
      <w:marBottom w:val="0"/>
      <w:divBdr>
        <w:top w:val="none" w:sz="0" w:space="0" w:color="auto"/>
        <w:left w:val="none" w:sz="0" w:space="0" w:color="auto"/>
        <w:bottom w:val="none" w:sz="0" w:space="0" w:color="auto"/>
        <w:right w:val="none" w:sz="0" w:space="0" w:color="auto"/>
      </w:divBdr>
    </w:div>
    <w:div w:id="936906470">
      <w:bodyDiv w:val="1"/>
      <w:marLeft w:val="0"/>
      <w:marRight w:val="0"/>
      <w:marTop w:val="0"/>
      <w:marBottom w:val="0"/>
      <w:divBdr>
        <w:top w:val="none" w:sz="0" w:space="0" w:color="auto"/>
        <w:left w:val="none" w:sz="0" w:space="0" w:color="auto"/>
        <w:bottom w:val="none" w:sz="0" w:space="0" w:color="auto"/>
        <w:right w:val="none" w:sz="0" w:space="0" w:color="auto"/>
      </w:divBdr>
    </w:div>
    <w:div w:id="15541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Thao</dc:creator>
  <cp:keywords/>
  <cp:lastModifiedBy>dung</cp:lastModifiedBy>
  <cp:revision>3</cp:revision>
  <cp:lastPrinted>2015-01-15T02:01:00Z</cp:lastPrinted>
  <dcterms:created xsi:type="dcterms:W3CDTF">2015-03-25T07:49:00Z</dcterms:created>
  <dcterms:modified xsi:type="dcterms:W3CDTF">2015-03-25T08:13:00Z</dcterms:modified>
</cp:coreProperties>
</file>