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5E9" w:rsidRPr="00455CC5" w:rsidRDefault="00C525E9" w:rsidP="00824AFF">
      <w:pPr>
        <w:spacing w:after="120" w:line="240" w:lineRule="auto"/>
        <w:jc w:val="center"/>
        <w:rPr>
          <w:rFonts w:ascii="Times New Roman" w:hAnsi="Times New Roman"/>
          <w:b/>
          <w:sz w:val="32"/>
          <w:szCs w:val="32"/>
          <w:lang w:val="en-AU"/>
        </w:rPr>
      </w:pPr>
      <w:r w:rsidRPr="00455CC5">
        <w:rPr>
          <w:rFonts w:ascii="Times New Roman" w:hAnsi="Times New Roman"/>
          <w:b/>
          <w:sz w:val="32"/>
          <w:szCs w:val="32"/>
          <w:lang w:val="en-AU"/>
        </w:rPr>
        <w:t xml:space="preserve">BẢN THUYẾT MINH </w:t>
      </w:r>
    </w:p>
    <w:p w:rsidR="00C525E9" w:rsidRPr="002073C8" w:rsidRDefault="00455CC5" w:rsidP="002F0587">
      <w:pPr>
        <w:spacing w:after="0" w:line="240" w:lineRule="auto"/>
        <w:jc w:val="center"/>
        <w:rPr>
          <w:rFonts w:ascii="Times New Roman" w:hAnsi="Times New Roman"/>
          <w:b/>
          <w:sz w:val="28"/>
          <w:szCs w:val="32"/>
        </w:rPr>
      </w:pPr>
      <w:r>
        <w:rPr>
          <w:rFonts w:ascii="Times New Roman" w:hAnsi="Times New Roman"/>
          <w:b/>
          <w:sz w:val="28"/>
          <w:szCs w:val="32"/>
        </w:rPr>
        <w:t xml:space="preserve">Dự thảo </w:t>
      </w:r>
      <w:r w:rsidR="00C525E9" w:rsidRPr="002073C8">
        <w:rPr>
          <w:rFonts w:ascii="Times New Roman" w:hAnsi="Times New Roman"/>
          <w:b/>
          <w:sz w:val="28"/>
          <w:szCs w:val="32"/>
        </w:rPr>
        <w:t>Thông tư quy định về việc thấu chi và cho vay qua đêm trong thanh toán điện tử liên ngân hàng</w:t>
      </w:r>
    </w:p>
    <w:p w:rsidR="00C525E9" w:rsidRPr="002073C8" w:rsidRDefault="009F15D8" w:rsidP="00390DDB">
      <w:pPr>
        <w:spacing w:before="120" w:after="120" w:line="340" w:lineRule="exact"/>
        <w:jc w:val="both"/>
        <w:rPr>
          <w:rFonts w:ascii="Times New Roman" w:hAnsi="Times New Roman"/>
          <w:sz w:val="28"/>
          <w:szCs w:val="28"/>
        </w:rPr>
      </w:pPr>
      <w:r>
        <w:rPr>
          <w:rFonts w:ascii="Times New Roman" w:hAnsi="Times New Roman"/>
          <w:noProof/>
          <w:sz w:val="28"/>
          <w:szCs w:val="28"/>
          <w:lang w:val="vi-VN" w:eastAsia="vi-VN"/>
        </w:rPr>
        <w:pict>
          <v:shapetype id="_x0000_t32" coordsize="21600,21600" o:spt="32" o:oned="t" path="m,l21600,21600e" filled="f">
            <v:path arrowok="t" fillok="f" o:connecttype="none"/>
            <o:lock v:ext="edit" shapetype="t"/>
          </v:shapetype>
          <v:shape id="_x0000_s1028" type="#_x0000_t32" style="position:absolute;left:0;text-align:left;margin-left:77.7pt;margin-top:8.9pt;width:299.25pt;height:0;z-index:251658240" o:connectortype="straight"/>
        </w:pict>
      </w:r>
    </w:p>
    <w:p w:rsidR="00602F63" w:rsidRPr="00A855D9" w:rsidRDefault="00455CC5" w:rsidP="00A855D9">
      <w:pPr>
        <w:pStyle w:val="Default"/>
        <w:spacing w:after="60" w:line="360" w:lineRule="exact"/>
        <w:ind w:firstLine="851"/>
        <w:jc w:val="both"/>
        <w:rPr>
          <w:rFonts w:ascii="Times New Roman" w:hAnsi="Times New Roman" w:cs="Times New Roman"/>
          <w:sz w:val="28"/>
          <w:szCs w:val="28"/>
        </w:rPr>
      </w:pPr>
      <w:r w:rsidRPr="00A855D9">
        <w:rPr>
          <w:rFonts w:ascii="Times New Roman" w:hAnsi="Times New Roman" w:cs="Times New Roman"/>
          <w:sz w:val="28"/>
          <w:szCs w:val="28"/>
        </w:rPr>
        <w:t xml:space="preserve">Ngân hàng Nhà nước xây dựng dự thảo Thông tư </w:t>
      </w:r>
      <w:r w:rsidR="009678D8" w:rsidRPr="00A855D9">
        <w:rPr>
          <w:rFonts w:ascii="Times New Roman" w:hAnsi="Times New Roman" w:cs="Times New Roman"/>
          <w:sz w:val="28"/>
          <w:szCs w:val="28"/>
          <w:lang w:val="vi-VN"/>
        </w:rPr>
        <w:t xml:space="preserve"> </w:t>
      </w:r>
      <w:r w:rsidRPr="00A855D9">
        <w:rPr>
          <w:rFonts w:ascii="Times New Roman" w:hAnsi="Times New Roman" w:cs="Times New Roman"/>
          <w:sz w:val="28"/>
          <w:szCs w:val="28"/>
          <w:lang w:val="vi-VN"/>
        </w:rPr>
        <w:t>quy định về việc thấu chi và cho vay qua đêm trong thanh toán điện tử liên ngân hàng thay thế Quyết định 04/2007/QĐ-NHNN</w:t>
      </w:r>
      <w:r w:rsidRPr="00A855D9">
        <w:rPr>
          <w:rFonts w:ascii="Times New Roman" w:hAnsi="Times New Roman" w:cs="Times New Roman"/>
          <w:sz w:val="28"/>
          <w:szCs w:val="28"/>
        </w:rPr>
        <w:t xml:space="preserve"> ngày 22/01/2007.</w:t>
      </w:r>
      <w:r w:rsidR="00577408" w:rsidRPr="00A855D9">
        <w:rPr>
          <w:rFonts w:ascii="Times New Roman" w:hAnsi="Times New Roman" w:cs="Times New Roman"/>
          <w:sz w:val="28"/>
          <w:szCs w:val="28"/>
        </w:rPr>
        <w:t xml:space="preserve"> </w:t>
      </w:r>
    </w:p>
    <w:p w:rsidR="00455CC5" w:rsidRPr="00A855D9" w:rsidRDefault="00577408" w:rsidP="00A855D9">
      <w:pPr>
        <w:pStyle w:val="Default"/>
        <w:spacing w:after="60" w:line="360" w:lineRule="exact"/>
        <w:ind w:firstLine="851"/>
        <w:jc w:val="both"/>
        <w:rPr>
          <w:rFonts w:ascii="Times New Roman" w:hAnsi="Times New Roman" w:cs="Times New Roman"/>
          <w:sz w:val="28"/>
          <w:szCs w:val="28"/>
        </w:rPr>
      </w:pPr>
      <w:r w:rsidRPr="00A855D9">
        <w:rPr>
          <w:rFonts w:ascii="Times New Roman" w:hAnsi="Times New Roman" w:cs="Times New Roman"/>
          <w:sz w:val="28"/>
          <w:szCs w:val="28"/>
        </w:rPr>
        <w:t>Về kết cấu dự thảo Thông tư bao gồm 12 Điều</w:t>
      </w:r>
      <w:r w:rsidR="00602F63" w:rsidRPr="00A855D9">
        <w:rPr>
          <w:rFonts w:ascii="Times New Roman" w:hAnsi="Times New Roman" w:cs="Times New Roman"/>
          <w:sz w:val="28"/>
          <w:szCs w:val="28"/>
        </w:rPr>
        <w:t xml:space="preserve"> quy định về phạm vi điều chỉnh, đối tượng áp dụng, giải t</w:t>
      </w:r>
      <w:r w:rsidR="00A9677C">
        <w:rPr>
          <w:rFonts w:ascii="Times New Roman" w:hAnsi="Times New Roman" w:cs="Times New Roman"/>
          <w:sz w:val="28"/>
          <w:szCs w:val="28"/>
        </w:rPr>
        <w:t>h</w:t>
      </w:r>
      <w:r w:rsidR="00602F63" w:rsidRPr="00A855D9">
        <w:rPr>
          <w:rFonts w:ascii="Times New Roman" w:hAnsi="Times New Roman" w:cs="Times New Roman"/>
          <w:sz w:val="28"/>
          <w:szCs w:val="28"/>
        </w:rPr>
        <w:t xml:space="preserve">ích từ ngữ, nguyên tắc tham gia thấu chi và vay qua đêm, điều kiện giấy tờ có giá, hạn mức thấu chi, lãi suất </w:t>
      </w:r>
      <w:r w:rsidR="00A9677C">
        <w:rPr>
          <w:rFonts w:ascii="Times New Roman" w:hAnsi="Times New Roman" w:cs="Times New Roman"/>
          <w:sz w:val="28"/>
          <w:szCs w:val="28"/>
        </w:rPr>
        <w:t xml:space="preserve">cho </w:t>
      </w:r>
      <w:r w:rsidR="00602F63" w:rsidRPr="00A855D9">
        <w:rPr>
          <w:rFonts w:ascii="Times New Roman" w:hAnsi="Times New Roman" w:cs="Times New Roman"/>
          <w:sz w:val="28"/>
          <w:szCs w:val="28"/>
        </w:rPr>
        <w:t>vay qua đêm, thực hiện thấu chi và cho vay qua đêm</w:t>
      </w:r>
      <w:r w:rsidRPr="00A855D9">
        <w:rPr>
          <w:rFonts w:ascii="Times New Roman" w:hAnsi="Times New Roman" w:cs="Times New Roman"/>
          <w:sz w:val="28"/>
          <w:szCs w:val="28"/>
        </w:rPr>
        <w:t xml:space="preserve">, </w:t>
      </w:r>
      <w:r w:rsidR="00602F63" w:rsidRPr="00A855D9">
        <w:rPr>
          <w:rFonts w:ascii="Times New Roman" w:hAnsi="Times New Roman" w:cs="Times New Roman"/>
          <w:sz w:val="28"/>
          <w:szCs w:val="28"/>
          <w:lang w:val="pl-PL"/>
        </w:rPr>
        <w:t>Xử lý trường hợp tổ chức tín dụng có nợ quá hạn vay qua đêm, trách nhiệm của các đơn vị</w:t>
      </w:r>
      <w:r w:rsidR="00602F63" w:rsidRPr="00A855D9">
        <w:rPr>
          <w:rFonts w:ascii="Times New Roman" w:hAnsi="Times New Roman" w:cs="Times New Roman"/>
          <w:sz w:val="28"/>
          <w:szCs w:val="28"/>
        </w:rPr>
        <w:t>.</w:t>
      </w:r>
    </w:p>
    <w:p w:rsidR="00602F63" w:rsidRPr="00A855D9" w:rsidRDefault="00602F63" w:rsidP="00A855D9">
      <w:pPr>
        <w:pStyle w:val="Default"/>
        <w:spacing w:after="60" w:line="360" w:lineRule="exact"/>
        <w:ind w:firstLine="851"/>
        <w:jc w:val="both"/>
        <w:rPr>
          <w:rFonts w:ascii="Times New Roman" w:hAnsi="Times New Roman" w:cs="Times New Roman"/>
          <w:b/>
          <w:sz w:val="28"/>
          <w:szCs w:val="28"/>
        </w:rPr>
      </w:pPr>
      <w:r w:rsidRPr="00A855D9">
        <w:rPr>
          <w:rFonts w:ascii="Times New Roman" w:hAnsi="Times New Roman" w:cs="Times New Roman"/>
          <w:b/>
          <w:sz w:val="28"/>
          <w:szCs w:val="28"/>
        </w:rPr>
        <w:t xml:space="preserve">Một số nội dung sửa đổi, bổ sung chủ yếu: </w:t>
      </w:r>
    </w:p>
    <w:p w:rsidR="00602F63" w:rsidRPr="00A855D9" w:rsidRDefault="00602F63" w:rsidP="00A855D9">
      <w:pPr>
        <w:pStyle w:val="Default"/>
        <w:spacing w:after="60" w:line="360" w:lineRule="exact"/>
        <w:ind w:firstLine="851"/>
        <w:jc w:val="both"/>
        <w:rPr>
          <w:rFonts w:ascii="Times New Roman" w:hAnsi="Times New Roman" w:cs="Times New Roman"/>
          <w:b/>
          <w:sz w:val="28"/>
          <w:szCs w:val="28"/>
        </w:rPr>
      </w:pPr>
      <w:r w:rsidRPr="00A855D9">
        <w:rPr>
          <w:rFonts w:ascii="Times New Roman" w:hAnsi="Times New Roman" w:cs="Times New Roman"/>
          <w:b/>
          <w:sz w:val="28"/>
          <w:szCs w:val="28"/>
        </w:rPr>
        <w:t>1. Về đối tượng áp dụng (Điều 2)</w:t>
      </w:r>
    </w:p>
    <w:p w:rsidR="00D151B5" w:rsidRPr="00A855D9" w:rsidRDefault="00D151B5" w:rsidP="00A855D9">
      <w:pPr>
        <w:spacing w:before="60" w:after="60" w:line="340" w:lineRule="exact"/>
        <w:ind w:firstLine="567"/>
        <w:jc w:val="both"/>
        <w:rPr>
          <w:rFonts w:ascii="Times New Roman" w:hAnsi="Times New Roman"/>
          <w:color w:val="000000"/>
          <w:sz w:val="28"/>
          <w:szCs w:val="28"/>
          <w:lang w:val="pl-PL"/>
        </w:rPr>
      </w:pPr>
      <w:r w:rsidRPr="00A855D9">
        <w:rPr>
          <w:rFonts w:ascii="Times New Roman" w:hAnsi="Times New Roman"/>
          <w:i/>
          <w:color w:val="000000"/>
          <w:sz w:val="28"/>
          <w:szCs w:val="28"/>
          <w:lang w:val="pl-PL"/>
        </w:rPr>
        <w:t>- Dự thảo Thông tư quy định:</w:t>
      </w:r>
      <w:r w:rsidR="00A855D9">
        <w:rPr>
          <w:rFonts w:ascii="Times New Roman" w:hAnsi="Times New Roman"/>
          <w:color w:val="000000"/>
          <w:sz w:val="28"/>
          <w:szCs w:val="28"/>
          <w:lang w:val="pl-PL"/>
        </w:rPr>
        <w:t xml:space="preserve"> </w:t>
      </w:r>
      <w:r w:rsidRPr="00A855D9">
        <w:rPr>
          <w:rFonts w:ascii="Times New Roman" w:hAnsi="Times New Roman"/>
          <w:color w:val="000000"/>
          <w:sz w:val="28"/>
          <w:szCs w:val="28"/>
          <w:lang w:val="pl-PL"/>
        </w:rPr>
        <w:t>Các tổ chức tín dụng, chi nhánh ngân hàng nước ngoài hoạt động theo Luật các Tổ chức tín dụng và là thành viên trực tiếp tham gia hệ thống thanh toán điện tử liên ngân hàng.</w:t>
      </w:r>
    </w:p>
    <w:p w:rsidR="00D151B5" w:rsidRPr="00A855D9" w:rsidRDefault="00D151B5" w:rsidP="00A855D9">
      <w:pPr>
        <w:spacing w:before="60" w:after="60" w:line="340" w:lineRule="exact"/>
        <w:ind w:firstLine="567"/>
        <w:jc w:val="both"/>
        <w:rPr>
          <w:rFonts w:ascii="Times New Roman" w:hAnsi="Times New Roman"/>
          <w:color w:val="000000"/>
          <w:sz w:val="28"/>
          <w:szCs w:val="28"/>
          <w:lang w:val="pl-PL"/>
        </w:rPr>
      </w:pPr>
      <w:r w:rsidRPr="00A855D9">
        <w:rPr>
          <w:rFonts w:ascii="Times New Roman" w:hAnsi="Times New Roman"/>
          <w:i/>
          <w:color w:val="000000"/>
          <w:sz w:val="28"/>
          <w:szCs w:val="28"/>
          <w:u w:val="single"/>
          <w:lang w:val="pl-PL"/>
        </w:rPr>
        <w:t>Cơ sở đề xuất:</w:t>
      </w:r>
      <w:r w:rsidRPr="00A855D9">
        <w:rPr>
          <w:rFonts w:ascii="Times New Roman" w:hAnsi="Times New Roman"/>
          <w:color w:val="000000"/>
          <w:sz w:val="28"/>
          <w:szCs w:val="28"/>
          <w:lang w:val="pl-PL"/>
        </w:rPr>
        <w:t xml:space="preserve"> Luật TCTD 2010 quy định tách riêng giữa TCTD, chi nhánh ngân hàng nước ngoài, do vậy, dự thảo Thông tư đã chỉnh sửa phạm vi điều chỉnh và đối tượng áp dụng cho phù hợp.</w:t>
      </w:r>
    </w:p>
    <w:p w:rsidR="00D151B5" w:rsidRPr="00A855D9" w:rsidRDefault="00D151B5" w:rsidP="00A855D9">
      <w:pPr>
        <w:spacing w:before="60" w:after="60" w:line="340" w:lineRule="exact"/>
        <w:ind w:firstLine="567"/>
        <w:jc w:val="both"/>
        <w:rPr>
          <w:rFonts w:ascii="Times New Roman" w:hAnsi="Times New Roman"/>
          <w:b/>
          <w:color w:val="000000"/>
          <w:sz w:val="28"/>
          <w:szCs w:val="28"/>
          <w:lang w:val="pl-PL"/>
        </w:rPr>
      </w:pPr>
      <w:r w:rsidRPr="00A855D9">
        <w:rPr>
          <w:rFonts w:ascii="Times New Roman" w:hAnsi="Times New Roman"/>
          <w:b/>
          <w:color w:val="000000"/>
          <w:sz w:val="28"/>
          <w:szCs w:val="28"/>
          <w:lang w:val="pl-PL"/>
        </w:rPr>
        <w:t>2. Về n</w:t>
      </w:r>
      <w:r w:rsidRPr="00A855D9">
        <w:rPr>
          <w:rFonts w:ascii="Times New Roman" w:hAnsi="Times New Roman"/>
          <w:b/>
          <w:sz w:val="28"/>
          <w:szCs w:val="28"/>
          <w:lang w:val="vi-VN"/>
        </w:rPr>
        <w:t>guyên tắc tham gia thấu chi và vay qua đêm trong thanh toán điện tử liên ngân hàng tại NHNN</w:t>
      </w:r>
      <w:r w:rsidR="00A855D9" w:rsidRPr="00A855D9">
        <w:rPr>
          <w:rFonts w:ascii="Times New Roman" w:hAnsi="Times New Roman"/>
          <w:b/>
          <w:sz w:val="28"/>
          <w:szCs w:val="28"/>
          <w:lang w:val="pl-PL"/>
        </w:rPr>
        <w:t xml:space="preserve"> (Điều 5)</w:t>
      </w:r>
    </w:p>
    <w:p w:rsidR="007653F2" w:rsidRPr="00A855D9" w:rsidRDefault="0073274A" w:rsidP="00A855D9">
      <w:pPr>
        <w:spacing w:before="120" w:after="120"/>
        <w:ind w:firstLine="567"/>
        <w:jc w:val="both"/>
        <w:rPr>
          <w:rFonts w:ascii="Times New Roman" w:eastAsia="Arial" w:hAnsi="Times New Roman"/>
          <w:sz w:val="28"/>
          <w:szCs w:val="28"/>
          <w:lang w:val="pl-PL"/>
        </w:rPr>
      </w:pPr>
      <w:r w:rsidRPr="00A855D9">
        <w:rPr>
          <w:rFonts w:ascii="Times New Roman" w:eastAsia="Arial" w:hAnsi="Times New Roman"/>
          <w:i/>
          <w:sz w:val="28"/>
          <w:szCs w:val="28"/>
          <w:lang w:val="pl-PL"/>
        </w:rPr>
        <w:t>- Dự thảo Thông tư quy định:</w:t>
      </w:r>
      <w:r w:rsidRPr="00A855D9">
        <w:rPr>
          <w:rFonts w:ascii="Times New Roman" w:eastAsia="Arial" w:hAnsi="Times New Roman"/>
          <w:sz w:val="28"/>
          <w:szCs w:val="28"/>
          <w:lang w:val="pl-PL"/>
        </w:rPr>
        <w:t xml:space="preserve"> </w:t>
      </w:r>
      <w:r w:rsidR="007653F2" w:rsidRPr="00A855D9">
        <w:rPr>
          <w:rFonts w:ascii="Times New Roman" w:eastAsia="Arial" w:hAnsi="Times New Roman"/>
          <w:sz w:val="28"/>
          <w:szCs w:val="28"/>
          <w:lang w:val="pl-PL"/>
        </w:rPr>
        <w:t>Tổ chức tín dụng có giấy đề nghị thấu chi và vay qua đêm gửi Ngân hàng Nhà nước (Sở giao dịch), trong đó có cam kết ủy quyền cho Ngân hàng nhà nước toàn quyền thực hiện chuyển quyền sở hữu giấy tờ có giá đã sử dụng để thiết lập hạn mức thấu chi và vay qua đêm trong thanh toán điện tử liên ngân hàng và chấp thuận cho Ngân hàng Nhà nước trích tài khoản tiền gửi thanh toán bằng VND để thu hồi nợ vay qua đêm trong trường hợp tổ chức tín dụng không trả được nợ vay qua đêm (gốc, lãi vay qua đêm và lãi nợ quá hạ</w:t>
      </w:r>
      <w:r w:rsidRPr="00A855D9">
        <w:rPr>
          <w:rFonts w:ascii="Times New Roman" w:eastAsia="Arial" w:hAnsi="Times New Roman"/>
          <w:sz w:val="28"/>
          <w:szCs w:val="28"/>
          <w:lang w:val="pl-PL"/>
        </w:rPr>
        <w:t>n);</w:t>
      </w:r>
      <w:r w:rsidR="007653F2" w:rsidRPr="00A855D9">
        <w:rPr>
          <w:rFonts w:ascii="Times New Roman" w:eastAsia="Arial" w:hAnsi="Times New Roman"/>
          <w:sz w:val="28"/>
          <w:szCs w:val="28"/>
          <w:lang w:val="pl-PL"/>
        </w:rPr>
        <w:t xml:space="preserve"> Tổ chức tín dụng có giấy tờ có giá để thực hiện thấu chi và vay qua đêm và đáp ứng các điều kiện quy định tại Điều 6 Thông tư này.</w:t>
      </w:r>
    </w:p>
    <w:p w:rsidR="00D151B5" w:rsidRPr="00A855D9" w:rsidRDefault="0073274A" w:rsidP="00A855D9">
      <w:pPr>
        <w:spacing w:before="60" w:after="60" w:line="340" w:lineRule="exact"/>
        <w:ind w:firstLine="567"/>
        <w:jc w:val="both"/>
        <w:rPr>
          <w:rFonts w:ascii="Times New Roman" w:hAnsi="Times New Roman"/>
          <w:color w:val="000000"/>
          <w:sz w:val="28"/>
          <w:szCs w:val="28"/>
          <w:lang w:val="pl-PL"/>
        </w:rPr>
      </w:pPr>
      <w:r w:rsidRPr="00A855D9">
        <w:rPr>
          <w:rFonts w:ascii="Times New Roman" w:hAnsi="Times New Roman"/>
          <w:sz w:val="28"/>
          <w:szCs w:val="28"/>
          <w:lang w:val="pl-PL"/>
        </w:rPr>
        <w:t xml:space="preserve"> </w:t>
      </w:r>
      <w:r w:rsidR="00A855D9">
        <w:rPr>
          <w:rFonts w:ascii="Times New Roman" w:hAnsi="Times New Roman"/>
          <w:sz w:val="28"/>
          <w:szCs w:val="28"/>
          <w:lang w:val="pl-PL"/>
        </w:rPr>
        <w:t>Dự thảo Thông tư b</w:t>
      </w:r>
      <w:r w:rsidRPr="00A855D9">
        <w:rPr>
          <w:rFonts w:ascii="Times New Roman" w:hAnsi="Times New Roman"/>
          <w:sz w:val="28"/>
          <w:szCs w:val="28"/>
          <w:lang w:val="pl-PL"/>
        </w:rPr>
        <w:t xml:space="preserve">ổ sung quy định về </w:t>
      </w:r>
      <w:r w:rsidRPr="00A855D9">
        <w:rPr>
          <w:rFonts w:ascii="Times New Roman" w:hAnsi="Times New Roman"/>
          <w:i/>
          <w:sz w:val="28"/>
          <w:szCs w:val="28"/>
          <w:lang w:val="pl-PL"/>
        </w:rPr>
        <w:t>“...</w:t>
      </w:r>
      <w:r w:rsidRPr="00A855D9">
        <w:rPr>
          <w:rFonts w:ascii="Times New Roman" w:eastAsia="Arial" w:hAnsi="Times New Roman"/>
          <w:i/>
          <w:sz w:val="28"/>
          <w:szCs w:val="28"/>
          <w:lang w:val="pl-PL"/>
        </w:rPr>
        <w:t>có cam kết ủy quyền cho Ngân hàng nhà nước toàn quyền thực hiện chuyển quyền sở hữu giấy tờ có giá đã sử dụng để thiết lập hạn mức thấu chi và cho vay qua đêm trong thanh toán điện tử liên ngân hàng và chấp thuận cho Ngân hàng Nhà nước trích tài khoản tiền gửi thanh toán bằng VND để thu hồi nợ vay qua đêm trong trường hợp tổ chức tín dụng không trả được nợ vay qua đêm (gốc, lãi vay qua đêm và lãi nợ quá hạn)”</w:t>
      </w:r>
      <w:r w:rsidRPr="00A855D9">
        <w:rPr>
          <w:rFonts w:ascii="Times New Roman" w:eastAsia="Arial" w:hAnsi="Times New Roman"/>
          <w:sz w:val="28"/>
          <w:szCs w:val="28"/>
          <w:lang w:val="pl-PL"/>
        </w:rPr>
        <w:t xml:space="preserve"> </w:t>
      </w:r>
      <w:r w:rsidRPr="00A855D9">
        <w:rPr>
          <w:rFonts w:ascii="Times New Roman" w:hAnsi="Times New Roman"/>
          <w:sz w:val="28"/>
          <w:szCs w:val="28"/>
          <w:lang w:val="pl-PL"/>
        </w:rPr>
        <w:t>đ</w:t>
      </w:r>
      <w:r w:rsidRPr="00A855D9">
        <w:rPr>
          <w:rFonts w:ascii="Times New Roman" w:eastAsia="Arial" w:hAnsi="Times New Roman"/>
          <w:sz w:val="28"/>
          <w:szCs w:val="28"/>
          <w:lang w:val="pl-PL"/>
        </w:rPr>
        <w:t>ể có cơ sở cho NHNN trong việc thu hồi hồi nợ trong trường hợp TCTD không trả nợ vay qua đêm.</w:t>
      </w:r>
    </w:p>
    <w:p w:rsidR="00C525E9" w:rsidRPr="00A855D9" w:rsidRDefault="0073274A" w:rsidP="00A855D9">
      <w:pPr>
        <w:spacing w:after="60" w:line="360" w:lineRule="exact"/>
        <w:ind w:firstLine="851"/>
        <w:jc w:val="both"/>
        <w:rPr>
          <w:rFonts w:ascii="Times New Roman" w:hAnsi="Times New Roman"/>
          <w:b/>
          <w:sz w:val="28"/>
          <w:szCs w:val="28"/>
          <w:lang w:val="pl-PL"/>
        </w:rPr>
      </w:pPr>
      <w:r w:rsidRPr="00A855D9">
        <w:rPr>
          <w:rFonts w:ascii="Times New Roman" w:hAnsi="Times New Roman"/>
          <w:b/>
          <w:sz w:val="28"/>
          <w:szCs w:val="28"/>
          <w:lang w:val="pl-PL"/>
        </w:rPr>
        <w:lastRenderedPageBreak/>
        <w:t>3</w:t>
      </w:r>
      <w:r w:rsidR="00C525E9" w:rsidRPr="00A855D9">
        <w:rPr>
          <w:rFonts w:ascii="Times New Roman" w:hAnsi="Times New Roman"/>
          <w:b/>
          <w:sz w:val="28"/>
          <w:szCs w:val="28"/>
          <w:lang w:val="pl-PL"/>
        </w:rPr>
        <w:t xml:space="preserve">. </w:t>
      </w:r>
      <w:r w:rsidRPr="00A855D9">
        <w:rPr>
          <w:rFonts w:ascii="Times New Roman" w:hAnsi="Times New Roman"/>
          <w:b/>
          <w:sz w:val="28"/>
          <w:szCs w:val="28"/>
          <w:lang w:val="pl-PL"/>
        </w:rPr>
        <w:t>Về đ</w:t>
      </w:r>
      <w:r w:rsidR="00C525E9" w:rsidRPr="00A855D9">
        <w:rPr>
          <w:rFonts w:ascii="Times New Roman" w:hAnsi="Times New Roman"/>
          <w:b/>
          <w:sz w:val="28"/>
          <w:szCs w:val="28"/>
          <w:lang w:val="pl-PL"/>
        </w:rPr>
        <w:t>iều kiện giấy tờ có giá để thiết lập hạn m</w:t>
      </w:r>
      <w:r w:rsidR="00A855D9">
        <w:rPr>
          <w:rFonts w:ascii="Times New Roman" w:hAnsi="Times New Roman"/>
          <w:b/>
          <w:sz w:val="28"/>
          <w:szCs w:val="28"/>
          <w:lang w:val="pl-PL"/>
        </w:rPr>
        <w:t>ức thấu chi và cho vay qua đêm (Điều 6)</w:t>
      </w:r>
    </w:p>
    <w:p w:rsidR="0073274A" w:rsidRPr="00A855D9" w:rsidRDefault="0073274A" w:rsidP="00A855D9">
      <w:pPr>
        <w:spacing w:before="120" w:after="120"/>
        <w:ind w:firstLine="567"/>
        <w:jc w:val="both"/>
        <w:rPr>
          <w:rFonts w:ascii="Times New Roman" w:hAnsi="Times New Roman"/>
          <w:color w:val="000000"/>
          <w:sz w:val="28"/>
          <w:szCs w:val="28"/>
          <w:lang w:val="pl-PL"/>
        </w:rPr>
      </w:pPr>
      <w:r w:rsidRPr="00A855D9">
        <w:rPr>
          <w:rFonts w:ascii="Times New Roman" w:hAnsi="Times New Roman"/>
          <w:i/>
          <w:color w:val="000000"/>
          <w:sz w:val="28"/>
          <w:szCs w:val="28"/>
          <w:lang w:val="pl-PL"/>
        </w:rPr>
        <w:t>- Dự thảo Thông tư quy định:</w:t>
      </w:r>
      <w:r w:rsidRPr="00A855D9">
        <w:rPr>
          <w:rFonts w:ascii="Times New Roman" w:hAnsi="Times New Roman"/>
          <w:color w:val="000000"/>
          <w:sz w:val="28"/>
          <w:szCs w:val="28"/>
          <w:lang w:val="pl-PL"/>
        </w:rPr>
        <w:t xml:space="preserve"> Có thể chuyển nhượng và nằm trong danh mục các loại giấy tờ có giá được sử dụng trong giao dịch thấu chi và cho vay qua đêm trong thanh toán điện tử liên ngân hàng; Thuộc sở hữu hợp pháp của tổ chức tín dụng; Được lưu ký theo quy định của Ngân hàng Nhà nước; Có thời hạn còn lại tối thiểu là 30 ngày; Danh mục các loại giấy tờ có giá được sử dụng trong giao dịch thấu chi và cho vay qua đêm trong thanh toán điện tử liên ngân hàng do Thống đốc Ngân hàng Nhà nước quyết định.</w:t>
      </w:r>
    </w:p>
    <w:p w:rsidR="0073274A" w:rsidRPr="00A855D9" w:rsidRDefault="0073274A" w:rsidP="00A855D9">
      <w:pPr>
        <w:spacing w:before="60" w:after="60"/>
        <w:jc w:val="both"/>
        <w:rPr>
          <w:rFonts w:ascii="Times New Roman" w:hAnsi="Times New Roman"/>
          <w:i/>
          <w:sz w:val="28"/>
          <w:szCs w:val="28"/>
          <w:u w:val="single"/>
          <w:lang w:val="pl-PL"/>
        </w:rPr>
      </w:pPr>
      <w:r w:rsidRPr="00A855D9">
        <w:rPr>
          <w:rFonts w:ascii="Times New Roman" w:hAnsi="Times New Roman"/>
          <w:i/>
          <w:sz w:val="28"/>
          <w:szCs w:val="28"/>
          <w:lang w:val="pl-PL"/>
        </w:rPr>
        <w:tab/>
      </w:r>
      <w:r w:rsidRPr="00A855D9">
        <w:rPr>
          <w:rFonts w:ascii="Times New Roman" w:hAnsi="Times New Roman"/>
          <w:i/>
          <w:sz w:val="28"/>
          <w:szCs w:val="28"/>
          <w:lang w:val="pl-PL"/>
        </w:rPr>
        <w:tab/>
      </w:r>
      <w:r w:rsidRPr="00A855D9">
        <w:rPr>
          <w:rFonts w:ascii="Times New Roman" w:hAnsi="Times New Roman"/>
          <w:i/>
          <w:sz w:val="28"/>
          <w:szCs w:val="28"/>
          <w:u w:val="single"/>
          <w:lang w:val="pl-PL"/>
        </w:rPr>
        <w:t>Cơ sở đề xuất:</w:t>
      </w:r>
    </w:p>
    <w:p w:rsidR="0073274A" w:rsidRPr="00A855D9" w:rsidRDefault="0073274A" w:rsidP="00A855D9">
      <w:pPr>
        <w:spacing w:before="60" w:after="60"/>
        <w:jc w:val="both"/>
        <w:rPr>
          <w:rFonts w:ascii="Times New Roman" w:hAnsi="Times New Roman"/>
          <w:sz w:val="28"/>
          <w:szCs w:val="28"/>
          <w:lang w:val="pl-PL"/>
        </w:rPr>
      </w:pPr>
      <w:r w:rsidRPr="00A855D9">
        <w:rPr>
          <w:rFonts w:ascii="Times New Roman" w:hAnsi="Times New Roman"/>
          <w:i/>
          <w:sz w:val="28"/>
          <w:szCs w:val="28"/>
          <w:lang w:val="pl-PL"/>
        </w:rPr>
        <w:tab/>
      </w:r>
      <w:r w:rsidRPr="00A855D9">
        <w:rPr>
          <w:rFonts w:ascii="Times New Roman" w:hAnsi="Times New Roman"/>
          <w:i/>
          <w:sz w:val="28"/>
          <w:szCs w:val="28"/>
          <w:lang w:val="pl-PL"/>
        </w:rPr>
        <w:tab/>
      </w:r>
      <w:r w:rsidRPr="00A855D9">
        <w:rPr>
          <w:rFonts w:ascii="Times New Roman" w:hAnsi="Times New Roman"/>
          <w:sz w:val="28"/>
          <w:szCs w:val="28"/>
          <w:lang w:val="pl-PL"/>
        </w:rPr>
        <w:t>+ Dự thảo Thông tư không quy định cụ thể tên các loại GTCG được sử dụng để tham gia thấu chi và vay qua đêm như Quyết định 04</w:t>
      </w:r>
      <w:r w:rsidR="00A855D9">
        <w:rPr>
          <w:rFonts w:ascii="Times New Roman" w:hAnsi="Times New Roman"/>
          <w:sz w:val="28"/>
          <w:szCs w:val="28"/>
          <w:lang w:val="pl-PL"/>
        </w:rPr>
        <w:t>/QĐ-NHNN ngày 22/1/2007</w:t>
      </w:r>
      <w:r w:rsidRPr="00A855D9">
        <w:rPr>
          <w:rFonts w:ascii="Times New Roman" w:hAnsi="Times New Roman"/>
          <w:sz w:val="28"/>
          <w:szCs w:val="28"/>
          <w:lang w:val="pl-PL"/>
        </w:rPr>
        <w:t xml:space="preserve"> vì hiện nay, tại Quyết định 11/2010/QĐ-NHNN ngày 06/1/2010 quy định về danh mục GTCG tham gia giao dịch với NHNN, trong đó có quy định về danh mục các loại GTCG được tham gia giao dịch thấu chi và vay qua đêm với NHNN. Đồng thời, việc bổ sung các loại giấy tờ có giá được giao dịch với NHNN </w:t>
      </w:r>
      <w:r w:rsidR="00951C3B">
        <w:rPr>
          <w:rFonts w:ascii="Times New Roman" w:hAnsi="Times New Roman"/>
          <w:sz w:val="28"/>
          <w:szCs w:val="28"/>
          <w:lang w:val="pl-PL"/>
        </w:rPr>
        <w:t>theo quy định của Thống đốc NHNN trong từng thời kỳ</w:t>
      </w:r>
      <w:r w:rsidRPr="00A855D9">
        <w:rPr>
          <w:rFonts w:ascii="Times New Roman" w:hAnsi="Times New Roman"/>
          <w:sz w:val="28"/>
          <w:szCs w:val="28"/>
          <w:lang w:val="pl-PL"/>
        </w:rPr>
        <w:t>.</w:t>
      </w:r>
    </w:p>
    <w:p w:rsidR="0073274A" w:rsidRPr="00A855D9" w:rsidRDefault="0073274A" w:rsidP="00A855D9">
      <w:pPr>
        <w:spacing w:before="60" w:after="60"/>
        <w:jc w:val="both"/>
        <w:rPr>
          <w:rFonts w:ascii="Times New Roman" w:hAnsi="Times New Roman"/>
          <w:sz w:val="28"/>
          <w:szCs w:val="28"/>
          <w:lang w:val="pl-PL"/>
        </w:rPr>
      </w:pPr>
      <w:r w:rsidRPr="00A855D9">
        <w:rPr>
          <w:rFonts w:ascii="Times New Roman" w:hAnsi="Times New Roman"/>
          <w:sz w:val="28"/>
          <w:szCs w:val="28"/>
          <w:lang w:val="pl-PL"/>
        </w:rPr>
        <w:tab/>
      </w:r>
      <w:r w:rsidRPr="00A855D9">
        <w:rPr>
          <w:rFonts w:ascii="Times New Roman" w:hAnsi="Times New Roman"/>
          <w:sz w:val="28"/>
          <w:szCs w:val="28"/>
          <w:lang w:val="pl-PL"/>
        </w:rPr>
        <w:tab/>
        <w:t xml:space="preserve">+ Bổ sung </w:t>
      </w:r>
      <w:r w:rsidR="00A855D9">
        <w:rPr>
          <w:rFonts w:ascii="Times New Roman" w:hAnsi="Times New Roman"/>
          <w:sz w:val="28"/>
          <w:szCs w:val="28"/>
          <w:lang w:val="pl-PL"/>
        </w:rPr>
        <w:t>nội dung “</w:t>
      </w:r>
      <w:r w:rsidR="00A855D9" w:rsidRPr="00A855D9">
        <w:rPr>
          <w:rFonts w:ascii="Times New Roman" w:hAnsi="Times New Roman"/>
          <w:color w:val="000000"/>
          <w:sz w:val="28"/>
          <w:szCs w:val="28"/>
          <w:lang w:val="pl-PL"/>
        </w:rPr>
        <w:t>Được lưu ký theo quy định của Ngân hàng Nhà nước</w:t>
      </w:r>
      <w:r w:rsidR="00A855D9">
        <w:rPr>
          <w:rFonts w:ascii="Times New Roman" w:hAnsi="Times New Roman"/>
          <w:color w:val="000000"/>
          <w:sz w:val="28"/>
          <w:szCs w:val="28"/>
          <w:lang w:val="pl-PL"/>
        </w:rPr>
        <w:t>”</w:t>
      </w:r>
      <w:r w:rsidR="00A855D9" w:rsidRPr="00A855D9">
        <w:rPr>
          <w:rFonts w:ascii="Times New Roman" w:hAnsi="Times New Roman"/>
          <w:sz w:val="28"/>
          <w:szCs w:val="28"/>
          <w:lang w:val="pl-PL"/>
        </w:rPr>
        <w:t xml:space="preserve"> </w:t>
      </w:r>
      <w:r w:rsidRPr="00A855D9">
        <w:rPr>
          <w:rFonts w:ascii="Times New Roman" w:hAnsi="Times New Roman"/>
          <w:sz w:val="28"/>
          <w:szCs w:val="28"/>
          <w:lang w:val="pl-PL"/>
        </w:rPr>
        <w:t>tại dự thảo Thông tư cho phù hợp với quy định về điều kiện giấy tờ có giá được sử dụng trong các giao dịch với NHNN.</w:t>
      </w:r>
    </w:p>
    <w:p w:rsidR="0073274A" w:rsidRPr="00A855D9" w:rsidRDefault="0073274A" w:rsidP="00A855D9">
      <w:pPr>
        <w:jc w:val="both"/>
        <w:rPr>
          <w:rFonts w:ascii="Times New Roman" w:hAnsi="Times New Roman"/>
          <w:sz w:val="28"/>
          <w:szCs w:val="28"/>
          <w:lang w:val="pl-PL"/>
        </w:rPr>
      </w:pPr>
      <w:r w:rsidRPr="00A855D9">
        <w:rPr>
          <w:rFonts w:ascii="Times New Roman" w:hAnsi="Times New Roman"/>
          <w:sz w:val="28"/>
          <w:szCs w:val="28"/>
          <w:lang w:val="pl-PL"/>
        </w:rPr>
        <w:t xml:space="preserve">  </w:t>
      </w:r>
      <w:r w:rsidRPr="00A855D9">
        <w:rPr>
          <w:rFonts w:ascii="Times New Roman" w:hAnsi="Times New Roman"/>
          <w:sz w:val="28"/>
          <w:szCs w:val="28"/>
          <w:lang w:val="pl-PL"/>
        </w:rPr>
        <w:tab/>
      </w:r>
      <w:r w:rsidRPr="00A855D9">
        <w:rPr>
          <w:rFonts w:ascii="Times New Roman" w:hAnsi="Times New Roman"/>
          <w:sz w:val="28"/>
          <w:szCs w:val="28"/>
          <w:lang w:val="pl-PL"/>
        </w:rPr>
        <w:tab/>
        <w:t>+</w:t>
      </w:r>
      <w:r w:rsidRPr="00A855D9">
        <w:rPr>
          <w:rFonts w:ascii="Times New Roman" w:hAnsi="Times New Roman"/>
          <w:i/>
          <w:sz w:val="28"/>
          <w:szCs w:val="28"/>
          <w:lang w:val="pl-PL"/>
        </w:rPr>
        <w:t xml:space="preserve"> Thời hạn còn lại tối thiểu là 30 ngày</w:t>
      </w:r>
      <w:r w:rsidRPr="00A855D9">
        <w:rPr>
          <w:rFonts w:ascii="Times New Roman" w:hAnsi="Times New Roman"/>
          <w:sz w:val="28"/>
          <w:szCs w:val="28"/>
          <w:lang w:val="pl-PL"/>
        </w:rPr>
        <w:t xml:space="preserve"> để phù hợp với quy định tại Quyết định 23/QĐ-VSD về việc ban hành quy chế thực hiện quyền cho người sở hữu chứng khoán.</w:t>
      </w:r>
    </w:p>
    <w:p w:rsidR="00C525E9" w:rsidRPr="00495AD0" w:rsidRDefault="0073274A" w:rsidP="00A855D9">
      <w:pPr>
        <w:jc w:val="both"/>
        <w:rPr>
          <w:rFonts w:ascii="Times New Roman" w:hAnsi="Times New Roman"/>
          <w:sz w:val="28"/>
          <w:szCs w:val="28"/>
          <w:lang w:val="pl-PL"/>
        </w:rPr>
      </w:pPr>
      <w:r w:rsidRPr="00A855D9">
        <w:rPr>
          <w:rFonts w:ascii="Times New Roman" w:hAnsi="Times New Roman"/>
          <w:sz w:val="28"/>
          <w:szCs w:val="28"/>
          <w:lang w:val="pl-PL"/>
        </w:rPr>
        <w:tab/>
      </w:r>
      <w:r w:rsidRPr="00A855D9">
        <w:rPr>
          <w:rFonts w:ascii="Times New Roman" w:hAnsi="Times New Roman"/>
          <w:b/>
          <w:sz w:val="28"/>
          <w:szCs w:val="28"/>
          <w:lang w:val="pl-PL"/>
        </w:rPr>
        <w:tab/>
        <w:t>4</w:t>
      </w:r>
      <w:r w:rsidR="00C525E9" w:rsidRPr="00A855D9">
        <w:rPr>
          <w:rFonts w:ascii="Times New Roman" w:hAnsi="Times New Roman"/>
          <w:b/>
          <w:sz w:val="28"/>
          <w:szCs w:val="28"/>
          <w:lang w:val="pl-PL"/>
        </w:rPr>
        <w:t xml:space="preserve">. </w:t>
      </w:r>
      <w:r w:rsidRPr="00A855D9">
        <w:rPr>
          <w:rFonts w:ascii="Times New Roman" w:hAnsi="Times New Roman"/>
          <w:b/>
          <w:sz w:val="28"/>
          <w:szCs w:val="28"/>
          <w:lang w:val="pl-PL"/>
        </w:rPr>
        <w:t>Về h</w:t>
      </w:r>
      <w:r w:rsidR="00C525E9" w:rsidRPr="00A855D9">
        <w:rPr>
          <w:rFonts w:ascii="Times New Roman" w:hAnsi="Times New Roman"/>
          <w:b/>
          <w:sz w:val="28"/>
          <w:szCs w:val="28"/>
          <w:lang w:val="pl-PL"/>
        </w:rPr>
        <w:t>ạn mức thấu chi</w:t>
      </w:r>
      <w:r w:rsidR="00A855D9">
        <w:rPr>
          <w:rFonts w:ascii="Times New Roman" w:hAnsi="Times New Roman"/>
          <w:b/>
          <w:sz w:val="28"/>
          <w:szCs w:val="28"/>
          <w:lang w:val="pl-PL"/>
        </w:rPr>
        <w:t xml:space="preserve"> (Điều 7)</w:t>
      </w:r>
      <w:r w:rsidR="00C525E9" w:rsidRPr="00A855D9">
        <w:rPr>
          <w:rFonts w:ascii="Times New Roman" w:hAnsi="Times New Roman"/>
          <w:b/>
          <w:sz w:val="28"/>
          <w:szCs w:val="28"/>
          <w:lang w:val="pl-PL"/>
        </w:rPr>
        <w:t xml:space="preserve">: </w:t>
      </w:r>
      <w:r w:rsidR="00C525E9" w:rsidRPr="00495AD0">
        <w:rPr>
          <w:rFonts w:ascii="Times New Roman" w:hAnsi="Times New Roman"/>
          <w:sz w:val="28"/>
          <w:szCs w:val="28"/>
          <w:lang w:val="pl-PL"/>
        </w:rPr>
        <w:t>Quy định</w:t>
      </w:r>
      <w:r w:rsidR="00A855D9" w:rsidRPr="00495AD0">
        <w:rPr>
          <w:rFonts w:ascii="Times New Roman" w:hAnsi="Times New Roman"/>
          <w:sz w:val="28"/>
          <w:szCs w:val="28"/>
          <w:lang w:val="pl-PL"/>
        </w:rPr>
        <w:t xml:space="preserve"> về</w:t>
      </w:r>
      <w:r w:rsidR="00C525E9" w:rsidRPr="00495AD0">
        <w:rPr>
          <w:rFonts w:ascii="Times New Roman" w:hAnsi="Times New Roman"/>
          <w:sz w:val="28"/>
          <w:szCs w:val="28"/>
          <w:lang w:val="pl-PL"/>
        </w:rPr>
        <w:t xml:space="preserve"> hạn mức thấu chi, cách tính hạn mức</w:t>
      </w:r>
      <w:r w:rsidR="00A855D9" w:rsidRPr="00495AD0">
        <w:rPr>
          <w:rFonts w:ascii="Times New Roman" w:hAnsi="Times New Roman"/>
          <w:sz w:val="28"/>
          <w:szCs w:val="28"/>
          <w:lang w:val="pl-PL"/>
        </w:rPr>
        <w:t xml:space="preserve"> thấu chi, mức thấu chi thực tế.</w:t>
      </w:r>
    </w:p>
    <w:p w:rsidR="0073274A" w:rsidRPr="00A855D9" w:rsidRDefault="0073274A" w:rsidP="00A855D9">
      <w:pPr>
        <w:spacing w:before="60" w:after="60"/>
        <w:ind w:firstLine="576"/>
        <w:jc w:val="both"/>
        <w:rPr>
          <w:rFonts w:ascii="Times New Roman" w:hAnsi="Times New Roman"/>
          <w:sz w:val="28"/>
          <w:szCs w:val="28"/>
          <w:lang w:val="pl-PL"/>
        </w:rPr>
      </w:pPr>
      <w:r w:rsidRPr="00A855D9">
        <w:rPr>
          <w:rFonts w:ascii="Times New Roman" w:hAnsi="Times New Roman"/>
          <w:sz w:val="28"/>
          <w:szCs w:val="28"/>
          <w:lang w:val="pl-PL"/>
        </w:rPr>
        <w:t xml:space="preserve">- Bổ sung thêm quy định về hạn mức thấu chi làm cơ sở </w:t>
      </w:r>
      <w:r w:rsidR="00951C3B">
        <w:rPr>
          <w:rFonts w:ascii="Times New Roman" w:hAnsi="Times New Roman"/>
          <w:sz w:val="28"/>
          <w:szCs w:val="28"/>
          <w:lang w:val="pl-PL"/>
        </w:rPr>
        <w:t>thực hiện thấu chi trong ngày thanh toán trong thanh toán điện tử liên ngân hàng</w:t>
      </w:r>
      <w:r w:rsidRPr="00A855D9">
        <w:rPr>
          <w:rFonts w:ascii="Times New Roman" w:hAnsi="Times New Roman"/>
          <w:sz w:val="28"/>
          <w:szCs w:val="28"/>
          <w:lang w:val="pl-PL"/>
        </w:rPr>
        <w:t>.</w:t>
      </w:r>
    </w:p>
    <w:p w:rsidR="0073274A" w:rsidRPr="00A855D9" w:rsidRDefault="0073274A" w:rsidP="00A855D9">
      <w:pPr>
        <w:spacing w:before="60" w:after="60"/>
        <w:ind w:firstLine="576"/>
        <w:jc w:val="both"/>
        <w:rPr>
          <w:rFonts w:ascii="Times New Roman" w:hAnsi="Times New Roman"/>
          <w:sz w:val="28"/>
          <w:szCs w:val="28"/>
          <w:lang w:val="pl-PL"/>
        </w:rPr>
      </w:pPr>
      <w:r w:rsidRPr="00A855D9">
        <w:rPr>
          <w:rFonts w:ascii="Times New Roman" w:hAnsi="Times New Roman"/>
          <w:sz w:val="28"/>
          <w:szCs w:val="28"/>
          <w:lang w:val="pl-PL"/>
        </w:rPr>
        <w:t xml:space="preserve">-  </w:t>
      </w:r>
      <w:r w:rsidR="005632D5">
        <w:rPr>
          <w:rFonts w:ascii="Times New Roman" w:hAnsi="Times New Roman"/>
          <w:sz w:val="28"/>
          <w:szCs w:val="28"/>
          <w:lang w:val="pl-PL"/>
        </w:rPr>
        <w:t>Về tỷ lệ giá trị giấy tờ có giá để thưc hiện thấu chi và cho vay qua đêm</w:t>
      </w:r>
      <w:r w:rsidR="00951C3B">
        <w:rPr>
          <w:rFonts w:ascii="Times New Roman" w:hAnsi="Times New Roman"/>
          <w:sz w:val="28"/>
          <w:szCs w:val="28"/>
          <w:lang w:val="pl-PL"/>
        </w:rPr>
        <w:t>: Đối với tỷ lệ giá trị giấy tờ có giá sẽ được quy định tại văn bản khác của NHNN, hiện nay là Quyết định số 11/2010/QĐ-NHNN ngày 06/01/2010 về danh mục giấy tờ có giá được sử dụng trong các giao dịch của NHNN</w:t>
      </w:r>
      <w:r w:rsidRPr="00A855D9">
        <w:rPr>
          <w:rFonts w:ascii="Times New Roman" w:hAnsi="Times New Roman"/>
          <w:sz w:val="28"/>
          <w:szCs w:val="28"/>
          <w:lang w:val="pl-PL"/>
        </w:rPr>
        <w:t>.</w:t>
      </w:r>
    </w:p>
    <w:p w:rsidR="00C525E9" w:rsidRPr="00A855D9" w:rsidRDefault="0073274A" w:rsidP="00A855D9">
      <w:pPr>
        <w:jc w:val="both"/>
        <w:rPr>
          <w:rFonts w:ascii="Times New Roman" w:hAnsi="Times New Roman"/>
          <w:b/>
          <w:sz w:val="28"/>
          <w:szCs w:val="28"/>
          <w:lang w:val="pl-PL"/>
        </w:rPr>
      </w:pPr>
      <w:r w:rsidRPr="00A855D9">
        <w:rPr>
          <w:rFonts w:ascii="Times New Roman" w:hAnsi="Times New Roman"/>
          <w:sz w:val="28"/>
          <w:szCs w:val="28"/>
          <w:lang w:val="pl-PL"/>
        </w:rPr>
        <w:tab/>
      </w:r>
      <w:r w:rsidRPr="00A855D9">
        <w:rPr>
          <w:rFonts w:ascii="Times New Roman" w:hAnsi="Times New Roman"/>
          <w:sz w:val="28"/>
          <w:szCs w:val="28"/>
          <w:lang w:val="pl-PL"/>
        </w:rPr>
        <w:tab/>
      </w:r>
      <w:r w:rsidRPr="00A855D9">
        <w:rPr>
          <w:rFonts w:ascii="Times New Roman" w:hAnsi="Times New Roman"/>
          <w:b/>
          <w:sz w:val="28"/>
          <w:szCs w:val="28"/>
          <w:lang w:val="pl-PL"/>
        </w:rPr>
        <w:t>5.</w:t>
      </w:r>
      <w:r w:rsidR="00A855D9" w:rsidRPr="00A855D9">
        <w:rPr>
          <w:rFonts w:ascii="Times New Roman" w:hAnsi="Times New Roman"/>
          <w:b/>
          <w:sz w:val="28"/>
          <w:szCs w:val="28"/>
          <w:lang w:val="pl-PL"/>
        </w:rPr>
        <w:t xml:space="preserve"> Về lãi suất </w:t>
      </w:r>
      <w:r w:rsidR="00A9677C">
        <w:rPr>
          <w:rFonts w:ascii="Times New Roman" w:hAnsi="Times New Roman"/>
          <w:b/>
          <w:sz w:val="28"/>
          <w:szCs w:val="28"/>
          <w:lang w:val="pl-PL"/>
        </w:rPr>
        <w:t xml:space="preserve">cho </w:t>
      </w:r>
      <w:r w:rsidR="00A855D9" w:rsidRPr="00A855D9">
        <w:rPr>
          <w:rFonts w:ascii="Times New Roman" w:hAnsi="Times New Roman"/>
          <w:b/>
          <w:sz w:val="28"/>
          <w:szCs w:val="28"/>
          <w:lang w:val="pl-PL"/>
        </w:rPr>
        <w:t>vay qua đêm</w:t>
      </w:r>
      <w:r w:rsidR="00A855D9">
        <w:rPr>
          <w:rFonts w:ascii="Times New Roman" w:hAnsi="Times New Roman"/>
          <w:b/>
          <w:sz w:val="28"/>
          <w:szCs w:val="28"/>
          <w:lang w:val="pl-PL"/>
        </w:rPr>
        <w:t xml:space="preserve"> (Điều 8)</w:t>
      </w:r>
    </w:p>
    <w:p w:rsidR="0073274A" w:rsidRPr="00A855D9" w:rsidRDefault="0073274A" w:rsidP="00A855D9">
      <w:pPr>
        <w:pStyle w:val="NormalWeb"/>
        <w:spacing w:before="120" w:beforeAutospacing="0" w:after="120" w:afterAutospacing="0"/>
        <w:ind w:firstLine="567"/>
        <w:jc w:val="both"/>
        <w:rPr>
          <w:color w:val="000000" w:themeColor="text1"/>
          <w:sz w:val="28"/>
          <w:szCs w:val="28"/>
          <w:lang w:val="pl-PL"/>
        </w:rPr>
      </w:pPr>
      <w:r w:rsidRPr="00A855D9">
        <w:rPr>
          <w:sz w:val="28"/>
          <w:szCs w:val="28"/>
          <w:lang w:val="pl-PL"/>
        </w:rPr>
        <w:tab/>
      </w:r>
      <w:r w:rsidRPr="00A855D9">
        <w:rPr>
          <w:sz w:val="28"/>
          <w:szCs w:val="28"/>
          <w:lang w:val="pl-PL"/>
        </w:rPr>
        <w:tab/>
      </w:r>
      <w:r w:rsidRPr="005632D5">
        <w:rPr>
          <w:i/>
          <w:sz w:val="28"/>
          <w:szCs w:val="28"/>
          <w:lang w:val="pl-PL"/>
        </w:rPr>
        <w:t>- Dự thảo Thông tư quy định:</w:t>
      </w:r>
      <w:r w:rsidRPr="00A855D9">
        <w:rPr>
          <w:color w:val="000000" w:themeColor="text1"/>
          <w:sz w:val="28"/>
          <w:szCs w:val="28"/>
          <w:lang w:val="pl-PL"/>
        </w:rPr>
        <w:t xml:space="preserve"> Lãi suất cho vay qua đêm do Thống đốc Ngân hàng Nhà nước quy định trong từng thời kỳ; Lãi suất quá hạn đối với dư nợ vay qua đêm (bao gồm cả gốc và lãi) bị quá hạn bằng 150% lãi suất cho vay qua đêm quy định tại thời điểm phát sinh khoản vay. </w:t>
      </w:r>
    </w:p>
    <w:p w:rsidR="00A855D9" w:rsidRPr="00A9677C" w:rsidRDefault="00A855D9" w:rsidP="00A855D9">
      <w:pPr>
        <w:tabs>
          <w:tab w:val="left" w:pos="1985"/>
        </w:tabs>
        <w:spacing w:before="60" w:after="60"/>
        <w:ind w:firstLine="567"/>
        <w:jc w:val="both"/>
        <w:rPr>
          <w:rFonts w:ascii="Times New Roman" w:eastAsia="Arial" w:hAnsi="Times New Roman"/>
          <w:b/>
          <w:sz w:val="28"/>
          <w:szCs w:val="28"/>
          <w:lang w:val="pl-PL"/>
        </w:rPr>
      </w:pPr>
      <w:r w:rsidRPr="00A855D9">
        <w:rPr>
          <w:rFonts w:ascii="Times New Roman" w:hAnsi="Times New Roman"/>
          <w:color w:val="000000" w:themeColor="text1"/>
          <w:sz w:val="28"/>
          <w:szCs w:val="28"/>
          <w:lang w:val="pl-PL"/>
        </w:rPr>
        <w:lastRenderedPageBreak/>
        <w:t xml:space="preserve"> </w:t>
      </w:r>
      <w:r w:rsidRPr="005632D5">
        <w:rPr>
          <w:rFonts w:ascii="Times New Roman" w:hAnsi="Times New Roman"/>
          <w:i/>
          <w:color w:val="000000" w:themeColor="text1"/>
          <w:sz w:val="28"/>
          <w:szCs w:val="28"/>
          <w:u w:val="single"/>
          <w:lang w:val="pl-PL"/>
        </w:rPr>
        <w:t>Cơ sở đề xuất:</w:t>
      </w:r>
      <w:r w:rsidRPr="00A855D9">
        <w:rPr>
          <w:rFonts w:ascii="Times New Roman" w:hAnsi="Times New Roman"/>
          <w:color w:val="000000" w:themeColor="text1"/>
          <w:sz w:val="28"/>
          <w:szCs w:val="28"/>
          <w:lang w:val="pl-PL"/>
        </w:rPr>
        <w:t xml:space="preserve"> </w:t>
      </w:r>
      <w:r w:rsidRPr="00A855D9">
        <w:rPr>
          <w:rFonts w:ascii="Times New Roman" w:eastAsia="Arial" w:hAnsi="Times New Roman"/>
          <w:sz w:val="28"/>
          <w:szCs w:val="28"/>
          <w:lang w:val="pl-PL"/>
        </w:rPr>
        <w:t>Tại Điều 305 Bộ Luật Dân sự quy định trường hợp bên có nghĩa vụ chậm trả tiền thì bên đó phải trả lãi đối với số tiền chậm trả, do vậy quy định áp dụng lãi suất quá hạn trong cho vay qua đêm là phù hợp với quy định hiện hành</w:t>
      </w:r>
      <w:r w:rsidR="005632D5">
        <w:rPr>
          <w:rFonts w:ascii="Times New Roman" w:eastAsia="Arial" w:hAnsi="Times New Roman"/>
          <w:sz w:val="28"/>
          <w:szCs w:val="28"/>
          <w:lang w:val="pl-PL"/>
        </w:rPr>
        <w:t>.</w:t>
      </w:r>
      <w:r w:rsidR="00A9677C" w:rsidRPr="00A9677C">
        <w:rPr>
          <w:rFonts w:eastAsia="Arial"/>
          <w:sz w:val="24"/>
          <w:szCs w:val="24"/>
          <w:lang w:val="pl-PL"/>
        </w:rPr>
        <w:t xml:space="preserve"> </w:t>
      </w:r>
      <w:r w:rsidR="00A9677C" w:rsidRPr="00A9677C">
        <w:rPr>
          <w:rFonts w:ascii="Times New Roman" w:eastAsia="Arial" w:hAnsi="Times New Roman"/>
          <w:sz w:val="28"/>
          <w:szCs w:val="28"/>
          <w:lang w:val="pl-PL"/>
        </w:rPr>
        <w:t>Do vậy,</w:t>
      </w:r>
      <w:r w:rsidR="00A9677C">
        <w:rPr>
          <w:rFonts w:eastAsia="Arial"/>
          <w:sz w:val="24"/>
          <w:szCs w:val="24"/>
          <w:lang w:val="pl-PL"/>
        </w:rPr>
        <w:t xml:space="preserve"> </w:t>
      </w:r>
      <w:r w:rsidR="00A9677C" w:rsidRPr="00A9677C">
        <w:rPr>
          <w:rFonts w:ascii="Times New Roman" w:eastAsia="Arial" w:hAnsi="Times New Roman"/>
          <w:sz w:val="28"/>
          <w:szCs w:val="28"/>
          <w:lang w:val="pl-PL"/>
        </w:rPr>
        <w:t>dự thảo Thông tư bổ sung thêm lãi suất quá hạn cho phù hợ</w:t>
      </w:r>
      <w:r w:rsidR="00A9677C">
        <w:rPr>
          <w:rFonts w:ascii="Times New Roman" w:eastAsia="Arial" w:hAnsi="Times New Roman"/>
          <w:sz w:val="28"/>
          <w:szCs w:val="28"/>
          <w:lang w:val="pl-PL"/>
        </w:rPr>
        <w:t>p.</w:t>
      </w:r>
    </w:p>
    <w:p w:rsidR="005632D5" w:rsidRDefault="00A855D9" w:rsidP="00A855D9">
      <w:pPr>
        <w:spacing w:after="60" w:line="360" w:lineRule="exact"/>
        <w:ind w:firstLine="851"/>
        <w:jc w:val="both"/>
        <w:rPr>
          <w:rFonts w:ascii="Times New Roman" w:hAnsi="Times New Roman"/>
          <w:sz w:val="28"/>
          <w:szCs w:val="28"/>
          <w:lang w:val="pl-PL"/>
        </w:rPr>
      </w:pPr>
      <w:r w:rsidRPr="00A855D9">
        <w:rPr>
          <w:rFonts w:ascii="Times New Roman" w:hAnsi="Times New Roman"/>
          <w:b/>
          <w:sz w:val="28"/>
          <w:szCs w:val="28"/>
          <w:lang w:val="pl-PL"/>
        </w:rPr>
        <w:t>6</w:t>
      </w:r>
      <w:r w:rsidR="00C525E9" w:rsidRPr="00A855D9">
        <w:rPr>
          <w:rFonts w:ascii="Times New Roman" w:hAnsi="Times New Roman"/>
          <w:b/>
          <w:sz w:val="28"/>
          <w:szCs w:val="28"/>
          <w:lang w:val="pl-PL"/>
        </w:rPr>
        <w:t xml:space="preserve">. </w:t>
      </w:r>
      <w:r w:rsidRPr="00A855D9">
        <w:rPr>
          <w:rFonts w:ascii="Times New Roman" w:hAnsi="Times New Roman"/>
          <w:b/>
          <w:sz w:val="28"/>
          <w:szCs w:val="28"/>
          <w:lang w:val="pl-PL"/>
        </w:rPr>
        <w:t>Về t</w:t>
      </w:r>
      <w:r w:rsidR="00C525E9" w:rsidRPr="00A855D9">
        <w:rPr>
          <w:rFonts w:ascii="Times New Roman" w:hAnsi="Times New Roman"/>
          <w:b/>
          <w:sz w:val="28"/>
          <w:szCs w:val="28"/>
          <w:lang w:val="pl-PL"/>
        </w:rPr>
        <w:t>hực hiện thấu chi và cho vay qua đêm</w:t>
      </w:r>
      <w:r>
        <w:rPr>
          <w:rFonts w:ascii="Times New Roman" w:hAnsi="Times New Roman"/>
          <w:sz w:val="28"/>
          <w:szCs w:val="28"/>
          <w:lang w:val="pl-PL"/>
        </w:rPr>
        <w:t xml:space="preserve"> </w:t>
      </w:r>
      <w:r w:rsidRPr="00A855D9">
        <w:rPr>
          <w:rFonts w:ascii="Times New Roman" w:hAnsi="Times New Roman"/>
          <w:b/>
          <w:sz w:val="28"/>
          <w:szCs w:val="28"/>
          <w:lang w:val="pl-PL"/>
        </w:rPr>
        <w:t>(Điều 9)</w:t>
      </w:r>
      <w:r w:rsidR="00C525E9" w:rsidRPr="00A855D9">
        <w:rPr>
          <w:rFonts w:ascii="Times New Roman" w:hAnsi="Times New Roman"/>
          <w:sz w:val="28"/>
          <w:szCs w:val="28"/>
          <w:lang w:val="pl-PL"/>
        </w:rPr>
        <w:t xml:space="preserve">: </w:t>
      </w:r>
    </w:p>
    <w:p w:rsidR="00C525E9" w:rsidRPr="00A855D9" w:rsidRDefault="005632D5" w:rsidP="00A855D9">
      <w:pPr>
        <w:spacing w:after="60" w:line="360" w:lineRule="exact"/>
        <w:ind w:firstLine="851"/>
        <w:jc w:val="both"/>
        <w:rPr>
          <w:rFonts w:ascii="Times New Roman" w:hAnsi="Times New Roman"/>
          <w:sz w:val="28"/>
          <w:szCs w:val="28"/>
          <w:lang w:val="pl-PL"/>
        </w:rPr>
      </w:pPr>
      <w:r>
        <w:rPr>
          <w:rFonts w:ascii="Times New Roman" w:hAnsi="Times New Roman"/>
          <w:sz w:val="28"/>
          <w:szCs w:val="28"/>
          <w:lang w:val="pl-PL"/>
        </w:rPr>
        <w:t xml:space="preserve">- </w:t>
      </w:r>
      <w:r w:rsidR="00C525E9" w:rsidRPr="00A855D9">
        <w:rPr>
          <w:rFonts w:ascii="Times New Roman" w:hAnsi="Times New Roman"/>
          <w:sz w:val="28"/>
          <w:szCs w:val="28"/>
          <w:lang w:val="pl-PL"/>
        </w:rPr>
        <w:t xml:space="preserve">Quy định </w:t>
      </w:r>
      <w:r>
        <w:rPr>
          <w:rFonts w:ascii="Times New Roman" w:hAnsi="Times New Roman"/>
          <w:sz w:val="28"/>
          <w:szCs w:val="28"/>
          <w:lang w:val="pl-PL"/>
        </w:rPr>
        <w:t xml:space="preserve">về </w:t>
      </w:r>
      <w:r w:rsidR="00C525E9" w:rsidRPr="00A855D9">
        <w:rPr>
          <w:rFonts w:ascii="Times New Roman" w:hAnsi="Times New Roman"/>
          <w:sz w:val="28"/>
          <w:szCs w:val="28"/>
          <w:lang w:val="pl-PL"/>
        </w:rPr>
        <w:t>thời điểm Sở giao dịch thông báo hạn mức thấu chi, thời điểm thực hiện thấu chi, cho vay qua đêm, thời điểm chuyển nợ vay qua đêm sang nợ quá hạn và áp dụng lãi suất</w:t>
      </w:r>
      <w:r w:rsidR="00A9677C">
        <w:rPr>
          <w:rFonts w:ascii="Times New Roman" w:hAnsi="Times New Roman"/>
          <w:sz w:val="28"/>
          <w:szCs w:val="28"/>
          <w:lang w:val="pl-PL"/>
        </w:rPr>
        <w:t xml:space="preserve"> nợ</w:t>
      </w:r>
      <w:r w:rsidR="00C525E9" w:rsidRPr="00A855D9">
        <w:rPr>
          <w:rFonts w:ascii="Times New Roman" w:hAnsi="Times New Roman"/>
          <w:sz w:val="28"/>
          <w:szCs w:val="28"/>
          <w:lang w:val="pl-PL"/>
        </w:rPr>
        <w:t xml:space="preserve"> </w:t>
      </w:r>
      <w:r>
        <w:rPr>
          <w:rFonts w:ascii="Times New Roman" w:hAnsi="Times New Roman"/>
          <w:sz w:val="28"/>
          <w:szCs w:val="28"/>
          <w:lang w:val="pl-PL"/>
        </w:rPr>
        <w:t>quá hạn vay qua đêm</w:t>
      </w:r>
      <w:r w:rsidR="00A9677C">
        <w:rPr>
          <w:rFonts w:ascii="Times New Roman" w:hAnsi="Times New Roman"/>
          <w:sz w:val="28"/>
          <w:szCs w:val="28"/>
          <w:lang w:val="pl-PL"/>
        </w:rPr>
        <w:t>,...</w:t>
      </w:r>
      <w:r w:rsidRPr="005632D5">
        <w:rPr>
          <w:rFonts w:ascii="Times New Roman" w:hAnsi="Times New Roman"/>
          <w:sz w:val="28"/>
          <w:szCs w:val="28"/>
          <w:lang w:val="pl-PL"/>
        </w:rPr>
        <w:t xml:space="preserve"> </w:t>
      </w:r>
      <w:r>
        <w:rPr>
          <w:rFonts w:ascii="Times New Roman" w:hAnsi="Times New Roman"/>
          <w:sz w:val="28"/>
          <w:szCs w:val="28"/>
          <w:lang w:val="pl-PL"/>
        </w:rPr>
        <w:t xml:space="preserve">cho phù hợp với quy trình thực hiện thấu chi, cho vay qua đêm trong thanh toán điện tử liên ngân hàng hiện nay; đồng thời dự thảo Thông tư </w:t>
      </w:r>
      <w:r w:rsidRPr="005632D5">
        <w:rPr>
          <w:rFonts w:ascii="Times New Roman" w:hAnsi="Times New Roman"/>
          <w:color w:val="000000" w:themeColor="text1"/>
          <w:sz w:val="28"/>
          <w:szCs w:val="28"/>
          <w:lang w:val="pl-PL"/>
        </w:rPr>
        <w:t>bổ sung quy định về nợ quá hạn vay qua đêm, thời điểm tính nợ quá hạn và áp dụng lãi suất quá hạn để đảm bảo thu hồi nợ trong trường hợp TCTD không trả được nợ vay qua đêm.</w:t>
      </w:r>
    </w:p>
    <w:p w:rsidR="001C70C1" w:rsidRPr="00A855D9" w:rsidRDefault="00A855D9" w:rsidP="00A855D9">
      <w:pPr>
        <w:spacing w:after="60" w:line="360" w:lineRule="exact"/>
        <w:ind w:firstLine="851"/>
        <w:jc w:val="both"/>
        <w:rPr>
          <w:rFonts w:ascii="Times New Roman" w:hAnsi="Times New Roman"/>
          <w:sz w:val="28"/>
          <w:szCs w:val="28"/>
          <w:lang w:val="pl-PL"/>
        </w:rPr>
      </w:pPr>
      <w:r w:rsidRPr="00A855D9">
        <w:rPr>
          <w:rFonts w:ascii="Times New Roman" w:hAnsi="Times New Roman"/>
          <w:b/>
          <w:sz w:val="28"/>
          <w:szCs w:val="28"/>
          <w:lang w:val="pl-PL"/>
        </w:rPr>
        <w:t>7.</w:t>
      </w:r>
      <w:r w:rsidR="00C525E9" w:rsidRPr="00A855D9">
        <w:rPr>
          <w:rFonts w:ascii="Times New Roman" w:hAnsi="Times New Roman"/>
          <w:b/>
          <w:sz w:val="28"/>
          <w:szCs w:val="28"/>
          <w:lang w:val="pl-PL"/>
        </w:rPr>
        <w:t xml:space="preserve"> Xử lý trường hợp tổ chức tín dụng có nợ quá hạn vay qua đêm</w:t>
      </w:r>
      <w:r>
        <w:rPr>
          <w:rFonts w:ascii="Times New Roman" w:hAnsi="Times New Roman"/>
          <w:sz w:val="28"/>
          <w:szCs w:val="28"/>
          <w:lang w:val="pl-PL"/>
        </w:rPr>
        <w:t xml:space="preserve"> </w:t>
      </w:r>
      <w:r w:rsidRPr="00A855D9">
        <w:rPr>
          <w:rFonts w:ascii="Times New Roman" w:hAnsi="Times New Roman"/>
          <w:b/>
          <w:sz w:val="28"/>
          <w:szCs w:val="28"/>
          <w:lang w:val="pl-PL"/>
        </w:rPr>
        <w:t>(Điều 10)</w:t>
      </w:r>
      <w:r w:rsidR="00C525E9" w:rsidRPr="00A855D9">
        <w:rPr>
          <w:rFonts w:ascii="Times New Roman" w:hAnsi="Times New Roman"/>
          <w:sz w:val="28"/>
          <w:szCs w:val="28"/>
          <w:lang w:val="pl-PL"/>
        </w:rPr>
        <w:t>: Quy định việc NHNN thực hiện các biện pháp thu hồi nợ vay qua đêm quá hạn như trích tài khoản tiền gửi thanh toán của TCTD tại NHNN, thu hồi nợ gốc và lãi từ các nguồn khác nếu có,...</w:t>
      </w:r>
      <w:r w:rsidR="005632D5">
        <w:rPr>
          <w:rFonts w:ascii="Times New Roman" w:hAnsi="Times New Roman"/>
          <w:sz w:val="28"/>
          <w:szCs w:val="28"/>
          <w:lang w:val="pl-PL"/>
        </w:rPr>
        <w:t xml:space="preserve"> </w:t>
      </w:r>
    </w:p>
    <w:p w:rsidR="00A855D9" w:rsidRPr="00A855D9" w:rsidRDefault="00A855D9" w:rsidP="00A855D9">
      <w:pPr>
        <w:spacing w:after="60" w:line="360" w:lineRule="exact"/>
        <w:ind w:firstLine="851"/>
        <w:jc w:val="both"/>
        <w:rPr>
          <w:rFonts w:ascii="Times New Roman" w:hAnsi="Times New Roman"/>
          <w:sz w:val="28"/>
          <w:szCs w:val="28"/>
          <w:lang w:val="pl-PL"/>
        </w:rPr>
      </w:pPr>
      <w:r w:rsidRPr="005632D5">
        <w:rPr>
          <w:rFonts w:ascii="Times New Roman" w:hAnsi="Times New Roman"/>
          <w:i/>
          <w:sz w:val="28"/>
          <w:szCs w:val="28"/>
          <w:u w:val="single"/>
          <w:lang w:val="pl-PL"/>
        </w:rPr>
        <w:t xml:space="preserve"> Cơ sở đề xuất:</w:t>
      </w:r>
      <w:r w:rsidRPr="00A855D9">
        <w:rPr>
          <w:rFonts w:ascii="Times New Roman" w:hAnsi="Times New Roman"/>
          <w:sz w:val="28"/>
          <w:szCs w:val="28"/>
          <w:lang w:val="pl-PL"/>
        </w:rPr>
        <w:t xml:space="preserve"> </w:t>
      </w:r>
      <w:r w:rsidRPr="00A855D9">
        <w:rPr>
          <w:rFonts w:ascii="Times New Roman" w:eastAsia="Arial" w:hAnsi="Times New Roman"/>
          <w:sz w:val="28"/>
          <w:szCs w:val="28"/>
          <w:lang w:val="pl-PL"/>
        </w:rPr>
        <w:t>Tại Điều 336 Bộ Luật Dân sự quy định trường hợp đến hạn thực hiện nghĩa vụ dân sự mà bên có nghĩa vụ không thực hiện hoặc thực hiện không đúng thỏa thuận thì tài sản cầm cố được xử lý theo phương thức do các bên thỏa thuận hoặc được bán đấu giá theo quy định của pháp luật để thực hiện nghĩa vụ</w:t>
      </w:r>
      <w:r w:rsidR="007305C5">
        <w:rPr>
          <w:rFonts w:ascii="Times New Roman" w:eastAsia="Arial" w:hAnsi="Times New Roman"/>
          <w:sz w:val="28"/>
          <w:szCs w:val="28"/>
          <w:lang w:val="pl-PL"/>
        </w:rPr>
        <w:t>.</w:t>
      </w:r>
    </w:p>
    <w:p w:rsidR="00C525E9" w:rsidRPr="00A855D9" w:rsidRDefault="00A855D9" w:rsidP="00A855D9">
      <w:pPr>
        <w:spacing w:after="60" w:line="360" w:lineRule="exact"/>
        <w:ind w:firstLine="851"/>
        <w:jc w:val="both"/>
        <w:rPr>
          <w:rFonts w:ascii="Times New Roman" w:hAnsi="Times New Roman"/>
          <w:sz w:val="28"/>
          <w:szCs w:val="28"/>
          <w:lang w:val="pl-PL"/>
        </w:rPr>
      </w:pPr>
      <w:r w:rsidRPr="00A855D9">
        <w:rPr>
          <w:rFonts w:ascii="Times New Roman" w:hAnsi="Times New Roman"/>
          <w:b/>
          <w:sz w:val="28"/>
          <w:szCs w:val="28"/>
          <w:lang w:val="pl-PL"/>
        </w:rPr>
        <w:t>8. Trách nhiệm của các đơn vị</w:t>
      </w:r>
      <w:r>
        <w:rPr>
          <w:rFonts w:ascii="Times New Roman" w:hAnsi="Times New Roman"/>
          <w:b/>
          <w:sz w:val="28"/>
          <w:szCs w:val="28"/>
          <w:lang w:val="pl-PL"/>
        </w:rPr>
        <w:t xml:space="preserve"> (Điều 11)</w:t>
      </w:r>
      <w:r w:rsidRPr="00A855D9">
        <w:rPr>
          <w:rFonts w:ascii="Times New Roman" w:hAnsi="Times New Roman"/>
          <w:b/>
          <w:sz w:val="28"/>
          <w:szCs w:val="28"/>
          <w:lang w:val="pl-PL"/>
        </w:rPr>
        <w:t>:</w:t>
      </w:r>
      <w:r w:rsidRPr="00A855D9">
        <w:rPr>
          <w:rFonts w:ascii="Times New Roman" w:hAnsi="Times New Roman"/>
          <w:sz w:val="28"/>
          <w:szCs w:val="28"/>
          <w:lang w:val="pl-PL"/>
        </w:rPr>
        <w:t xml:space="preserve"> quy định rõ hơn trách nhiệm của các đơn vị như Vụ Chính sách tiền tệ, Sở giao</w:t>
      </w:r>
      <w:r w:rsidR="00A9677C">
        <w:rPr>
          <w:rFonts w:ascii="Times New Roman" w:hAnsi="Times New Roman"/>
          <w:sz w:val="28"/>
          <w:szCs w:val="28"/>
          <w:lang w:val="pl-PL"/>
        </w:rPr>
        <w:t xml:space="preserve"> dịch, Cục Công nghệ tin học, Vụ Tài chính kế toán, Vụ Thanh toán, các tổ chức tín dụng tham gia thấu chi và vay qua đêm.</w:t>
      </w:r>
    </w:p>
    <w:p w:rsidR="00C525E9" w:rsidRPr="004739C7" w:rsidRDefault="00C525E9" w:rsidP="00A855D9">
      <w:pPr>
        <w:pStyle w:val="Default"/>
        <w:spacing w:after="60" w:line="360" w:lineRule="exact"/>
        <w:ind w:firstLine="851"/>
        <w:jc w:val="both"/>
        <w:rPr>
          <w:rFonts w:ascii="Times New Roman" w:hAnsi="Times New Roman" w:cs="Times New Roman"/>
          <w:b/>
          <w:sz w:val="28"/>
          <w:szCs w:val="28"/>
          <w:u w:val="single"/>
          <w:lang w:val="pl-PL"/>
        </w:rPr>
      </w:pPr>
      <w:r w:rsidRPr="004739C7">
        <w:rPr>
          <w:rFonts w:ascii="Times New Roman" w:hAnsi="Times New Roman" w:cs="Times New Roman"/>
          <w:b/>
          <w:sz w:val="28"/>
          <w:szCs w:val="28"/>
          <w:u w:val="single"/>
          <w:lang w:val="pl-PL"/>
        </w:rPr>
        <w:t>Phụ lục kèm theo</w:t>
      </w:r>
      <w:r w:rsidR="001C70C1" w:rsidRPr="004739C7">
        <w:rPr>
          <w:rFonts w:ascii="Times New Roman" w:hAnsi="Times New Roman" w:cs="Times New Roman"/>
          <w:b/>
          <w:sz w:val="28"/>
          <w:szCs w:val="28"/>
          <w:u w:val="single"/>
          <w:lang w:val="pl-PL"/>
        </w:rPr>
        <w:t>:</w:t>
      </w:r>
    </w:p>
    <w:p w:rsidR="00C525E9" w:rsidRPr="00A855D9" w:rsidRDefault="00C525E9" w:rsidP="00A855D9">
      <w:pPr>
        <w:pStyle w:val="Default"/>
        <w:spacing w:after="60" w:line="360" w:lineRule="exact"/>
        <w:ind w:firstLine="851"/>
        <w:jc w:val="both"/>
        <w:rPr>
          <w:rFonts w:ascii="Times New Roman" w:hAnsi="Times New Roman" w:cs="Times New Roman"/>
          <w:sz w:val="28"/>
          <w:szCs w:val="28"/>
          <w:lang w:val="pl-PL"/>
        </w:rPr>
      </w:pPr>
      <w:r w:rsidRPr="00A855D9">
        <w:rPr>
          <w:rFonts w:ascii="Times New Roman" w:hAnsi="Times New Roman" w:cs="Times New Roman"/>
          <w:sz w:val="28"/>
          <w:szCs w:val="28"/>
          <w:lang w:val="pl-PL"/>
        </w:rPr>
        <w:t xml:space="preserve">Thông tư bao gồm 02 Phụ lục </w:t>
      </w:r>
      <w:r w:rsidR="001C70C1" w:rsidRPr="00A855D9">
        <w:rPr>
          <w:rFonts w:ascii="Times New Roman" w:hAnsi="Times New Roman" w:cs="Times New Roman"/>
          <w:sz w:val="28"/>
          <w:szCs w:val="28"/>
          <w:lang w:val="pl-PL"/>
        </w:rPr>
        <w:t>là</w:t>
      </w:r>
      <w:r w:rsidRPr="00A855D9">
        <w:rPr>
          <w:rFonts w:ascii="Times New Roman" w:hAnsi="Times New Roman" w:cs="Times New Roman"/>
          <w:sz w:val="28"/>
          <w:szCs w:val="28"/>
          <w:lang w:val="pl-PL"/>
        </w:rPr>
        <w:t xml:space="preserve"> giấy đề nghị thấu chi và cho vay qua đêm, công thức xác định giá trị giấy tờ có giá tại thời điểm định giá.</w:t>
      </w:r>
    </w:p>
    <w:p w:rsidR="00C525E9" w:rsidRPr="009678D8" w:rsidRDefault="00C525E9" w:rsidP="00390DDB">
      <w:pPr>
        <w:pStyle w:val="Default"/>
        <w:spacing w:before="120" w:after="120" w:line="340" w:lineRule="exact"/>
        <w:ind w:firstLine="851"/>
        <w:jc w:val="both"/>
        <w:rPr>
          <w:rFonts w:ascii="Times New Roman" w:hAnsi="Times New Roman" w:cs="Times New Roman"/>
          <w:sz w:val="28"/>
          <w:szCs w:val="28"/>
          <w:lang w:val="pl-PL"/>
        </w:rPr>
      </w:pPr>
    </w:p>
    <w:tbl>
      <w:tblPr>
        <w:tblW w:w="9180" w:type="dxa"/>
        <w:tblLook w:val="00A0"/>
      </w:tblPr>
      <w:tblGrid>
        <w:gridCol w:w="5637"/>
        <w:gridCol w:w="3543"/>
      </w:tblGrid>
      <w:tr w:rsidR="00C525E9" w:rsidRPr="00D02E70" w:rsidTr="003D5E27">
        <w:tc>
          <w:tcPr>
            <w:tcW w:w="5637" w:type="dxa"/>
          </w:tcPr>
          <w:p w:rsidR="00C525E9" w:rsidRPr="009678D8" w:rsidRDefault="00C525E9" w:rsidP="003D5E27">
            <w:pPr>
              <w:spacing w:after="0" w:line="240" w:lineRule="auto"/>
              <w:jc w:val="both"/>
              <w:rPr>
                <w:rFonts w:ascii="Times New Roman" w:hAnsi="Times New Roman"/>
                <w:sz w:val="28"/>
                <w:szCs w:val="28"/>
                <w:lang w:val="pl-PL"/>
              </w:rPr>
            </w:pPr>
          </w:p>
        </w:tc>
        <w:tc>
          <w:tcPr>
            <w:tcW w:w="3543" w:type="dxa"/>
          </w:tcPr>
          <w:p w:rsidR="00C525E9" w:rsidRPr="009678D8" w:rsidRDefault="00C525E9" w:rsidP="003D5E27">
            <w:pPr>
              <w:spacing w:after="0" w:line="240" w:lineRule="auto"/>
              <w:jc w:val="center"/>
              <w:rPr>
                <w:rFonts w:ascii="Times New Roman" w:hAnsi="Times New Roman"/>
                <w:sz w:val="28"/>
                <w:szCs w:val="28"/>
                <w:lang w:val="pl-PL"/>
              </w:rPr>
            </w:pPr>
          </w:p>
          <w:p w:rsidR="00C525E9" w:rsidRPr="009678D8" w:rsidRDefault="00C525E9" w:rsidP="003D5E27">
            <w:pPr>
              <w:spacing w:after="0" w:line="240" w:lineRule="auto"/>
              <w:jc w:val="center"/>
              <w:rPr>
                <w:rFonts w:ascii="Times New Roman" w:hAnsi="Times New Roman"/>
                <w:sz w:val="28"/>
                <w:szCs w:val="28"/>
                <w:lang w:val="pl-PL"/>
              </w:rPr>
            </w:pPr>
          </w:p>
          <w:p w:rsidR="00C525E9" w:rsidRPr="009678D8" w:rsidRDefault="00C525E9" w:rsidP="003D5E27">
            <w:pPr>
              <w:spacing w:after="0" w:line="240" w:lineRule="auto"/>
              <w:jc w:val="center"/>
              <w:rPr>
                <w:rFonts w:ascii="Times New Roman" w:hAnsi="Times New Roman"/>
                <w:sz w:val="28"/>
                <w:szCs w:val="28"/>
                <w:lang w:val="pl-PL"/>
              </w:rPr>
            </w:pPr>
          </w:p>
          <w:p w:rsidR="00C525E9" w:rsidRPr="009678D8" w:rsidRDefault="00C525E9" w:rsidP="003D5E27">
            <w:pPr>
              <w:spacing w:after="0" w:line="240" w:lineRule="auto"/>
              <w:jc w:val="center"/>
              <w:rPr>
                <w:rFonts w:ascii="Times New Roman" w:hAnsi="Times New Roman"/>
                <w:sz w:val="28"/>
                <w:szCs w:val="28"/>
                <w:lang w:val="pl-PL"/>
              </w:rPr>
            </w:pPr>
          </w:p>
        </w:tc>
      </w:tr>
    </w:tbl>
    <w:p w:rsidR="00C525E9" w:rsidRDefault="00C525E9" w:rsidP="00390DDB">
      <w:pPr>
        <w:jc w:val="both"/>
        <w:rPr>
          <w:rFonts w:ascii="Times New Roman" w:hAnsi="Times New Roman"/>
          <w:sz w:val="28"/>
          <w:szCs w:val="28"/>
          <w:lang w:val="pl-PL"/>
        </w:rPr>
      </w:pPr>
    </w:p>
    <w:p w:rsidR="00455CC5" w:rsidRDefault="00455CC5" w:rsidP="00390DDB">
      <w:pPr>
        <w:jc w:val="both"/>
        <w:rPr>
          <w:rFonts w:ascii="Times New Roman" w:hAnsi="Times New Roman"/>
          <w:sz w:val="28"/>
          <w:szCs w:val="28"/>
          <w:lang w:val="pl-PL"/>
        </w:rPr>
      </w:pPr>
    </w:p>
    <w:p w:rsidR="00455CC5" w:rsidRDefault="00455CC5" w:rsidP="00390DDB">
      <w:pPr>
        <w:jc w:val="both"/>
        <w:rPr>
          <w:rFonts w:ascii="Times New Roman" w:hAnsi="Times New Roman"/>
          <w:sz w:val="28"/>
          <w:szCs w:val="28"/>
          <w:lang w:val="pl-PL"/>
        </w:rPr>
      </w:pPr>
    </w:p>
    <w:p w:rsidR="00455CC5" w:rsidRDefault="00455CC5" w:rsidP="00390DDB">
      <w:pPr>
        <w:jc w:val="both"/>
        <w:rPr>
          <w:rFonts w:ascii="Times New Roman" w:hAnsi="Times New Roman"/>
          <w:sz w:val="28"/>
          <w:szCs w:val="28"/>
          <w:lang w:val="pl-PL"/>
        </w:rPr>
      </w:pPr>
    </w:p>
    <w:p w:rsidR="00455CC5" w:rsidRDefault="00455CC5" w:rsidP="00390DDB">
      <w:pPr>
        <w:jc w:val="both"/>
        <w:rPr>
          <w:rFonts w:ascii="Times New Roman" w:hAnsi="Times New Roman"/>
          <w:sz w:val="28"/>
          <w:szCs w:val="28"/>
          <w:lang w:val="pl-PL"/>
        </w:rPr>
      </w:pPr>
    </w:p>
    <w:p w:rsidR="00455CC5" w:rsidRPr="00455CC5" w:rsidRDefault="00455CC5" w:rsidP="00390DDB">
      <w:pPr>
        <w:jc w:val="both"/>
        <w:rPr>
          <w:rFonts w:ascii="Times New Roman" w:hAnsi="Times New Roman"/>
          <w:sz w:val="28"/>
          <w:szCs w:val="28"/>
          <w:lang w:val="vi-VN"/>
        </w:rPr>
      </w:pPr>
    </w:p>
    <w:sectPr w:rsidR="00455CC5" w:rsidRPr="00455CC5" w:rsidSect="00040836">
      <w:footerReference w:type="default" r:id="rId7"/>
      <w:pgSz w:w="11909" w:h="16834" w:code="9"/>
      <w:pgMar w:top="851" w:right="1134" w:bottom="851" w:left="1701"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E9F" w:rsidRDefault="00911E9F" w:rsidP="00AC6585">
      <w:pPr>
        <w:spacing w:after="0" w:line="240" w:lineRule="auto"/>
      </w:pPr>
      <w:r>
        <w:separator/>
      </w:r>
    </w:p>
  </w:endnote>
  <w:endnote w:type="continuationSeparator" w:id="1">
    <w:p w:rsidR="00911E9F" w:rsidRDefault="00911E9F" w:rsidP="00AC65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5E9" w:rsidRPr="00483114" w:rsidRDefault="009F15D8">
    <w:pPr>
      <w:pStyle w:val="Footer"/>
      <w:jc w:val="right"/>
      <w:rPr>
        <w:rFonts w:ascii="Times New Roman" w:hAnsi="Times New Roman"/>
        <w:sz w:val="24"/>
        <w:szCs w:val="24"/>
      </w:rPr>
    </w:pPr>
    <w:r w:rsidRPr="00483114">
      <w:rPr>
        <w:rFonts w:ascii="Times New Roman" w:hAnsi="Times New Roman"/>
        <w:sz w:val="24"/>
        <w:szCs w:val="24"/>
      </w:rPr>
      <w:fldChar w:fldCharType="begin"/>
    </w:r>
    <w:r w:rsidR="00C525E9" w:rsidRPr="00483114">
      <w:rPr>
        <w:rFonts w:ascii="Times New Roman" w:hAnsi="Times New Roman"/>
        <w:sz w:val="24"/>
        <w:szCs w:val="24"/>
      </w:rPr>
      <w:instrText xml:space="preserve"> PAGE   \* MERGEFORMAT </w:instrText>
    </w:r>
    <w:r w:rsidRPr="00483114">
      <w:rPr>
        <w:rFonts w:ascii="Times New Roman" w:hAnsi="Times New Roman"/>
        <w:sz w:val="24"/>
        <w:szCs w:val="24"/>
      </w:rPr>
      <w:fldChar w:fldCharType="separate"/>
    </w:r>
    <w:r w:rsidR="00D02E70">
      <w:rPr>
        <w:rFonts w:ascii="Times New Roman" w:hAnsi="Times New Roman"/>
        <w:noProof/>
        <w:sz w:val="24"/>
        <w:szCs w:val="24"/>
      </w:rPr>
      <w:t>4</w:t>
    </w:r>
    <w:r w:rsidRPr="00483114">
      <w:rPr>
        <w:rFonts w:ascii="Times New Roman" w:hAnsi="Times New Roman"/>
        <w:sz w:val="24"/>
        <w:szCs w:val="24"/>
      </w:rPr>
      <w:fldChar w:fldCharType="end"/>
    </w:r>
  </w:p>
  <w:p w:rsidR="00C525E9" w:rsidRDefault="00C525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E9F" w:rsidRDefault="00911E9F" w:rsidP="00AC6585">
      <w:pPr>
        <w:spacing w:after="0" w:line="240" w:lineRule="auto"/>
      </w:pPr>
      <w:r>
        <w:separator/>
      </w:r>
    </w:p>
  </w:footnote>
  <w:footnote w:type="continuationSeparator" w:id="1">
    <w:p w:rsidR="00911E9F" w:rsidRDefault="00911E9F" w:rsidP="00AC65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174BB"/>
    <w:multiLevelType w:val="multilevel"/>
    <w:tmpl w:val="4C88921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3%1.%2."/>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11B44D92"/>
    <w:multiLevelType w:val="hybridMultilevel"/>
    <w:tmpl w:val="1DBC2F1A"/>
    <w:lvl w:ilvl="0" w:tplc="35AA1BD4">
      <w:start w:val="7"/>
      <w:numFmt w:val="bullet"/>
      <w:lvlText w:val="-"/>
      <w:lvlJc w:val="left"/>
      <w:pPr>
        <w:ind w:left="1069" w:hanging="360"/>
      </w:pPr>
      <w:rPr>
        <w:rFonts w:ascii="Times New Roman" w:eastAsia="Times New Roman" w:hAnsi="Times New Roman" w:hint="default"/>
      </w:rPr>
    </w:lvl>
    <w:lvl w:ilvl="1" w:tplc="042A0003" w:tentative="1">
      <w:start w:val="1"/>
      <w:numFmt w:val="bullet"/>
      <w:lvlText w:val="o"/>
      <w:lvlJc w:val="left"/>
      <w:pPr>
        <w:ind w:left="1789" w:hanging="360"/>
      </w:pPr>
      <w:rPr>
        <w:rFonts w:ascii="Courier New" w:hAnsi="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
    <w:nsid w:val="13CE6F8C"/>
    <w:multiLevelType w:val="hybridMultilevel"/>
    <w:tmpl w:val="CEB22AB4"/>
    <w:lvl w:ilvl="0" w:tplc="07D26B68">
      <w:start w:val="1"/>
      <w:numFmt w:val="bullet"/>
      <w:lvlText w:val="-"/>
      <w:lvlJc w:val="left"/>
      <w:pPr>
        <w:ind w:left="1440" w:hanging="360"/>
      </w:pPr>
      <w:rPr>
        <w:rFonts w:ascii="Times New Roman" w:eastAsia="Times New Roman" w:hAnsi="Times New Roman" w:hint="default"/>
      </w:rPr>
    </w:lvl>
    <w:lvl w:ilvl="1" w:tplc="042A0003" w:tentative="1">
      <w:start w:val="1"/>
      <w:numFmt w:val="bullet"/>
      <w:lvlText w:val="o"/>
      <w:lvlJc w:val="left"/>
      <w:pPr>
        <w:ind w:left="2160" w:hanging="360"/>
      </w:pPr>
      <w:rPr>
        <w:rFonts w:ascii="Courier New" w:hAnsi="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
    <w:nsid w:val="174E4D3E"/>
    <w:multiLevelType w:val="hybridMultilevel"/>
    <w:tmpl w:val="FC700E32"/>
    <w:lvl w:ilvl="0" w:tplc="042A0013">
      <w:start w:val="1"/>
      <w:numFmt w:val="upperRoman"/>
      <w:lvlText w:val="%1."/>
      <w:lvlJc w:val="righ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26E42577"/>
    <w:multiLevelType w:val="hybridMultilevel"/>
    <w:tmpl w:val="28BAB9C4"/>
    <w:lvl w:ilvl="0" w:tplc="DD4084E8">
      <w:start w:val="1"/>
      <w:numFmt w:val="decimal"/>
      <w:lvlText w:val="%1."/>
      <w:lvlJc w:val="left"/>
      <w:pPr>
        <w:ind w:left="1080" w:hanging="360"/>
      </w:pPr>
      <w:rPr>
        <w:rFonts w:cs="Times New Roman" w:hint="default"/>
      </w:rPr>
    </w:lvl>
    <w:lvl w:ilvl="1" w:tplc="042A0019">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5">
    <w:nsid w:val="31A364BE"/>
    <w:multiLevelType w:val="hybridMultilevel"/>
    <w:tmpl w:val="533EE49A"/>
    <w:lvl w:ilvl="0" w:tplc="E28CD25A">
      <w:numFmt w:val="bullet"/>
      <w:lvlText w:val="-"/>
      <w:lvlJc w:val="left"/>
      <w:pPr>
        <w:tabs>
          <w:tab w:val="num" w:pos="1211"/>
        </w:tabs>
        <w:ind w:left="1211" w:hanging="360"/>
      </w:pPr>
      <w:rPr>
        <w:rFonts w:ascii="Times New Roman" w:eastAsia="Times New Roman" w:hAnsi="Times New Roman"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6">
    <w:nsid w:val="3864029C"/>
    <w:multiLevelType w:val="hybridMultilevel"/>
    <w:tmpl w:val="C4D0EA48"/>
    <w:lvl w:ilvl="0" w:tplc="F3A8FB3C">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3C606B2F"/>
    <w:multiLevelType w:val="hybridMultilevel"/>
    <w:tmpl w:val="0092338E"/>
    <w:lvl w:ilvl="0" w:tplc="6854FBF8">
      <w:start w:val="1"/>
      <w:numFmt w:val="decimal"/>
      <w:lvlText w:val="%1."/>
      <w:lvlJc w:val="left"/>
      <w:pPr>
        <w:ind w:left="1080" w:hanging="360"/>
      </w:pPr>
      <w:rPr>
        <w:rFonts w:cs="Times New Roman" w:hint="default"/>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8">
    <w:nsid w:val="419060EB"/>
    <w:multiLevelType w:val="hybridMultilevel"/>
    <w:tmpl w:val="0986C67A"/>
    <w:lvl w:ilvl="0" w:tplc="A11AE3FE">
      <w:start w:val="1"/>
      <w:numFmt w:val="upperRoman"/>
      <w:lvlText w:val="%1."/>
      <w:lvlJc w:val="left"/>
      <w:pPr>
        <w:ind w:left="1080" w:hanging="72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9">
    <w:nsid w:val="42A27523"/>
    <w:multiLevelType w:val="hybridMultilevel"/>
    <w:tmpl w:val="CC5A1196"/>
    <w:lvl w:ilvl="0" w:tplc="33E2D7F8">
      <w:numFmt w:val="bullet"/>
      <w:lvlText w:val="-"/>
      <w:lvlJc w:val="left"/>
      <w:pPr>
        <w:ind w:left="1080" w:hanging="360"/>
      </w:pPr>
      <w:rPr>
        <w:rFonts w:ascii="Times New Roman" w:eastAsia="Times New Roman" w:hAnsi="Times New Roman" w:hint="default"/>
      </w:rPr>
    </w:lvl>
    <w:lvl w:ilvl="1" w:tplc="042A0003" w:tentative="1">
      <w:start w:val="1"/>
      <w:numFmt w:val="bullet"/>
      <w:lvlText w:val="o"/>
      <w:lvlJc w:val="left"/>
      <w:pPr>
        <w:ind w:left="1800" w:hanging="360"/>
      </w:pPr>
      <w:rPr>
        <w:rFonts w:ascii="Courier New" w:hAnsi="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nsid w:val="5CDE06C3"/>
    <w:multiLevelType w:val="multilevel"/>
    <w:tmpl w:val="4C88921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3%1.%2."/>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nsid w:val="5EE25740"/>
    <w:multiLevelType w:val="multilevel"/>
    <w:tmpl w:val="042A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6A022F27"/>
    <w:multiLevelType w:val="multilevel"/>
    <w:tmpl w:val="C03E8A9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nsid w:val="75CC66B1"/>
    <w:multiLevelType w:val="multilevel"/>
    <w:tmpl w:val="4C88921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3%1.%2."/>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nsid w:val="790F0F2F"/>
    <w:multiLevelType w:val="multilevel"/>
    <w:tmpl w:val="15A493CA"/>
    <w:lvl w:ilvl="0">
      <w:start w:val="1"/>
      <w:numFmt w:val="decimal"/>
      <w:lvlText w:val="%1."/>
      <w:lvlJc w:val="left"/>
      <w:pPr>
        <w:ind w:left="357" w:hanging="357"/>
      </w:pPr>
      <w:rPr>
        <w:rFonts w:cs="Times New Roman" w:hint="default"/>
      </w:rPr>
    </w:lvl>
    <w:lvl w:ilvl="1">
      <w:start w:val="1"/>
      <w:numFmt w:val="none"/>
      <w:lvlText w:val=""/>
      <w:lvlJc w:val="left"/>
      <w:pPr>
        <w:ind w:left="714" w:hanging="357"/>
      </w:pPr>
      <w:rPr>
        <w:rFonts w:cs="Times New Roman" w:hint="default"/>
      </w:rPr>
    </w:lvl>
    <w:lvl w:ilvl="2">
      <w:start w:val="1"/>
      <w:numFmt w:val="decimal"/>
      <w:lvlText w:val="%1.%2.%3."/>
      <w:lvlJc w:val="left"/>
      <w:pPr>
        <w:ind w:left="1071" w:hanging="357"/>
      </w:pPr>
      <w:rPr>
        <w:rFonts w:cs="Times New Roman" w:hint="default"/>
      </w:rPr>
    </w:lvl>
    <w:lvl w:ilvl="3">
      <w:numFmt w:val="decimal"/>
      <w:lvlText w:val="%1.%2.%3.%4."/>
      <w:lvlJc w:val="left"/>
      <w:pPr>
        <w:ind w:left="1428" w:hanging="357"/>
      </w:pPr>
      <w:rPr>
        <w:rFonts w:cs="Times New Roman" w:hint="default"/>
      </w:rPr>
    </w:lvl>
    <w:lvl w:ilvl="4">
      <w:start w:val="1"/>
      <w:numFmt w:val="decimal"/>
      <w:lvlText w:val="%1.%2.%3.%4.%5."/>
      <w:lvlJc w:val="left"/>
      <w:pPr>
        <w:ind w:left="1785" w:hanging="357"/>
      </w:pPr>
      <w:rPr>
        <w:rFonts w:cs="Times New Roman" w:hint="default"/>
      </w:rPr>
    </w:lvl>
    <w:lvl w:ilvl="5">
      <w:start w:val="1"/>
      <w:numFmt w:val="decimal"/>
      <w:lvlText w:val="%1.%2.%3.%4.%5.%6."/>
      <w:lvlJc w:val="left"/>
      <w:pPr>
        <w:ind w:left="2142" w:hanging="357"/>
      </w:pPr>
      <w:rPr>
        <w:rFonts w:cs="Times New Roman" w:hint="default"/>
      </w:rPr>
    </w:lvl>
    <w:lvl w:ilvl="6">
      <w:start w:val="1"/>
      <w:numFmt w:val="decimal"/>
      <w:lvlText w:val="%1.%2.%3.%4.%5.%6.%7."/>
      <w:lvlJc w:val="left"/>
      <w:pPr>
        <w:ind w:left="2499" w:hanging="357"/>
      </w:pPr>
      <w:rPr>
        <w:rFonts w:cs="Times New Roman" w:hint="default"/>
      </w:rPr>
    </w:lvl>
    <w:lvl w:ilvl="7">
      <w:start w:val="1"/>
      <w:numFmt w:val="decimal"/>
      <w:lvlText w:val="%1.%2.%3.%4.%5.%6.%7.%8."/>
      <w:lvlJc w:val="left"/>
      <w:pPr>
        <w:ind w:left="2856" w:hanging="357"/>
      </w:pPr>
      <w:rPr>
        <w:rFonts w:cs="Times New Roman" w:hint="default"/>
      </w:rPr>
    </w:lvl>
    <w:lvl w:ilvl="8">
      <w:start w:val="1"/>
      <w:numFmt w:val="decimal"/>
      <w:lvlText w:val="%1.%2.%3.%4.%5.%6.%7.%8.%9."/>
      <w:lvlJc w:val="left"/>
      <w:pPr>
        <w:ind w:left="3213" w:hanging="357"/>
      </w:pPr>
      <w:rPr>
        <w:rFonts w:cs="Times New Roman" w:hint="default"/>
      </w:rPr>
    </w:lvl>
  </w:abstractNum>
  <w:num w:numId="1">
    <w:abstractNumId w:val="3"/>
  </w:num>
  <w:num w:numId="2">
    <w:abstractNumId w:val="6"/>
  </w:num>
  <w:num w:numId="3">
    <w:abstractNumId w:val="9"/>
  </w:num>
  <w:num w:numId="4">
    <w:abstractNumId w:val="4"/>
  </w:num>
  <w:num w:numId="5">
    <w:abstractNumId w:val="0"/>
  </w:num>
  <w:num w:numId="6">
    <w:abstractNumId w:val="14"/>
  </w:num>
  <w:num w:numId="7">
    <w:abstractNumId w:val="11"/>
  </w:num>
  <w:num w:numId="8">
    <w:abstractNumId w:val="12"/>
  </w:num>
  <w:num w:numId="9">
    <w:abstractNumId w:val="7"/>
  </w:num>
  <w:num w:numId="10">
    <w:abstractNumId w:val="2"/>
  </w:num>
  <w:num w:numId="11">
    <w:abstractNumId w:val="13"/>
  </w:num>
  <w:num w:numId="12">
    <w:abstractNumId w:val="10"/>
  </w:num>
  <w:num w:numId="13">
    <w:abstractNumId w:val="1"/>
  </w:num>
  <w:num w:numId="14">
    <w:abstractNumId w:val="8"/>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4"/>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784BA1"/>
    <w:rsid w:val="00040836"/>
    <w:rsid w:val="00040C9D"/>
    <w:rsid w:val="00063713"/>
    <w:rsid w:val="00071146"/>
    <w:rsid w:val="00075856"/>
    <w:rsid w:val="0009663F"/>
    <w:rsid w:val="000A0926"/>
    <w:rsid w:val="000A3833"/>
    <w:rsid w:val="000A45DC"/>
    <w:rsid w:val="000B3D2E"/>
    <w:rsid w:val="000C352E"/>
    <w:rsid w:val="000D7217"/>
    <w:rsid w:val="000E3295"/>
    <w:rsid w:val="000E7881"/>
    <w:rsid w:val="000F77C8"/>
    <w:rsid w:val="00105B04"/>
    <w:rsid w:val="00123DED"/>
    <w:rsid w:val="001370C0"/>
    <w:rsid w:val="00153111"/>
    <w:rsid w:val="0015652F"/>
    <w:rsid w:val="00175532"/>
    <w:rsid w:val="00194AAD"/>
    <w:rsid w:val="00196716"/>
    <w:rsid w:val="001A0C65"/>
    <w:rsid w:val="001B1A76"/>
    <w:rsid w:val="001B7B14"/>
    <w:rsid w:val="001C70C1"/>
    <w:rsid w:val="001D3803"/>
    <w:rsid w:val="001D45C2"/>
    <w:rsid w:val="001D7976"/>
    <w:rsid w:val="001F51C2"/>
    <w:rsid w:val="002073C8"/>
    <w:rsid w:val="00256678"/>
    <w:rsid w:val="002A22A5"/>
    <w:rsid w:val="002E7A9D"/>
    <w:rsid w:val="002F0587"/>
    <w:rsid w:val="00390DDB"/>
    <w:rsid w:val="003D5E27"/>
    <w:rsid w:val="003D7FFA"/>
    <w:rsid w:val="003F1517"/>
    <w:rsid w:val="003F7CBA"/>
    <w:rsid w:val="00400D11"/>
    <w:rsid w:val="00404CD7"/>
    <w:rsid w:val="00455CC5"/>
    <w:rsid w:val="004562A6"/>
    <w:rsid w:val="004569F5"/>
    <w:rsid w:val="004739C7"/>
    <w:rsid w:val="00483114"/>
    <w:rsid w:val="00495AD0"/>
    <w:rsid w:val="004B173D"/>
    <w:rsid w:val="004B6181"/>
    <w:rsid w:val="004C03CD"/>
    <w:rsid w:val="0050649F"/>
    <w:rsid w:val="005442E6"/>
    <w:rsid w:val="005632D5"/>
    <w:rsid w:val="0057605B"/>
    <w:rsid w:val="00577408"/>
    <w:rsid w:val="005A6E3A"/>
    <w:rsid w:val="005C0D50"/>
    <w:rsid w:val="005F57FE"/>
    <w:rsid w:val="00602F63"/>
    <w:rsid w:val="00652E9E"/>
    <w:rsid w:val="00654E6A"/>
    <w:rsid w:val="006575A1"/>
    <w:rsid w:val="00667564"/>
    <w:rsid w:val="00672382"/>
    <w:rsid w:val="006A76CC"/>
    <w:rsid w:val="006D1741"/>
    <w:rsid w:val="006D1FF0"/>
    <w:rsid w:val="006D4CD7"/>
    <w:rsid w:val="006F314F"/>
    <w:rsid w:val="006F33BB"/>
    <w:rsid w:val="00705D92"/>
    <w:rsid w:val="00714244"/>
    <w:rsid w:val="00723C83"/>
    <w:rsid w:val="007305C5"/>
    <w:rsid w:val="0073274A"/>
    <w:rsid w:val="007653F2"/>
    <w:rsid w:val="00784BA1"/>
    <w:rsid w:val="00786727"/>
    <w:rsid w:val="00794C29"/>
    <w:rsid w:val="007B21D3"/>
    <w:rsid w:val="007B62D6"/>
    <w:rsid w:val="007C6491"/>
    <w:rsid w:val="007F0D58"/>
    <w:rsid w:val="007F66D2"/>
    <w:rsid w:val="0080524F"/>
    <w:rsid w:val="00822AD1"/>
    <w:rsid w:val="00824AFF"/>
    <w:rsid w:val="00825865"/>
    <w:rsid w:val="0084744B"/>
    <w:rsid w:val="008D4353"/>
    <w:rsid w:val="008E0AE1"/>
    <w:rsid w:val="008E17D5"/>
    <w:rsid w:val="008F0CBC"/>
    <w:rsid w:val="00911E9F"/>
    <w:rsid w:val="00916D70"/>
    <w:rsid w:val="0095026A"/>
    <w:rsid w:val="00951C3B"/>
    <w:rsid w:val="009678D8"/>
    <w:rsid w:val="00970352"/>
    <w:rsid w:val="009954B4"/>
    <w:rsid w:val="009A405F"/>
    <w:rsid w:val="009E4811"/>
    <w:rsid w:val="009F015C"/>
    <w:rsid w:val="009F15D8"/>
    <w:rsid w:val="00A21445"/>
    <w:rsid w:val="00A24BD8"/>
    <w:rsid w:val="00A30A19"/>
    <w:rsid w:val="00A532CC"/>
    <w:rsid w:val="00A7264F"/>
    <w:rsid w:val="00A73F0C"/>
    <w:rsid w:val="00A807E7"/>
    <w:rsid w:val="00A855D9"/>
    <w:rsid w:val="00A914D2"/>
    <w:rsid w:val="00A9677C"/>
    <w:rsid w:val="00AA392E"/>
    <w:rsid w:val="00AA659C"/>
    <w:rsid w:val="00AC6585"/>
    <w:rsid w:val="00AD2ACE"/>
    <w:rsid w:val="00B0790C"/>
    <w:rsid w:val="00B145A9"/>
    <w:rsid w:val="00B14A34"/>
    <w:rsid w:val="00B14DA4"/>
    <w:rsid w:val="00B34FCF"/>
    <w:rsid w:val="00B4791B"/>
    <w:rsid w:val="00BB3EAC"/>
    <w:rsid w:val="00BF238D"/>
    <w:rsid w:val="00C04F18"/>
    <w:rsid w:val="00C27B88"/>
    <w:rsid w:val="00C525E9"/>
    <w:rsid w:val="00C5345D"/>
    <w:rsid w:val="00C70E33"/>
    <w:rsid w:val="00C8464C"/>
    <w:rsid w:val="00C912AB"/>
    <w:rsid w:val="00C94645"/>
    <w:rsid w:val="00C95754"/>
    <w:rsid w:val="00C95811"/>
    <w:rsid w:val="00CE216F"/>
    <w:rsid w:val="00CF6E07"/>
    <w:rsid w:val="00D02E70"/>
    <w:rsid w:val="00D151B5"/>
    <w:rsid w:val="00D70FE7"/>
    <w:rsid w:val="00D73D57"/>
    <w:rsid w:val="00DA3033"/>
    <w:rsid w:val="00DE09D5"/>
    <w:rsid w:val="00E05547"/>
    <w:rsid w:val="00E47E38"/>
    <w:rsid w:val="00E535DB"/>
    <w:rsid w:val="00E91724"/>
    <w:rsid w:val="00ED10B1"/>
    <w:rsid w:val="00F2070F"/>
    <w:rsid w:val="00F215FF"/>
    <w:rsid w:val="00F3115A"/>
    <w:rsid w:val="00F74937"/>
    <w:rsid w:val="00FA23A3"/>
    <w:rsid w:val="00FB7698"/>
    <w:rsid w:val="00FC5CB9"/>
    <w:rsid w:val="00FD0F15"/>
    <w:rsid w:val="00FD359E"/>
    <w:rsid w:val="00FE0FEC"/>
    <w:rsid w:val="00FF69C5"/>
    <w:rsid w:val="00FF7529"/>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CE"/>
    <w:pPr>
      <w:spacing w:after="200" w:line="276" w:lineRule="auto"/>
    </w:pPr>
  </w:style>
  <w:style w:type="paragraph" w:styleId="Heading1">
    <w:name w:val="heading 1"/>
    <w:basedOn w:val="Normal"/>
    <w:next w:val="Normal"/>
    <w:link w:val="Heading1Char"/>
    <w:uiPriority w:val="99"/>
    <w:qFormat/>
    <w:rsid w:val="00D70FE7"/>
    <w:pPr>
      <w:keepNext/>
      <w:spacing w:after="0" w:line="240" w:lineRule="auto"/>
      <w:jc w:val="right"/>
      <w:outlineLvl w:val="0"/>
    </w:pPr>
    <w:rPr>
      <w:rFonts w:ascii=".VnTime" w:hAnsi=".VnTime"/>
      <w:b/>
      <w:bCs/>
      <w:i/>
      <w:iCs/>
      <w:sz w:val="24"/>
      <w:szCs w:val="24"/>
    </w:rPr>
  </w:style>
  <w:style w:type="paragraph" w:styleId="Heading2">
    <w:name w:val="heading 2"/>
    <w:basedOn w:val="Normal"/>
    <w:next w:val="Normal"/>
    <w:link w:val="Heading2Char"/>
    <w:uiPriority w:val="99"/>
    <w:qFormat/>
    <w:rsid w:val="00D70FE7"/>
    <w:pPr>
      <w:keepNext/>
      <w:spacing w:before="240" w:after="60" w:line="240" w:lineRule="auto"/>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70FE7"/>
    <w:rPr>
      <w:rFonts w:ascii=".VnTime" w:hAnsi=".VnTime" w:cs="Times New Roman"/>
      <w:b/>
      <w:bCs/>
      <w:i/>
      <w:iCs/>
      <w:sz w:val="24"/>
      <w:szCs w:val="24"/>
    </w:rPr>
  </w:style>
  <w:style w:type="character" w:customStyle="1" w:styleId="Heading2Char">
    <w:name w:val="Heading 2 Char"/>
    <w:basedOn w:val="DefaultParagraphFont"/>
    <w:link w:val="Heading2"/>
    <w:uiPriority w:val="99"/>
    <w:locked/>
    <w:rsid w:val="00D70FE7"/>
    <w:rPr>
      <w:rFonts w:ascii="Arial" w:hAnsi="Arial" w:cs="Arial"/>
      <w:b/>
      <w:bCs/>
      <w:i/>
      <w:iCs/>
      <w:sz w:val="28"/>
      <w:szCs w:val="28"/>
    </w:rPr>
  </w:style>
  <w:style w:type="paragraph" w:styleId="ListParagraph">
    <w:name w:val="List Paragraph"/>
    <w:basedOn w:val="Normal"/>
    <w:uiPriority w:val="99"/>
    <w:qFormat/>
    <w:rsid w:val="00784BA1"/>
    <w:pPr>
      <w:ind w:left="720"/>
      <w:contextualSpacing/>
    </w:pPr>
  </w:style>
  <w:style w:type="paragraph" w:customStyle="1" w:styleId="Default">
    <w:name w:val="Default"/>
    <w:uiPriority w:val="99"/>
    <w:rsid w:val="00784BA1"/>
    <w:pPr>
      <w:autoSpaceDE w:val="0"/>
      <w:autoSpaceDN w:val="0"/>
      <w:adjustRightInd w:val="0"/>
    </w:pPr>
    <w:rPr>
      <w:rFonts w:cs="Arial"/>
      <w:color w:val="000000"/>
      <w:sz w:val="24"/>
      <w:szCs w:val="24"/>
    </w:rPr>
  </w:style>
  <w:style w:type="paragraph" w:styleId="BodyText">
    <w:name w:val="Body Text"/>
    <w:basedOn w:val="Normal"/>
    <w:link w:val="BodyTextChar"/>
    <w:uiPriority w:val="99"/>
    <w:rsid w:val="00DE09D5"/>
    <w:pPr>
      <w:spacing w:after="260" w:line="264" w:lineRule="auto"/>
      <w:jc w:val="both"/>
    </w:pPr>
    <w:rPr>
      <w:rFonts w:ascii="Times New Roman" w:hAnsi="Times New Roman"/>
      <w:lang w:val="en-GB"/>
    </w:rPr>
  </w:style>
  <w:style w:type="character" w:customStyle="1" w:styleId="BodyTextChar">
    <w:name w:val="Body Text Char"/>
    <w:basedOn w:val="DefaultParagraphFont"/>
    <w:link w:val="BodyText"/>
    <w:uiPriority w:val="99"/>
    <w:locked/>
    <w:rsid w:val="00DE09D5"/>
    <w:rPr>
      <w:rFonts w:ascii="Times New Roman" w:hAnsi="Times New Roman" w:cs="Times New Roman"/>
      <w:lang w:val="en-GB"/>
    </w:rPr>
  </w:style>
  <w:style w:type="paragraph" w:styleId="Header">
    <w:name w:val="header"/>
    <w:basedOn w:val="Normal"/>
    <w:link w:val="HeaderChar"/>
    <w:uiPriority w:val="99"/>
    <w:rsid w:val="00AC658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C6585"/>
    <w:rPr>
      <w:rFonts w:cs="Times New Roman"/>
    </w:rPr>
  </w:style>
  <w:style w:type="paragraph" w:styleId="Footer">
    <w:name w:val="footer"/>
    <w:basedOn w:val="Normal"/>
    <w:link w:val="FooterChar"/>
    <w:uiPriority w:val="99"/>
    <w:rsid w:val="00AC658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C6585"/>
    <w:rPr>
      <w:rFonts w:cs="Times New Roman"/>
    </w:rPr>
  </w:style>
  <w:style w:type="paragraph" w:styleId="Title">
    <w:name w:val="Title"/>
    <w:basedOn w:val="Normal"/>
    <w:link w:val="TitleChar"/>
    <w:uiPriority w:val="99"/>
    <w:qFormat/>
    <w:rsid w:val="00D70FE7"/>
    <w:pPr>
      <w:spacing w:after="0" w:line="240" w:lineRule="auto"/>
      <w:jc w:val="center"/>
    </w:pPr>
    <w:rPr>
      <w:rFonts w:ascii=".VnTimeH" w:hAnsi=".VnTimeH"/>
      <w:b/>
      <w:bCs/>
      <w:sz w:val="24"/>
      <w:szCs w:val="24"/>
    </w:rPr>
  </w:style>
  <w:style w:type="character" w:customStyle="1" w:styleId="TitleChar">
    <w:name w:val="Title Char"/>
    <w:basedOn w:val="DefaultParagraphFont"/>
    <w:link w:val="Title"/>
    <w:uiPriority w:val="99"/>
    <w:locked/>
    <w:rsid w:val="00D70FE7"/>
    <w:rPr>
      <w:rFonts w:ascii=".VnTimeH" w:hAnsi=".VnTimeH" w:cs="Times New Roman"/>
      <w:b/>
      <w:bCs/>
      <w:sz w:val="24"/>
      <w:szCs w:val="24"/>
    </w:rPr>
  </w:style>
  <w:style w:type="table" w:styleId="TableGrid">
    <w:name w:val="Table Grid"/>
    <w:basedOn w:val="TableNormal"/>
    <w:uiPriority w:val="99"/>
    <w:rsid w:val="00D70FE7"/>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D70FE7"/>
    <w:rPr>
      <w:rFonts w:cs="Times New Roman"/>
      <w:sz w:val="16"/>
      <w:szCs w:val="16"/>
    </w:rPr>
  </w:style>
  <w:style w:type="paragraph" w:styleId="CommentText">
    <w:name w:val="annotation text"/>
    <w:basedOn w:val="Normal"/>
    <w:link w:val="CommentTextChar"/>
    <w:uiPriority w:val="99"/>
    <w:rsid w:val="00D70FE7"/>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locked/>
    <w:rsid w:val="00D70FE7"/>
    <w:rPr>
      <w:rFonts w:ascii="Times New Roman" w:hAnsi="Times New Roman" w:cs="Times New Roman"/>
      <w:sz w:val="20"/>
      <w:szCs w:val="20"/>
    </w:rPr>
  </w:style>
  <w:style w:type="paragraph" w:styleId="BalloonText">
    <w:name w:val="Balloon Text"/>
    <w:basedOn w:val="Normal"/>
    <w:link w:val="BalloonTextChar"/>
    <w:uiPriority w:val="99"/>
    <w:semiHidden/>
    <w:rsid w:val="00D70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0FE7"/>
    <w:rPr>
      <w:rFonts w:ascii="Tahoma" w:hAnsi="Tahoma" w:cs="Tahoma"/>
      <w:sz w:val="16"/>
      <w:szCs w:val="16"/>
    </w:rPr>
  </w:style>
  <w:style w:type="paragraph" w:styleId="CommentSubject">
    <w:name w:val="annotation subject"/>
    <w:basedOn w:val="CommentText"/>
    <w:next w:val="CommentText"/>
    <w:link w:val="CommentSubjectChar"/>
    <w:uiPriority w:val="99"/>
    <w:semiHidden/>
    <w:rsid w:val="00483114"/>
    <w:pPr>
      <w:spacing w:after="200"/>
    </w:pPr>
    <w:rPr>
      <w:rFonts w:ascii="Arial" w:hAnsi="Arial"/>
      <w:b/>
      <w:bCs/>
    </w:rPr>
  </w:style>
  <w:style w:type="character" w:customStyle="1" w:styleId="CommentSubjectChar">
    <w:name w:val="Comment Subject Char"/>
    <w:basedOn w:val="CommentTextChar"/>
    <w:link w:val="CommentSubject"/>
    <w:uiPriority w:val="99"/>
    <w:semiHidden/>
    <w:locked/>
    <w:rsid w:val="00483114"/>
    <w:rPr>
      <w:b/>
      <w:bCs/>
    </w:rPr>
  </w:style>
  <w:style w:type="paragraph" w:styleId="NormalWeb">
    <w:name w:val="Normal (Web)"/>
    <w:basedOn w:val="Normal"/>
    <w:link w:val="NormalWebChar"/>
    <w:rsid w:val="0073274A"/>
    <w:pPr>
      <w:spacing w:before="100" w:beforeAutospacing="1" w:after="100" w:afterAutospacing="1" w:line="240" w:lineRule="auto"/>
    </w:pPr>
    <w:rPr>
      <w:rFonts w:ascii="Times New Roman" w:hAnsi="Times New Roman"/>
      <w:sz w:val="24"/>
      <w:szCs w:val="24"/>
    </w:rPr>
  </w:style>
  <w:style w:type="character" w:customStyle="1" w:styleId="NormalWebChar">
    <w:name w:val="Normal (Web) Char"/>
    <w:basedOn w:val="DefaultParagraphFont"/>
    <w:link w:val="NormalWeb"/>
    <w:rsid w:val="0073274A"/>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8743437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4</Pages>
  <Words>1487</Words>
  <Characters>5148</Characters>
  <Application>Microsoft Office Word</Application>
  <DocSecurity>0</DocSecurity>
  <Lines>42</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Nga (CNTH)</dc:creator>
  <cp:lastModifiedBy>dell</cp:lastModifiedBy>
  <cp:revision>12</cp:revision>
  <cp:lastPrinted>2016-06-06T09:31:00Z</cp:lastPrinted>
  <dcterms:created xsi:type="dcterms:W3CDTF">2016-06-06T02:04:00Z</dcterms:created>
  <dcterms:modified xsi:type="dcterms:W3CDTF">2016-06-07T01:54:00Z</dcterms:modified>
</cp:coreProperties>
</file>