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943"/>
        <w:gridCol w:w="405"/>
        <w:gridCol w:w="5508"/>
        <w:gridCol w:w="466"/>
      </w:tblGrid>
      <w:tr w:rsidR="00CC49F8" w:rsidRPr="00CC49F8" w:rsidTr="00CC49F8">
        <w:tc>
          <w:tcPr>
            <w:tcW w:w="29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F8" w:rsidRPr="00CC49F8" w:rsidRDefault="00BE0F37" w:rsidP="00E62EA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37">
              <w:rPr>
                <w:rFonts w:ascii="Times New Roman" w:hAnsi="Times New Roman" w:cs="Times New Roman"/>
                <w:b/>
                <w:bCs/>
                <w:i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43.1pt;margin-top:26.55pt;width:42.85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43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CZhPINxBURVamtDg/SoXs2zpt8dUrrqiGp5DH47GcjNQkbyLiVcnIEiu+GLZhBDAD/O&#10;6tjYPkDCFNAxSnK6ScKPHlH4mM2n2TQH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" adj="-61952,-1,-61952"/>
              </w:pict>
            </w:r>
            <w:r w:rsidR="00CC49F8" w:rsidRPr="00CC49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CHÍNH PHỦ</w:t>
            </w:r>
            <w:r w:rsidR="00CC49F8" w:rsidRPr="00CC49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F8" w:rsidRPr="00CC49F8" w:rsidRDefault="00BE0F37" w:rsidP="0011745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3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left:0;text-align:left;margin-left:85.9pt;margin-top:49.05pt;width:144.2pt;height:0;z-index:251661312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43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CZhPINxBURVamtDg/SoXs2zpt8dUrrqiGp5DH47GcjNQkbyLiVcnIEiu+GLZhBDAD/O&#10;6tjYPkDCFNAxSnK6ScKPHlH4mM2n2TQH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"/>
              </w:pict>
            </w:r>
            <w:r w:rsidR="00CC49F8" w:rsidRPr="00CC49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="00CC49F8" w:rsidRPr="00CC49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 xml:space="preserve">Độc lập - Tự do - Hạnh phúc </w:t>
            </w:r>
          </w:p>
        </w:tc>
      </w:tr>
      <w:tr w:rsidR="00CC49F8" w:rsidRPr="00CC49F8" w:rsidTr="00601F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6" w:type="dxa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F8" w:rsidRPr="00CC49F8" w:rsidRDefault="00CC49F8" w:rsidP="00601F7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 w:rsidR="00A250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A250A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C49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/2016/NĐ-CP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F8" w:rsidRPr="00CC49F8" w:rsidRDefault="00CC49F8" w:rsidP="00A250A7">
            <w:pPr>
              <w:spacing w:before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49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Hà Nội, ngày </w:t>
            </w:r>
            <w:r w:rsidR="00A25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CC49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A25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49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tháng </w:t>
            </w:r>
            <w:r w:rsidR="00A25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CC49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năm 20</w:t>
            </w:r>
            <w:r w:rsidRPr="00CC49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CC49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6</w:t>
            </w:r>
          </w:p>
        </w:tc>
      </w:tr>
    </w:tbl>
    <w:p w:rsidR="00CC49F8" w:rsidRPr="00CC49F8" w:rsidRDefault="00CC49F8" w:rsidP="00E62EAE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loai_1"/>
      <w:r w:rsidRPr="00CC49F8">
        <w:rPr>
          <w:rFonts w:ascii="Times New Roman" w:hAnsi="Times New Roman" w:cs="Times New Roman"/>
          <w:b/>
          <w:bCs/>
          <w:sz w:val="28"/>
          <w:szCs w:val="28"/>
          <w:lang w:val="vi-VN"/>
        </w:rPr>
        <w:t>NGHỊ ĐỊNH</w:t>
      </w:r>
      <w:bookmarkEnd w:id="0"/>
    </w:p>
    <w:p w:rsidR="00596CF1" w:rsidRDefault="00596CF1" w:rsidP="00E62EA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loai_1_name"/>
      <w:r>
        <w:rPr>
          <w:rFonts w:ascii="Times New Roman" w:hAnsi="Times New Roman" w:cs="Times New Roman"/>
          <w:b/>
          <w:sz w:val="28"/>
          <w:szCs w:val="28"/>
        </w:rPr>
        <w:t xml:space="preserve">Sửa đổi, bổ sung </w:t>
      </w:r>
      <w:r w:rsidRPr="001307C9">
        <w:rPr>
          <w:rFonts w:ascii="Times New Roman" w:hAnsi="Times New Roman" w:cs="Times New Roman"/>
          <w:b/>
          <w:sz w:val="28"/>
          <w:szCs w:val="28"/>
          <w:highlight w:val="yellow"/>
        </w:rPr>
        <w:t>một số điều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Nghị định số 10/2010/NĐ-CP ngày </w:t>
      </w:r>
      <w:r w:rsidR="00E62EAE">
        <w:rPr>
          <w:rFonts w:ascii="Times New Roman" w:hAnsi="Times New Roman" w:cs="Times New Roman"/>
          <w:b/>
          <w:sz w:val="28"/>
          <w:szCs w:val="28"/>
        </w:rPr>
        <w:t xml:space="preserve">12 tháng 02 năm </w:t>
      </w:r>
      <w:r>
        <w:rPr>
          <w:rFonts w:ascii="Times New Roman" w:hAnsi="Times New Roman" w:cs="Times New Roman"/>
          <w:b/>
          <w:sz w:val="28"/>
          <w:szCs w:val="28"/>
        </w:rPr>
        <w:t xml:space="preserve">2010 của Chính phủ về </w:t>
      </w:r>
      <w:r w:rsidR="00E62EAE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oạt động thông tin tín dụng</w:t>
      </w:r>
    </w:p>
    <w:p w:rsidR="00596CF1" w:rsidRPr="00596CF1" w:rsidRDefault="00BE0F37" w:rsidP="003344C2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BE0F37">
        <w:rPr>
          <w:rFonts w:ascii="Times New Roman" w:hAnsi="Times New Roman" w:cs="Times New Roman"/>
          <w:b/>
          <w:bCs/>
          <w:i/>
          <w:noProof/>
          <w:szCs w:val="28"/>
          <w:lang w:val="vi-VN" w:eastAsia="vi-VN"/>
        </w:rPr>
        <w:pict>
          <v:shape id="AutoShape 2" o:spid="_x0000_s1026" type="#_x0000_t32" style="position:absolute;margin-left:146.8pt;margin-top:3.2pt;width:144.2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43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CZhPINxBURVamtDg/SoXs2zpt8dUrrqiGp5DH47GcjNQkbyLiVcnIEiu+GLZhBDAD/O&#10;6tjYPkDCFNAxSnK6ScKPHlH4mM2n2TQH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"/>
        </w:pict>
      </w:r>
    </w:p>
    <w:bookmarkEnd w:id="1"/>
    <w:p w:rsidR="005E49B0" w:rsidRPr="005E49B0" w:rsidRDefault="005533C1" w:rsidP="00383A14">
      <w:pPr>
        <w:spacing w:after="0"/>
        <w:ind w:firstLine="544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Căn cứ Luật Tổ chức Chính phủ ngày </w:t>
      </w:r>
      <w:r w:rsidR="008C71D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19</w:t>
      </w: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tháng </w:t>
      </w:r>
      <w:r w:rsidR="008C71D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6</w:t>
      </w: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năm 20</w:t>
      </w:r>
      <w:r w:rsidR="008C71D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15</w:t>
      </w: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;</w:t>
      </w:r>
    </w:p>
    <w:p w:rsidR="00596CF1" w:rsidRPr="00383A14" w:rsidRDefault="00596CF1" w:rsidP="00383A14">
      <w:pPr>
        <w:spacing w:after="0"/>
        <w:ind w:firstLine="544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383A1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Căn cứ Luật Ngân hàng Nhà nước Việt Nam ngày 16 tháng 6 năm 2010;</w:t>
      </w:r>
    </w:p>
    <w:p w:rsidR="00596CF1" w:rsidRPr="00383A14" w:rsidRDefault="00596CF1" w:rsidP="00383A14">
      <w:pPr>
        <w:spacing w:after="0"/>
        <w:ind w:firstLine="544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383A1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Căn cứ Luật các tổ chức tín dụng ngày 16 tháng 6 năm 2010;</w:t>
      </w:r>
    </w:p>
    <w:p w:rsidR="005533C1" w:rsidRPr="005E49B0" w:rsidRDefault="005533C1" w:rsidP="00383A14">
      <w:pPr>
        <w:spacing w:after="0"/>
        <w:ind w:firstLine="544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Căn cứ Luật Doanh nghiệp</w:t>
      </w:r>
      <w:r w:rsidRPr="00383A1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</w:t>
      </w: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ngày 26 tháng 11 năm 2014;</w:t>
      </w:r>
    </w:p>
    <w:p w:rsidR="005533C1" w:rsidRPr="005E49B0" w:rsidRDefault="005533C1" w:rsidP="00383A14">
      <w:pPr>
        <w:spacing w:after="0"/>
        <w:ind w:firstLine="544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Căn cứ Luật Đầu tư ngày 26 tháng 11 năm 2014;</w:t>
      </w:r>
    </w:p>
    <w:p w:rsidR="005533C1" w:rsidRPr="005E49B0" w:rsidRDefault="005533C1" w:rsidP="00383A14">
      <w:pPr>
        <w:spacing w:after="0"/>
        <w:ind w:firstLine="544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Theo đề nghị của Thống đốc Ngân hàng Nhà nước Việ</w:t>
      </w:r>
      <w:r w:rsidR="00A3657B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t Nam,</w:t>
      </w:r>
    </w:p>
    <w:p w:rsidR="00CC49F8" w:rsidRPr="00CC49F8" w:rsidRDefault="005533C1" w:rsidP="00383A14">
      <w:pPr>
        <w:spacing w:after="0"/>
        <w:ind w:firstLine="54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Chính phủ ban hành Nghị định</w:t>
      </w:r>
      <w:r w:rsidR="00596CF1" w:rsidRPr="005E49B0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</w:t>
      </w:r>
      <w:r w:rsidR="00CC49F8" w:rsidRPr="00383A1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sửa đổi, bổ sung </w:t>
      </w:r>
      <w:r w:rsidR="00CC49F8" w:rsidRPr="001307C9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val="nl-NL"/>
        </w:rPr>
        <w:t>một số điều của</w:t>
      </w:r>
      <w:r w:rsidR="00CC49F8" w:rsidRPr="00383A1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Nghị định số </w:t>
      </w:r>
      <w:r w:rsidR="00596CF1" w:rsidRPr="00383A1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10/2010/NĐ</w:t>
      </w:r>
      <w:r w:rsidR="00596CF1" w:rsidRPr="005E49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-CP </w:t>
      </w:r>
      <w:r w:rsidR="00BF7F5D" w:rsidRPr="005E49B0">
        <w:rPr>
          <w:rFonts w:ascii="Times New Roman" w:hAnsi="Times New Roman" w:cs="Times New Roman"/>
          <w:i/>
          <w:color w:val="000000"/>
          <w:sz w:val="28"/>
          <w:szCs w:val="28"/>
        </w:rPr>
        <w:t>ngày 12</w:t>
      </w:r>
      <w:r w:rsidR="00E62E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tháng 02 năm 2010</w:t>
      </w:r>
      <w:r w:rsidR="00A3657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F7F5D" w:rsidRPr="005E49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của</w:t>
      </w:r>
      <w:r w:rsidR="00BF7F5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Chính phủ về hoạt động</w:t>
      </w:r>
      <w:r w:rsidR="00A135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thông tin</w:t>
      </w:r>
      <w:r w:rsidR="00BF7F5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tín dụng.</w:t>
      </w:r>
    </w:p>
    <w:p w:rsidR="00F168C9" w:rsidRPr="00F168C9" w:rsidRDefault="00F168C9" w:rsidP="00A1358C">
      <w:pPr>
        <w:pStyle w:val="style1"/>
        <w:shd w:val="clear" w:color="auto" w:fill="FFFFFF"/>
        <w:spacing w:before="120" w:beforeAutospacing="0" w:after="120" w:afterAutospacing="0" w:line="234" w:lineRule="atLeast"/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F168C9">
        <w:rPr>
          <w:b/>
          <w:color w:val="000000"/>
          <w:sz w:val="28"/>
          <w:szCs w:val="28"/>
        </w:rPr>
        <w:t>Điều 1.</w:t>
      </w:r>
      <w:proofErr w:type="gramEnd"/>
      <w:r w:rsidRPr="00F168C9">
        <w:rPr>
          <w:b/>
          <w:color w:val="000000"/>
          <w:sz w:val="28"/>
          <w:szCs w:val="28"/>
        </w:rPr>
        <w:t xml:space="preserve"> Sửa đổi, bổ sung Điều 7 Nghị định số 10/2010/NĐ-CP ngày 12</w:t>
      </w:r>
      <w:r w:rsidR="00B37E90">
        <w:rPr>
          <w:b/>
          <w:color w:val="000000"/>
          <w:sz w:val="28"/>
          <w:szCs w:val="28"/>
        </w:rPr>
        <w:t xml:space="preserve"> tháng 02 năm 2010</w:t>
      </w:r>
      <w:r w:rsidRPr="00F168C9">
        <w:rPr>
          <w:b/>
          <w:color w:val="000000"/>
          <w:sz w:val="28"/>
          <w:szCs w:val="28"/>
        </w:rPr>
        <w:t xml:space="preserve"> của Chính phủ về hoạt động tín dụng như sau</w:t>
      </w:r>
      <w:r>
        <w:rPr>
          <w:b/>
          <w:color w:val="000000"/>
          <w:sz w:val="28"/>
          <w:szCs w:val="28"/>
        </w:rPr>
        <w:t>:</w:t>
      </w:r>
    </w:p>
    <w:p w:rsidR="002932F1" w:rsidRDefault="00F168C9" w:rsidP="00B54EC7">
      <w:pPr>
        <w:pStyle w:val="style1"/>
        <w:shd w:val="clear" w:color="auto" w:fill="FFFFFF"/>
        <w:spacing w:before="0" w:beforeAutospacing="0" w:after="120" w:afterAutospacing="0" w:line="234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“</w:t>
      </w:r>
      <w:r w:rsidR="00D236DC">
        <w:rPr>
          <w:color w:val="000000"/>
          <w:sz w:val="28"/>
          <w:szCs w:val="28"/>
        </w:rPr>
        <w:t>Điều 7.</w:t>
      </w:r>
      <w:proofErr w:type="gramEnd"/>
      <w:r w:rsidR="00D236DC">
        <w:rPr>
          <w:color w:val="000000"/>
          <w:sz w:val="28"/>
          <w:szCs w:val="28"/>
        </w:rPr>
        <w:t xml:space="preserve"> Điều kiện cấp Giấy chứng nhận đủ điều kiện hoạt động thông tin tín dụng</w:t>
      </w:r>
    </w:p>
    <w:p w:rsidR="008C00C7" w:rsidRPr="000307FF" w:rsidRDefault="008C00C7" w:rsidP="00483F4A">
      <w:pPr>
        <w:pStyle w:val="style1"/>
        <w:shd w:val="clear" w:color="auto" w:fill="FFFFFF"/>
        <w:spacing w:before="0" w:beforeAutospacing="0" w:after="12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1. C</w:t>
      </w:r>
      <w:r w:rsidR="00B37E90">
        <w:rPr>
          <w:color w:val="000000"/>
          <w:sz w:val="28"/>
          <w:szCs w:val="28"/>
        </w:rPr>
        <w:t xml:space="preserve">ó </w:t>
      </w:r>
      <w:r w:rsidRPr="000307FF">
        <w:rPr>
          <w:color w:val="000000"/>
          <w:sz w:val="28"/>
          <w:szCs w:val="28"/>
        </w:rPr>
        <w:t>hệ thống cơ sở hạ tầng về công nghệ thông tin đáp ứng yêu cầu tối thiểu sau</w:t>
      </w:r>
      <w:r w:rsidR="00A1358C">
        <w:rPr>
          <w:color w:val="000000"/>
          <w:sz w:val="28"/>
          <w:szCs w:val="28"/>
        </w:rPr>
        <w:t xml:space="preserve"> đây</w:t>
      </w:r>
      <w:r w:rsidRPr="000307FF">
        <w:rPr>
          <w:color w:val="000000"/>
          <w:sz w:val="28"/>
          <w:szCs w:val="28"/>
        </w:rPr>
        <w:t>: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a) Có tối thiểu 02 đường truyền (leased line) để bảo đảm duy trì việc truyền đưa liên tục thông tin số;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b) Có trang thiết bị công nghệ thông tin tiên tiến phù hợp với mặt bằng công nghệ của hệ thống tổ chức cấp tín dụng; có khả năng tích hợp và kết nối được với các tổ chức cấp tín dụng;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 xml:space="preserve">c) Có hệ thống máy chủ đủ lớn, hệ thống phần mềm tin học và các giải pháp kỹ thuật để cập nhật, xử lý, lưu giữ thông tin tín dụng, </w:t>
      </w:r>
      <w:r w:rsidR="00A1358C">
        <w:rPr>
          <w:color w:val="000000"/>
          <w:sz w:val="28"/>
          <w:szCs w:val="28"/>
        </w:rPr>
        <w:t>thực hiện</w:t>
      </w:r>
      <w:r w:rsidRPr="000307FF">
        <w:rPr>
          <w:color w:val="000000"/>
          <w:sz w:val="28"/>
          <w:szCs w:val="28"/>
        </w:rPr>
        <w:t xml:space="preserve"> dịch vụ thông tin tín dụng đối với tối thiểu 5</w:t>
      </w:r>
      <w:r w:rsidR="00A1358C">
        <w:rPr>
          <w:color w:val="000000"/>
          <w:sz w:val="28"/>
          <w:szCs w:val="28"/>
        </w:rPr>
        <w:t>.000.000</w:t>
      </w:r>
      <w:r w:rsidRPr="000307FF">
        <w:rPr>
          <w:color w:val="000000"/>
          <w:sz w:val="28"/>
          <w:szCs w:val="28"/>
        </w:rPr>
        <w:t xml:space="preserve"> </w:t>
      </w:r>
      <w:r w:rsidR="00A1358C">
        <w:rPr>
          <w:color w:val="000000"/>
          <w:sz w:val="28"/>
          <w:szCs w:val="28"/>
        </w:rPr>
        <w:t xml:space="preserve">(Năm </w:t>
      </w:r>
      <w:r w:rsidRPr="000307FF">
        <w:rPr>
          <w:color w:val="000000"/>
          <w:sz w:val="28"/>
          <w:szCs w:val="28"/>
        </w:rPr>
        <w:t>triệu</w:t>
      </w:r>
      <w:r w:rsidR="00A1358C">
        <w:rPr>
          <w:color w:val="000000"/>
          <w:sz w:val="28"/>
          <w:szCs w:val="28"/>
        </w:rPr>
        <w:t>)</w:t>
      </w:r>
      <w:r w:rsidRPr="000307FF">
        <w:rPr>
          <w:color w:val="000000"/>
          <w:sz w:val="28"/>
          <w:szCs w:val="28"/>
        </w:rPr>
        <w:t xml:space="preserve"> khách hàng vay;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 xml:space="preserve">d) Có phương </w:t>
      </w:r>
      <w:proofErr w:type="gramStart"/>
      <w:r w:rsidRPr="000307FF">
        <w:rPr>
          <w:color w:val="000000"/>
          <w:sz w:val="28"/>
          <w:szCs w:val="28"/>
        </w:rPr>
        <w:t>án</w:t>
      </w:r>
      <w:proofErr w:type="gramEnd"/>
      <w:r w:rsidRPr="000307FF">
        <w:rPr>
          <w:color w:val="000000"/>
          <w:sz w:val="28"/>
          <w:szCs w:val="28"/>
        </w:rPr>
        <w:t xml:space="preserve"> bảo mật, an toàn thông tin;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 xml:space="preserve">đ) Có phương </w:t>
      </w:r>
      <w:proofErr w:type="gramStart"/>
      <w:r w:rsidRPr="000307FF">
        <w:rPr>
          <w:color w:val="000000"/>
          <w:sz w:val="28"/>
          <w:szCs w:val="28"/>
        </w:rPr>
        <w:t>án</w:t>
      </w:r>
      <w:proofErr w:type="gramEnd"/>
      <w:r w:rsidRPr="000307FF">
        <w:rPr>
          <w:color w:val="000000"/>
          <w:sz w:val="28"/>
          <w:szCs w:val="28"/>
        </w:rPr>
        <w:t xml:space="preserve"> dự phòng thảm họa, đảm bảo không bị gián đoạn các hoạt động nghiệp vụ chính quá 4 giờ làm việc.</w:t>
      </w:r>
    </w:p>
    <w:p w:rsidR="008C00C7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2. Có vốn điều lệ tối thiểu 30 tỷ đồng</w:t>
      </w:r>
    </w:p>
    <w:p w:rsidR="000D59BF" w:rsidRPr="000307F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3. Có đội ngũ quản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lý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là những người có trình độ chuyên môn về tài chính, ngân hàng,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color w:val="000000"/>
          <w:sz w:val="28"/>
          <w:szCs w:val="28"/>
          <w:lang w:val="vi-VN"/>
        </w:rPr>
        <w:t>,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cụ thể</w:t>
      </w:r>
      <w:r w:rsidRPr="000307FF">
        <w:rPr>
          <w:color w:val="000000"/>
          <w:sz w:val="28"/>
          <w:szCs w:val="28"/>
          <w:lang w:val="vi-VN"/>
        </w:rPr>
        <w:t>:</w:t>
      </w:r>
    </w:p>
    <w:p w:rsidR="000D59BF" w:rsidRPr="000307FF" w:rsidRDefault="0078630E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a</w:t>
      </w:r>
      <w:r w:rsidR="000D59BF" w:rsidRPr="000307FF">
        <w:rPr>
          <w:color w:val="000000"/>
          <w:sz w:val="28"/>
          <w:szCs w:val="28"/>
          <w:lang w:val="vi-VN"/>
        </w:rPr>
        <w:t>) Đối</w:t>
      </w:r>
      <w:r w:rsidR="000D59BF"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="000D59BF" w:rsidRPr="000307FF">
        <w:rPr>
          <w:color w:val="000000"/>
          <w:sz w:val="28"/>
          <w:szCs w:val="28"/>
          <w:shd w:val="clear" w:color="auto" w:fill="FFFFFF"/>
          <w:lang w:val="vi-VN"/>
        </w:rPr>
        <w:t>với</w:t>
      </w:r>
      <w:r w:rsidR="000D59BF"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="000D59BF" w:rsidRPr="000307FF">
        <w:rPr>
          <w:color w:val="000000"/>
          <w:sz w:val="28"/>
          <w:szCs w:val="28"/>
          <w:lang w:val="vi-VN"/>
        </w:rPr>
        <w:t>Chủ tịch Hội đồng quản trị, Chủ tịch Hội đồng thành viên</w:t>
      </w:r>
    </w:p>
    <w:p w:rsidR="000D59B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Có bằng đại học hoặc trên đại học về một trong các chuyên ngành tài chính, ngân hàng,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và có ít nhất ba (03) năm làm việc trực tiếp trong lĩnh vực tài chính, ngân hàng hoặc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color w:val="000000"/>
          <w:sz w:val="28"/>
          <w:szCs w:val="28"/>
          <w:lang w:val="vi-VN"/>
        </w:rPr>
        <w:t>;</w:t>
      </w:r>
    </w:p>
    <w:p w:rsidR="0078630E" w:rsidRPr="000307FF" w:rsidRDefault="0078630E" w:rsidP="0078630E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Pr="000307FF">
        <w:rPr>
          <w:color w:val="000000"/>
          <w:sz w:val="28"/>
          <w:szCs w:val="28"/>
          <w:lang w:val="vi-VN"/>
        </w:rPr>
        <w:t>) Đối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với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thành viên Hội đồng quản trị, thành viên Hội đồng thành viên, thành viên hợp danh</w:t>
      </w:r>
    </w:p>
    <w:p w:rsidR="0078630E" w:rsidRPr="000307FF" w:rsidRDefault="0078630E" w:rsidP="0078630E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Có bằng đại học hoặc trên đại học, trong đó: có ít nhất 50% số thành viên có bằng đại học hoặc trên đại học về một trong các chuyên ngành tài chính, ngân hàng,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và có ít nhất ba (03) năm làm việc trực tiếp trong lĩnh vực tài chính, ngân hàng hoặc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color w:val="000000"/>
          <w:sz w:val="28"/>
          <w:szCs w:val="28"/>
          <w:lang w:val="vi-VN"/>
        </w:rPr>
        <w:t>;</w:t>
      </w:r>
    </w:p>
    <w:p w:rsidR="000D59BF" w:rsidRPr="000307F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c) Đối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với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Tổng giám đốc (Giám đốc)</w:t>
      </w:r>
    </w:p>
    <w:p w:rsidR="000D59BF" w:rsidRPr="000307F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Có bằng đại học hoặc trên đại học về một trong các chuyên ngành tài chính, ngân hàng,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và có ít nhất ba (03) năm giữ chức vụ quản lý, điều hành doanh nghiệp hoạt động trong lĩnh vực tài chính, ngân hàng hoặc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color w:val="000000"/>
          <w:sz w:val="28"/>
          <w:szCs w:val="28"/>
          <w:lang w:val="vi-VN"/>
        </w:rPr>
        <w:t>;</w:t>
      </w:r>
    </w:p>
    <w:p w:rsidR="000D59BF" w:rsidRPr="000307F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d) Đối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với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Phó Tổng giám đốc (Phó giám đốc)</w:t>
      </w:r>
    </w:p>
    <w:p w:rsidR="000D59BF" w:rsidRPr="000307F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Có bằng đại học hoặc trên đại học về một trong các chuyên ngành tài chính, ngân hàng,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và có ít nhất hai (02) năm giữ chức vụ quản lý, điều hành doanh nghiệp hoạt động trong lĩnh vực tài chính, ngân hàng hoặc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color w:val="000000"/>
          <w:sz w:val="28"/>
          <w:szCs w:val="28"/>
          <w:lang w:val="vi-VN"/>
        </w:rPr>
        <w:t>;</w:t>
      </w:r>
    </w:p>
    <w:p w:rsidR="000D59BF" w:rsidRPr="000307F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đ) Đối với thành viên Ban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Kiểm soát</w:t>
      </w:r>
    </w:p>
    <w:p w:rsidR="000D59BF" w:rsidRPr="000307F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Có bằng đại học hoặc trên đại học về một trong các chuyên ngành tài chính, ngân hàng,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và có ít nhất hai (02) năm làm việc trực tiếp trong lĩnh vực tài chính, kế toán, kiểm toán, ngân hàng hoặc công ng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hệ thông tin</w:t>
      </w:r>
      <w:r w:rsidRPr="000307FF">
        <w:rPr>
          <w:color w:val="000000"/>
          <w:sz w:val="28"/>
          <w:szCs w:val="28"/>
          <w:lang w:val="vi-VN"/>
        </w:rPr>
        <w:t>;</w:t>
      </w:r>
    </w:p>
    <w:p w:rsidR="000D59BF" w:rsidRPr="000307FF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shd w:val="clear" w:color="auto" w:fill="FFFFFF"/>
          <w:lang w:val="vi-VN"/>
        </w:rPr>
        <w:t>e) Thời gian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làm việc trực tiếp trong lĩnh vực công tác quy định tại các điểm a, b, c, d, đ khoản 3 Điều này là thời gian được tuyển dụng, bổ nhiệm hoặc phân công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là</w:t>
      </w:r>
      <w:r w:rsidRPr="000307FF">
        <w:rPr>
          <w:color w:val="000000"/>
          <w:sz w:val="28"/>
          <w:szCs w:val="28"/>
          <w:lang w:val="vi-VN"/>
        </w:rPr>
        <w:t>m việc trong lĩnh vực đó;</w:t>
      </w:r>
    </w:p>
    <w:p w:rsidR="000D59BF" w:rsidRPr="00B466F2" w:rsidRDefault="000D59BF" w:rsidP="00B54EC7">
      <w:pPr>
        <w:pStyle w:val="NormalWeb"/>
        <w:shd w:val="clear" w:color="auto" w:fill="FFFFFF"/>
        <w:spacing w:before="120" w:beforeAutospacing="0" w:after="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  <w:lang w:val="vi-VN"/>
        </w:rPr>
        <w:t>g) Ngoài các tiêu chuẩn, điều kiện quy định tại điểm a, b, c, d, đ khoản 3 Điều này, người được bổ nhiệm vào các chức danh thuộc đội ngũ quản lý phải đáp ứng các tiêu chuẩn,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shd w:val="clear" w:color="auto" w:fill="FFFFFF"/>
          <w:lang w:val="vi-VN"/>
        </w:rPr>
        <w:t>điều kiện</w:t>
      </w:r>
      <w:r w:rsidRPr="000307FF">
        <w:rPr>
          <w:rStyle w:val="apple-converted-space"/>
          <w:color w:val="000000"/>
          <w:sz w:val="28"/>
          <w:szCs w:val="28"/>
          <w:lang w:val="vi-VN"/>
        </w:rPr>
        <w:t> </w:t>
      </w:r>
      <w:r w:rsidRPr="000307FF">
        <w:rPr>
          <w:color w:val="000000"/>
          <w:sz w:val="28"/>
          <w:szCs w:val="28"/>
          <w:lang w:val="vi-VN"/>
        </w:rPr>
        <w:t>khác theo quy định pháp luật hiện hành</w:t>
      </w:r>
      <w:r w:rsidR="00B466F2">
        <w:rPr>
          <w:color w:val="000000"/>
          <w:sz w:val="28"/>
          <w:szCs w:val="28"/>
        </w:rPr>
        <w:t>.</w:t>
      </w:r>
    </w:p>
    <w:p w:rsidR="0020244A" w:rsidRPr="000307FF" w:rsidRDefault="0020244A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 xml:space="preserve">4. Có phương </w:t>
      </w:r>
      <w:proofErr w:type="gramStart"/>
      <w:r w:rsidRPr="000307FF">
        <w:rPr>
          <w:color w:val="000000"/>
          <w:sz w:val="28"/>
          <w:szCs w:val="28"/>
        </w:rPr>
        <w:t>án</w:t>
      </w:r>
      <w:proofErr w:type="gramEnd"/>
      <w:r w:rsidRPr="000307FF">
        <w:rPr>
          <w:color w:val="000000"/>
          <w:sz w:val="28"/>
          <w:szCs w:val="28"/>
        </w:rPr>
        <w:t xml:space="preserve"> kinh doanh khả thi và không được kinh doanh ngành nghề khác ngoài nội dung hoạt động thông tin tín dụng quy định tại Nghị định này.</w:t>
      </w:r>
    </w:p>
    <w:p w:rsidR="0020244A" w:rsidRPr="000307FF" w:rsidRDefault="00A3657B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Có tối thiểu 20 ngân hàng t</w:t>
      </w:r>
      <w:r w:rsidR="0020244A" w:rsidRPr="000307FF">
        <w:rPr>
          <w:color w:val="000000"/>
          <w:sz w:val="28"/>
          <w:szCs w:val="28"/>
        </w:rPr>
        <w:t xml:space="preserve">hương mại cam kết cung cấp thông tin tín dụng và các ngân hàng này không </w:t>
      </w:r>
      <w:r w:rsidR="000C4122">
        <w:rPr>
          <w:color w:val="000000"/>
          <w:sz w:val="28"/>
          <w:szCs w:val="28"/>
        </w:rPr>
        <w:t xml:space="preserve">có </w:t>
      </w:r>
      <w:r w:rsidR="0020244A" w:rsidRPr="000307FF">
        <w:rPr>
          <w:color w:val="000000"/>
          <w:sz w:val="28"/>
          <w:szCs w:val="28"/>
        </w:rPr>
        <w:t>cam kết</w:t>
      </w:r>
      <w:r w:rsidR="000C4122">
        <w:rPr>
          <w:color w:val="000000"/>
          <w:sz w:val="28"/>
          <w:szCs w:val="28"/>
        </w:rPr>
        <w:t xml:space="preserve"> tương tự</w:t>
      </w:r>
      <w:r>
        <w:rPr>
          <w:color w:val="000000"/>
          <w:sz w:val="28"/>
          <w:szCs w:val="28"/>
        </w:rPr>
        <w:t xml:space="preserve"> với c</w:t>
      </w:r>
      <w:r w:rsidR="0020244A" w:rsidRPr="000307FF">
        <w:rPr>
          <w:color w:val="000000"/>
          <w:sz w:val="28"/>
          <w:szCs w:val="28"/>
        </w:rPr>
        <w:t>ông ty thông tin tín dụng khác.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 xml:space="preserve">6. Có văn bản thoả thuận về quy trình </w:t>
      </w:r>
      <w:proofErr w:type="gramStart"/>
      <w:r w:rsidRPr="000307FF">
        <w:rPr>
          <w:color w:val="000000"/>
          <w:sz w:val="28"/>
          <w:szCs w:val="28"/>
        </w:rPr>
        <w:t>thu</w:t>
      </w:r>
      <w:proofErr w:type="gramEnd"/>
      <w:r w:rsidRPr="000307FF">
        <w:rPr>
          <w:color w:val="000000"/>
          <w:sz w:val="28"/>
          <w:szCs w:val="28"/>
        </w:rPr>
        <w:t xml:space="preserve"> thập, xử lý, lưu giữ và cu</w:t>
      </w:r>
      <w:r w:rsidR="00A3657B">
        <w:rPr>
          <w:color w:val="000000"/>
          <w:sz w:val="28"/>
          <w:szCs w:val="28"/>
        </w:rPr>
        <w:t>ng cấp thông tin tín dụng giữa c</w:t>
      </w:r>
      <w:r w:rsidRPr="000307FF">
        <w:rPr>
          <w:color w:val="000000"/>
          <w:sz w:val="28"/>
          <w:szCs w:val="28"/>
        </w:rPr>
        <w:t>ông ty thông tin tín dụng với các tổ chức cấp tín dụng đã cam kết, trong đó phải có những nội dung tối thiểu sau</w:t>
      </w:r>
      <w:r w:rsidR="000C4122">
        <w:rPr>
          <w:color w:val="000000"/>
          <w:sz w:val="28"/>
          <w:szCs w:val="28"/>
        </w:rPr>
        <w:t xml:space="preserve"> đây</w:t>
      </w:r>
      <w:r w:rsidRPr="000307FF">
        <w:rPr>
          <w:color w:val="000000"/>
          <w:sz w:val="28"/>
          <w:szCs w:val="28"/>
        </w:rPr>
        <w:t>: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 xml:space="preserve">a) Nội dung, phạm </w:t>
      </w:r>
      <w:proofErr w:type="gramStart"/>
      <w:r w:rsidRPr="000307FF">
        <w:rPr>
          <w:color w:val="000000"/>
          <w:sz w:val="28"/>
          <w:szCs w:val="28"/>
        </w:rPr>
        <w:t>vi</w:t>
      </w:r>
      <w:proofErr w:type="gramEnd"/>
      <w:r w:rsidRPr="000307FF">
        <w:rPr>
          <w:color w:val="000000"/>
          <w:sz w:val="28"/>
          <w:szCs w:val="28"/>
        </w:rPr>
        <w:t xml:space="preserve"> thông tin tín dụng được cung cấp;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lastRenderedPageBreak/>
        <w:t>b) Thời gian, địa điểm, phương thức cung cấp, truyền đưa thông tin, dữ liệu, sản phẩm thông tin tín dụng;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 xml:space="preserve">c) Nguyên tắc, phạm </w:t>
      </w:r>
      <w:proofErr w:type="gramStart"/>
      <w:r w:rsidRPr="000307FF">
        <w:rPr>
          <w:color w:val="000000"/>
          <w:sz w:val="28"/>
          <w:szCs w:val="28"/>
        </w:rPr>
        <w:t>vi</w:t>
      </w:r>
      <w:proofErr w:type="gramEnd"/>
      <w:r w:rsidRPr="000307FF">
        <w:rPr>
          <w:color w:val="000000"/>
          <w:sz w:val="28"/>
          <w:szCs w:val="28"/>
        </w:rPr>
        <w:t>, mục đích sử dụng sản phẩm thông tin tín dụng;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d) Nghĩa vụ thông báo cho khách hàng vay về việc sử dụng thông tin tín dụng của khách hàng vay;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đ) Trách nhiệm của các bên trong việc điều chỉnh, sửa chữa sai sót trong quá trình cập nhật, truyền đưa, xử lý, lưu giữ, khai thác sử dụng thông tin;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e) Trách nhiệm của các bên trong việc rà soát, đối chiếu, kiểm tra chất lượng và lưu giữ thông tin tín dụng;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g) Trách nhiệm và sự phối hợp của các bên khi giải quyết khiếu nại của khách hàng vay;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 xml:space="preserve">h) Xử lý </w:t>
      </w:r>
      <w:proofErr w:type="gramStart"/>
      <w:r w:rsidRPr="000307FF">
        <w:rPr>
          <w:color w:val="000000"/>
          <w:sz w:val="28"/>
          <w:szCs w:val="28"/>
        </w:rPr>
        <w:t>vi</w:t>
      </w:r>
      <w:proofErr w:type="gramEnd"/>
      <w:r w:rsidRPr="000307FF">
        <w:rPr>
          <w:color w:val="000000"/>
          <w:sz w:val="28"/>
          <w:szCs w:val="28"/>
        </w:rPr>
        <w:t xml:space="preserve"> phạm, giải quyết tranh chấp;</w:t>
      </w:r>
    </w:p>
    <w:p w:rsidR="008C00C7" w:rsidRPr="000307FF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r w:rsidRPr="000307FF">
        <w:rPr>
          <w:color w:val="000000"/>
          <w:sz w:val="28"/>
          <w:szCs w:val="28"/>
        </w:rPr>
        <w:t>i) Hiệu lực của văn bản thoả thuận và đơn phương chấm dứt việc thực hiện thoả thuận;</w:t>
      </w:r>
    </w:p>
    <w:p w:rsidR="008C00C7" w:rsidRDefault="008C00C7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color w:val="000000"/>
          <w:sz w:val="28"/>
          <w:szCs w:val="28"/>
        </w:rPr>
      </w:pPr>
      <w:proofErr w:type="gramStart"/>
      <w:r w:rsidRPr="000307FF">
        <w:rPr>
          <w:color w:val="000000"/>
          <w:sz w:val="28"/>
          <w:szCs w:val="28"/>
        </w:rPr>
        <w:t>k) Các quyền, nghĩa vụ khác của các bên trong quá trình thu thập, xử lý, lưu giữ và cung cấp thông tin tín dụng.</w:t>
      </w:r>
      <w:r w:rsidR="00CE043F">
        <w:rPr>
          <w:color w:val="000000"/>
          <w:sz w:val="28"/>
          <w:szCs w:val="28"/>
        </w:rPr>
        <w:t>”</w:t>
      </w:r>
      <w:proofErr w:type="gramEnd"/>
    </w:p>
    <w:p w:rsidR="00DD723E" w:rsidRPr="00DD723E" w:rsidRDefault="00DD723E" w:rsidP="00DD723E">
      <w:pPr>
        <w:spacing w:before="6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D723E">
        <w:rPr>
          <w:rFonts w:ascii="Times New Roman" w:hAnsi="Times New Roman" w:cs="Times New Roman"/>
          <w:b/>
          <w:sz w:val="28"/>
          <w:szCs w:val="28"/>
          <w:lang w:val="nl-NL"/>
        </w:rPr>
        <w:t>Điều 2.Hiệu lực thi hành</w:t>
      </w:r>
    </w:p>
    <w:p w:rsidR="00DD723E" w:rsidRPr="00DD723E" w:rsidRDefault="00DD723E" w:rsidP="00DD723E">
      <w:pPr>
        <w:spacing w:before="60" w:line="360" w:lineRule="exact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nl-NL"/>
        </w:rPr>
      </w:pPr>
      <w:r w:rsidRPr="00DD723E">
        <w:rPr>
          <w:rFonts w:ascii="Times New Roman" w:hAnsi="Times New Roman" w:cs="Times New Roman"/>
          <w:spacing w:val="-4"/>
          <w:sz w:val="28"/>
          <w:szCs w:val="28"/>
          <w:lang w:val="nl-NL"/>
        </w:rPr>
        <w:t>Nghị định này có hiệu lực thi hành từ ngày</w:t>
      </w:r>
      <w:r w:rsidR="000C4122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 </w:t>
      </w:r>
      <w:r w:rsidRPr="00DD723E">
        <w:rPr>
          <w:rFonts w:ascii="Times New Roman" w:hAnsi="Times New Roman" w:cs="Times New Roman"/>
          <w:spacing w:val="-4"/>
          <w:sz w:val="28"/>
          <w:szCs w:val="28"/>
          <w:lang w:val="nl-NL"/>
        </w:rPr>
        <w:t>...</w:t>
      </w:r>
    </w:p>
    <w:p w:rsidR="00DD723E" w:rsidRPr="00DD723E" w:rsidRDefault="00DD723E" w:rsidP="00DD723E">
      <w:pPr>
        <w:tabs>
          <w:tab w:val="left" w:pos="6495"/>
        </w:tabs>
        <w:spacing w:before="6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bookmarkStart w:id="2" w:name="_GoBack"/>
      <w:bookmarkEnd w:id="2"/>
      <w:r w:rsidRPr="00DD723E">
        <w:rPr>
          <w:rFonts w:ascii="Times New Roman" w:hAnsi="Times New Roman" w:cs="Times New Roman"/>
          <w:b/>
          <w:sz w:val="28"/>
          <w:szCs w:val="28"/>
          <w:lang w:val="nl-NL"/>
        </w:rPr>
        <w:t>Điều 3. Trách nhiệm thi hành</w:t>
      </w:r>
      <w:r w:rsidRPr="00DD723E">
        <w:rPr>
          <w:rFonts w:ascii="Times New Roman" w:hAnsi="Times New Roman" w:cs="Times New Roman"/>
          <w:b/>
          <w:sz w:val="28"/>
          <w:szCs w:val="28"/>
          <w:lang w:val="nl-NL"/>
        </w:rPr>
        <w:tab/>
      </w:r>
    </w:p>
    <w:p w:rsidR="00DD723E" w:rsidRPr="00DD723E" w:rsidRDefault="00DD723E" w:rsidP="00DD723E">
      <w:pPr>
        <w:spacing w:before="6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D723E">
        <w:rPr>
          <w:rFonts w:ascii="Times New Roman" w:hAnsi="Times New Roman" w:cs="Times New Roman"/>
          <w:sz w:val="28"/>
          <w:szCs w:val="28"/>
          <w:lang w:val="nl-NL"/>
        </w:rPr>
        <w:t>Bộ trưởng, Thủ trưởng cơ quan ngang Bộ; Thủ trưởng cơ quan thuộc Chính phủ; Chủ tịch Ủy ban nhân dân các tỉnh, thành phố trực thuộc Trung ương; các tổ chức, cá nhân có liên quan chịu trách nhiệm thi hành Nghị định này./.</w:t>
      </w:r>
    </w:p>
    <w:p w:rsidR="00DD723E" w:rsidRPr="00EA0470" w:rsidRDefault="00DD723E" w:rsidP="002C1E99">
      <w:pPr>
        <w:spacing w:after="0"/>
        <w:ind w:left="4320"/>
        <w:jc w:val="center"/>
        <w:rPr>
          <w:rFonts w:ascii="Times New Roman" w:hAnsi="Times New Roman"/>
          <w:b/>
          <w:sz w:val="26"/>
          <w:lang w:val="nl-NL"/>
        </w:rPr>
      </w:pPr>
    </w:p>
    <w:tbl>
      <w:tblPr>
        <w:tblW w:w="9360" w:type="dxa"/>
        <w:tblInd w:w="108" w:type="dxa"/>
        <w:tblLook w:val="04A0"/>
      </w:tblPr>
      <w:tblGrid>
        <w:gridCol w:w="5850"/>
        <w:gridCol w:w="3510"/>
      </w:tblGrid>
      <w:tr w:rsidR="00DD723E" w:rsidRPr="00EA0470" w:rsidTr="00601F76">
        <w:tc>
          <w:tcPr>
            <w:tcW w:w="5850" w:type="dxa"/>
          </w:tcPr>
          <w:p w:rsidR="00DD723E" w:rsidRPr="00EA0470" w:rsidRDefault="00DD723E" w:rsidP="002C1E99">
            <w:pPr>
              <w:spacing w:after="0"/>
              <w:rPr>
                <w:rFonts w:ascii="Times New Roman" w:hAnsi="Times New Roman"/>
                <w:sz w:val="16"/>
                <w:lang w:val="de-DE"/>
              </w:rPr>
            </w:pPr>
            <w:r w:rsidRPr="00EA0470">
              <w:rPr>
                <w:rFonts w:ascii="Times New Roman" w:hAnsi="Times New Roman"/>
                <w:b/>
                <w:i/>
                <w:sz w:val="26"/>
                <w:lang w:val="de-DE"/>
              </w:rPr>
              <w:t xml:space="preserve">Nơi nhận:        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Ban Bí thư Trung ương Đảng;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Thủ tướng, các Phó Thủ tướng Chính phủ;  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Các Bộ, cơ quan ngang Bộ,cơ quan thuộc Chính phủ;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VP BCĐ TW về phòng, chống tham nhũng;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HĐND, UBND các tỉnh,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 thành phố trực thuộc Trung ương;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Văn phòng Trung ương và các Ban của Đảng;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Văn phòng Chủ tịch nước;                                                                    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b/>
                <w:sz w:val="30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Hội đồng Dân tộc và các Ủy ban của Quốc hội;              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Văn phòng Quốc hội;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Toà án nhân dân tối cao;                                                                 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Viện Kiểm sát nhân dân tối cao;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nl-NL"/>
              </w:rPr>
            </w:pPr>
            <w:r w:rsidRPr="00EA0470">
              <w:rPr>
                <w:rFonts w:ascii="Times New Roman" w:hAnsi="Times New Roman"/>
                <w:sz w:val="24"/>
                <w:lang w:val="nl-NL"/>
              </w:rPr>
              <w:t xml:space="preserve"> - Kiểm toán Nhà nước;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hAnsi="Times New Roman"/>
                <w:sz w:val="24"/>
                <w:lang w:val="de-DE"/>
              </w:rPr>
            </w:pPr>
            <w:r w:rsidRPr="00EA0470">
              <w:rPr>
                <w:rFonts w:ascii="Times New Roman" w:hAnsi="Times New Roman"/>
                <w:sz w:val="24"/>
                <w:lang w:val="de-DE"/>
              </w:rPr>
              <w:t xml:space="preserve"> - UBTW Mặt trận Tổ quốc Việt Nam;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eastAsia="Batang" w:hAnsi="Times New Roman"/>
                <w:sz w:val="24"/>
                <w:lang w:val="de-DE"/>
              </w:rPr>
            </w:pPr>
            <w:r w:rsidRPr="00EA0470">
              <w:rPr>
                <w:rFonts w:ascii="Times New Roman" w:hAnsi="Times New Roman"/>
                <w:sz w:val="24"/>
                <w:lang w:val="de-DE"/>
              </w:rPr>
              <w:t xml:space="preserve"> - Cơ quan Trung ương của các đoàn thể;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hAnsi="Times New Roman"/>
                <w:sz w:val="24"/>
                <w:lang w:val="de-DE"/>
              </w:rPr>
            </w:pPr>
            <w:r w:rsidRPr="00EA0470">
              <w:rPr>
                <w:rFonts w:ascii="Times New Roman" w:hAnsi="Times New Roman"/>
                <w:sz w:val="24"/>
                <w:lang w:val="de-DE"/>
              </w:rPr>
              <w:t xml:space="preserve"> - VPCP: BTCN, các PCN, Cổng TTĐT, 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hAnsi="Times New Roman"/>
                <w:sz w:val="24"/>
                <w:lang w:val="de-DE"/>
              </w:rPr>
            </w:pPr>
            <w:r w:rsidRPr="00EA0470">
              <w:rPr>
                <w:rFonts w:ascii="Times New Roman" w:hAnsi="Times New Roman"/>
                <w:sz w:val="24"/>
                <w:lang w:val="de-DE"/>
              </w:rPr>
              <w:t xml:space="preserve">   các Vụ, Cục, đơn vị trực thuộc, Công báo;</w:t>
            </w:r>
          </w:p>
          <w:p w:rsidR="00DD723E" w:rsidRPr="00EA0470" w:rsidRDefault="00DD723E" w:rsidP="003344C2">
            <w:pPr>
              <w:spacing w:after="0" w:line="240" w:lineRule="auto"/>
              <w:rPr>
                <w:rFonts w:ascii="Times New Roman" w:hAnsi="Times New Roman"/>
                <w:b/>
                <w:lang w:val="de-DE"/>
              </w:rPr>
            </w:pPr>
            <w:r w:rsidRPr="00EA0470">
              <w:rPr>
                <w:rFonts w:ascii="Times New Roman" w:hAnsi="Times New Roman"/>
                <w:sz w:val="24"/>
                <w:lang w:val="de-DE"/>
              </w:rPr>
              <w:t xml:space="preserve"> - Lưu: Văn thư, KTTH.</w:t>
            </w:r>
          </w:p>
        </w:tc>
        <w:tc>
          <w:tcPr>
            <w:tcW w:w="3510" w:type="dxa"/>
          </w:tcPr>
          <w:p w:rsidR="00DD723E" w:rsidRPr="00D13975" w:rsidRDefault="00DD723E" w:rsidP="002C1E99">
            <w:pPr>
              <w:spacing w:after="0"/>
              <w:ind w:left="-10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1397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TM. CHÍNH PHỦ</w:t>
            </w:r>
          </w:p>
          <w:p w:rsidR="00DD723E" w:rsidRPr="00D13975" w:rsidRDefault="00DD723E" w:rsidP="002C1E99">
            <w:pPr>
              <w:spacing w:after="0"/>
              <w:ind w:left="-104" w:right="-108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de-DE"/>
              </w:rPr>
            </w:pPr>
            <w:r w:rsidRPr="00D1397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THỦ TƯỚNG</w:t>
            </w:r>
          </w:p>
          <w:p w:rsidR="00DD723E" w:rsidRPr="00EA0470" w:rsidRDefault="00DD723E" w:rsidP="002C1E99">
            <w:pPr>
              <w:spacing w:after="0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</w:tbl>
    <w:p w:rsidR="00DD723E" w:rsidRPr="00EA0470" w:rsidRDefault="00DD723E" w:rsidP="002C1E99">
      <w:pPr>
        <w:spacing w:after="0"/>
        <w:rPr>
          <w:rFonts w:ascii="Times New Roman" w:hAnsi="Times New Roman"/>
        </w:rPr>
      </w:pPr>
    </w:p>
    <w:p w:rsidR="00CE043F" w:rsidRPr="00CE043F" w:rsidRDefault="00CE043F" w:rsidP="00B54EC7">
      <w:pPr>
        <w:pStyle w:val="NormalWeb"/>
        <w:shd w:val="clear" w:color="auto" w:fill="FFFFFF"/>
        <w:spacing w:before="0" w:beforeAutospacing="0" w:after="120" w:afterAutospacing="0" w:line="234" w:lineRule="atLeast"/>
        <w:ind w:right="45" w:firstLine="567"/>
        <w:jc w:val="both"/>
        <w:rPr>
          <w:b/>
          <w:color w:val="000000"/>
          <w:sz w:val="28"/>
          <w:szCs w:val="28"/>
        </w:rPr>
      </w:pPr>
    </w:p>
    <w:sectPr w:rsidR="00CE043F" w:rsidRPr="00CE043F" w:rsidSect="003344C2">
      <w:pgSz w:w="11907" w:h="16840" w:code="9"/>
      <w:pgMar w:top="1134" w:right="850" w:bottom="851" w:left="1701" w:header="284" w:footer="34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26E3C"/>
    <w:rsid w:val="000307FF"/>
    <w:rsid w:val="000379DD"/>
    <w:rsid w:val="00043528"/>
    <w:rsid w:val="000646BE"/>
    <w:rsid w:val="000C4122"/>
    <w:rsid w:val="000D59BF"/>
    <w:rsid w:val="000D6EF5"/>
    <w:rsid w:val="00117452"/>
    <w:rsid w:val="00126E25"/>
    <w:rsid w:val="001307C9"/>
    <w:rsid w:val="00166F62"/>
    <w:rsid w:val="0020244A"/>
    <w:rsid w:val="00222DF3"/>
    <w:rsid w:val="002932F1"/>
    <w:rsid w:val="002C1E99"/>
    <w:rsid w:val="002C592C"/>
    <w:rsid w:val="002D58DA"/>
    <w:rsid w:val="003344C2"/>
    <w:rsid w:val="00383A14"/>
    <w:rsid w:val="003E5EF1"/>
    <w:rsid w:val="00400D61"/>
    <w:rsid w:val="004053AD"/>
    <w:rsid w:val="0041505F"/>
    <w:rsid w:val="00422A71"/>
    <w:rsid w:val="004539AA"/>
    <w:rsid w:val="00483F4A"/>
    <w:rsid w:val="0052232B"/>
    <w:rsid w:val="0052738D"/>
    <w:rsid w:val="005533C1"/>
    <w:rsid w:val="005904CF"/>
    <w:rsid w:val="00592F20"/>
    <w:rsid w:val="00596CF1"/>
    <w:rsid w:val="005E083C"/>
    <w:rsid w:val="005E49B0"/>
    <w:rsid w:val="005F5635"/>
    <w:rsid w:val="006459B5"/>
    <w:rsid w:val="006665C2"/>
    <w:rsid w:val="006A466A"/>
    <w:rsid w:val="00726ADC"/>
    <w:rsid w:val="0078519D"/>
    <w:rsid w:val="0078630E"/>
    <w:rsid w:val="007B4F09"/>
    <w:rsid w:val="00847011"/>
    <w:rsid w:val="0085167E"/>
    <w:rsid w:val="008C00C7"/>
    <w:rsid w:val="008C71D6"/>
    <w:rsid w:val="00904BA2"/>
    <w:rsid w:val="00926E3C"/>
    <w:rsid w:val="009629C7"/>
    <w:rsid w:val="00970B57"/>
    <w:rsid w:val="009C111A"/>
    <w:rsid w:val="00A1358C"/>
    <w:rsid w:val="00A250A7"/>
    <w:rsid w:val="00A3657B"/>
    <w:rsid w:val="00A40452"/>
    <w:rsid w:val="00AB7947"/>
    <w:rsid w:val="00AD57A6"/>
    <w:rsid w:val="00AD76C2"/>
    <w:rsid w:val="00AF1721"/>
    <w:rsid w:val="00B27A68"/>
    <w:rsid w:val="00B33EC8"/>
    <w:rsid w:val="00B37E90"/>
    <w:rsid w:val="00B466F2"/>
    <w:rsid w:val="00B54EC7"/>
    <w:rsid w:val="00B61E1D"/>
    <w:rsid w:val="00B77489"/>
    <w:rsid w:val="00BE0F37"/>
    <w:rsid w:val="00BF7F5D"/>
    <w:rsid w:val="00C150AF"/>
    <w:rsid w:val="00C41880"/>
    <w:rsid w:val="00CC49F8"/>
    <w:rsid w:val="00CE043F"/>
    <w:rsid w:val="00CF08B0"/>
    <w:rsid w:val="00D13975"/>
    <w:rsid w:val="00D236DC"/>
    <w:rsid w:val="00D3270F"/>
    <w:rsid w:val="00D40357"/>
    <w:rsid w:val="00D659C4"/>
    <w:rsid w:val="00DA7107"/>
    <w:rsid w:val="00DD3C1D"/>
    <w:rsid w:val="00DD723E"/>
    <w:rsid w:val="00DF0245"/>
    <w:rsid w:val="00DF67A9"/>
    <w:rsid w:val="00E10B80"/>
    <w:rsid w:val="00E364E7"/>
    <w:rsid w:val="00E601D9"/>
    <w:rsid w:val="00E62EAE"/>
    <w:rsid w:val="00EA3FEC"/>
    <w:rsid w:val="00EA50F3"/>
    <w:rsid w:val="00F015FD"/>
    <w:rsid w:val="00F168C9"/>
    <w:rsid w:val="00F41E66"/>
    <w:rsid w:val="00FC30D7"/>
    <w:rsid w:val="00FE4F33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9"/>
        <o:r id="V:Rule5" type="connector" idref="#_x0000_s1030"/>
        <o:r id="V:Rule6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9DD"/>
  </w:style>
  <w:style w:type="paragraph" w:styleId="Heading1">
    <w:name w:val="heading 1"/>
    <w:basedOn w:val="Normal"/>
    <w:next w:val="Normal"/>
    <w:link w:val="Heading1Char"/>
    <w:qFormat/>
    <w:rsid w:val="00596CF1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6E3C"/>
  </w:style>
  <w:style w:type="paragraph" w:customStyle="1" w:styleId="style1">
    <w:name w:val="style1"/>
    <w:basedOn w:val="Normal"/>
    <w:rsid w:val="005E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6CF1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rsid w:val="00596CF1"/>
    <w:pPr>
      <w:spacing w:after="0" w:line="240" w:lineRule="auto"/>
    </w:pPr>
    <w:rPr>
      <w:rFonts w:ascii=".VnTimeH" w:eastAsia="Times New Roman" w:hAnsi=".VnTimeH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96CF1"/>
    <w:rPr>
      <w:rFonts w:ascii=".VnTimeH" w:eastAsia="Times New Roman" w:hAnsi=".VnTimeH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DBC0-682B-4053-9CF5-68D3D7B5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Huong</dc:creator>
  <cp:lastModifiedBy>Smart</cp:lastModifiedBy>
  <cp:revision>2</cp:revision>
  <cp:lastPrinted>2016-05-13T01:46:00Z</cp:lastPrinted>
  <dcterms:created xsi:type="dcterms:W3CDTF">2016-05-13T09:50:00Z</dcterms:created>
  <dcterms:modified xsi:type="dcterms:W3CDTF">2016-05-13T09:50:00Z</dcterms:modified>
</cp:coreProperties>
</file>