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Default="004B49E7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</w:p>
    <w:p w:rsidR="00116BE4" w:rsidRPr="00D66BC4" w:rsidRDefault="00BE010F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pt;height:35.2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616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30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01/2016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BE010F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BE010F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b. Cuố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i Quý I/2016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so với cuối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với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02</w:t>
            </w:r>
            <w:r w:rsidR="009961DF">
              <w:rPr>
                <w:rFonts w:ascii="Times New Roman" w:hAnsi="Times New Roman"/>
                <w:sz w:val="26"/>
                <w:szCs w:val="26"/>
              </w:rPr>
              <w:t>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01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A30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E8420F">
              <w:rPr>
                <w:rFonts w:ascii="Times New Roman" w:hAnsi="Times New Roman"/>
                <w:sz w:val="26"/>
                <w:szCs w:val="26"/>
              </w:rPr>
              <w:t>/2016 so với tháng 12/2015</w:t>
            </w:r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Tháng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9961DF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A30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I/2016 so với cuối tháng 12/2015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suất trong thời gian tới?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02</w:t>
            </w:r>
            <w:r w:rsidR="009961DF">
              <w:rPr>
                <w:rFonts w:ascii="Times New Roman" w:hAnsi="Times New Roman"/>
                <w:sz w:val="26"/>
                <w:szCs w:val="26"/>
              </w:rPr>
              <w:t>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01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A30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E8420F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tỷ giá USD/VND trong thời gian tới?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193933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193933" w:rsidRPr="00361B0B" w:rsidRDefault="00193933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  <w:tc>
          <w:tcPr>
            <w:tcW w:w="1055" w:type="dxa"/>
          </w:tcPr>
          <w:p w:rsidR="00193933" w:rsidRPr="00361B0B" w:rsidRDefault="00193933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T12/15</w:t>
            </w:r>
          </w:p>
        </w:tc>
      </w:tr>
      <w:tr w:rsidR="00193933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193933" w:rsidRPr="00361B0B" w:rsidRDefault="00193933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055" w:type="dxa"/>
          </w:tcPr>
          <w:p w:rsidR="00193933" w:rsidRPr="00361B0B" w:rsidRDefault="00193933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BE54B0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CPI_T2</w:t>
            </w:r>
            <w:r w:rsidR="00550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08F4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3F683B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3F683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 w:rsidR="005508F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1,17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1,96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2,09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1,37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1,32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0,55</w:t>
            </w:r>
          </w:p>
        </w:tc>
        <w:tc>
          <w:tcPr>
            <w:tcW w:w="1055" w:type="dxa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-0,05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E05F06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E05F06" w:rsidRPr="003246E9" w:rsidRDefault="00E05F0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055" w:type="dxa"/>
          </w:tcPr>
          <w:p w:rsidR="00E05F06" w:rsidRPr="003246E9" w:rsidRDefault="00E05F0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E05F06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E05F06" w:rsidRPr="003246E9" w:rsidRDefault="00E05F06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1055" w:type="dxa"/>
          </w:tcPr>
          <w:p w:rsidR="00E05F06" w:rsidRPr="003246E9" w:rsidRDefault="00E05F06" w:rsidP="00BE54B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6,68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A1" w:rsidRDefault="002E04A1" w:rsidP="002A5FB1">
      <w:pPr>
        <w:spacing w:after="0" w:line="240" w:lineRule="auto"/>
      </w:pPr>
      <w:r>
        <w:separator/>
      </w:r>
    </w:p>
  </w:endnote>
  <w:endnote w:type="continuationSeparator" w:id="1">
    <w:p w:rsidR="002E04A1" w:rsidRDefault="002E04A1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A1" w:rsidRDefault="002E04A1" w:rsidP="002A5FB1">
      <w:pPr>
        <w:spacing w:after="0" w:line="240" w:lineRule="auto"/>
      </w:pPr>
      <w:r>
        <w:separator/>
      </w:r>
    </w:p>
  </w:footnote>
  <w:footnote w:type="continuationSeparator" w:id="1">
    <w:p w:rsidR="002E04A1" w:rsidRDefault="002E04A1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24F33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93933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04A1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3F683B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942FB"/>
    <w:rsid w:val="004A1C73"/>
    <w:rsid w:val="004B49E7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136"/>
    <w:rsid w:val="00616A4A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514"/>
    <w:rsid w:val="00887D5F"/>
    <w:rsid w:val="008932CE"/>
    <w:rsid w:val="008A0582"/>
    <w:rsid w:val="008A07E6"/>
    <w:rsid w:val="008A2D88"/>
    <w:rsid w:val="008A36F0"/>
    <w:rsid w:val="008A39E5"/>
    <w:rsid w:val="008B1A6D"/>
    <w:rsid w:val="008F03E0"/>
    <w:rsid w:val="009010D8"/>
    <w:rsid w:val="00904A20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0CCC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010F"/>
    <w:rsid w:val="00BE477A"/>
    <w:rsid w:val="00BE54B0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2F94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240D"/>
    <w:rsid w:val="00E05F06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74F0"/>
    <w:rsid w:val="00E82FA9"/>
    <w:rsid w:val="00E8420F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832D7"/>
    <w:rsid w:val="00F84C66"/>
    <w:rsid w:val="00FA05D1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8</cp:revision>
  <cp:lastPrinted>2016-01-19T08:44:00Z</cp:lastPrinted>
  <dcterms:created xsi:type="dcterms:W3CDTF">2016-01-19T08:00:00Z</dcterms:created>
  <dcterms:modified xsi:type="dcterms:W3CDTF">2016-01-20T01:36:00Z</dcterms:modified>
</cp:coreProperties>
</file>