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E8D" w:rsidRDefault="006E35C1" w:rsidP="00FF5F4E">
      <w:pPr>
        <w:spacing w:after="360"/>
        <w:jc w:val="center"/>
        <w:rPr>
          <w:b/>
          <w:color w:val="000000"/>
          <w:sz w:val="28"/>
          <w:szCs w:val="28"/>
        </w:rPr>
      </w:pPr>
      <w:r>
        <w:rPr>
          <w:b/>
          <w:color w:val="000000"/>
          <w:sz w:val="28"/>
          <w:szCs w:val="28"/>
        </w:rPr>
        <w:t>THUYẾT MINH DỰ THẢO</w:t>
      </w:r>
    </w:p>
    <w:p w:rsidR="009E36EA" w:rsidRPr="00E5462B" w:rsidRDefault="00D81E8D" w:rsidP="002C3815">
      <w:pPr>
        <w:spacing w:after="360"/>
        <w:jc w:val="center"/>
        <w:rPr>
          <w:i/>
          <w:sz w:val="2"/>
          <w:szCs w:val="28"/>
          <w:lang w:val="vi-VN"/>
        </w:rPr>
      </w:pPr>
      <w:r>
        <w:rPr>
          <w:b/>
          <w:color w:val="000000"/>
          <w:sz w:val="28"/>
          <w:szCs w:val="28"/>
        </w:rPr>
        <w:t>Thông tư “</w:t>
      </w:r>
      <w:r w:rsidR="00591D94" w:rsidRPr="00353B68">
        <w:rPr>
          <w:b/>
          <w:color w:val="000000"/>
          <w:sz w:val="28"/>
          <w:szCs w:val="28"/>
        </w:rPr>
        <w:t xml:space="preserve">Hướng dẫn về </w:t>
      </w:r>
      <w:r w:rsidR="0041324D">
        <w:rPr>
          <w:b/>
          <w:color w:val="000000"/>
          <w:sz w:val="28"/>
          <w:szCs w:val="28"/>
        </w:rPr>
        <w:t xml:space="preserve">việc </w:t>
      </w:r>
      <w:r w:rsidR="00591D94">
        <w:rPr>
          <w:b/>
          <w:color w:val="000000"/>
          <w:sz w:val="28"/>
          <w:szCs w:val="28"/>
        </w:rPr>
        <w:t xml:space="preserve">xử lý tra soát, khiếu nại và </w:t>
      </w:r>
      <w:r w:rsidR="00DC4061">
        <w:rPr>
          <w:b/>
          <w:color w:val="000000"/>
          <w:sz w:val="28"/>
          <w:szCs w:val="28"/>
        </w:rPr>
        <w:t xml:space="preserve">đền bù </w:t>
      </w:r>
      <w:r w:rsidR="00591D94">
        <w:rPr>
          <w:b/>
          <w:color w:val="000000"/>
          <w:sz w:val="28"/>
          <w:szCs w:val="28"/>
        </w:rPr>
        <w:t>thiệt hại</w:t>
      </w:r>
      <w:r>
        <w:rPr>
          <w:b/>
          <w:color w:val="000000"/>
          <w:sz w:val="28"/>
          <w:szCs w:val="28"/>
        </w:rPr>
        <w:t xml:space="preserve"> </w:t>
      </w:r>
      <w:r w:rsidR="00591D94">
        <w:rPr>
          <w:b/>
          <w:color w:val="000000"/>
          <w:sz w:val="28"/>
          <w:szCs w:val="28"/>
        </w:rPr>
        <w:t>của</w:t>
      </w:r>
      <w:r w:rsidR="00591D94" w:rsidRPr="00353B68">
        <w:rPr>
          <w:b/>
          <w:color w:val="000000"/>
          <w:sz w:val="28"/>
          <w:szCs w:val="28"/>
        </w:rPr>
        <w:t xml:space="preserve"> tổ chức cung ứng dịch vụ thanh toán, trung gian thanh toán</w:t>
      </w:r>
      <w:r w:rsidR="00136F38">
        <w:rPr>
          <w:b/>
          <w:color w:val="000000"/>
          <w:sz w:val="28"/>
          <w:szCs w:val="28"/>
        </w:rPr>
        <w:t>”</w:t>
      </w:r>
      <w:r w:rsidR="00884171">
        <w:rPr>
          <w:b/>
          <w:color w:val="000000"/>
          <w:sz w:val="28"/>
          <w:szCs w:val="28"/>
        </w:rPr>
        <w:t>.</w:t>
      </w:r>
      <w:r w:rsidR="00591D94" w:rsidRPr="00353B68">
        <w:rPr>
          <w:b/>
          <w:color w:val="000000"/>
          <w:sz w:val="28"/>
          <w:szCs w:val="28"/>
        </w:rPr>
        <w:t xml:space="preserve"> </w:t>
      </w:r>
    </w:p>
    <w:p w:rsidR="009E36EA" w:rsidRDefault="009E36EA" w:rsidP="00FF5F4E">
      <w:pPr>
        <w:tabs>
          <w:tab w:val="left" w:pos="1500"/>
        </w:tabs>
        <w:spacing w:before="360" w:after="240"/>
        <w:ind w:firstLine="720"/>
        <w:jc w:val="both"/>
        <w:rPr>
          <w:b/>
          <w:sz w:val="28"/>
          <w:szCs w:val="28"/>
        </w:rPr>
      </w:pPr>
      <w:r w:rsidRPr="00657A6C">
        <w:rPr>
          <w:b/>
          <w:sz w:val="28"/>
          <w:szCs w:val="28"/>
          <w:lang w:val="vi-VN"/>
        </w:rPr>
        <w:t xml:space="preserve">1. </w:t>
      </w:r>
      <w:r w:rsidR="00591D94">
        <w:rPr>
          <w:b/>
          <w:sz w:val="28"/>
          <w:szCs w:val="28"/>
        </w:rPr>
        <w:t>Cơ sở</w:t>
      </w:r>
      <w:r w:rsidR="006010BF">
        <w:rPr>
          <w:b/>
          <w:sz w:val="28"/>
          <w:szCs w:val="28"/>
        </w:rPr>
        <w:t xml:space="preserve"> ban hành Thông tư</w:t>
      </w:r>
    </w:p>
    <w:p w:rsidR="003E14E1" w:rsidRDefault="00910E81" w:rsidP="009706AF">
      <w:pPr>
        <w:spacing w:before="60" w:after="120"/>
        <w:ind w:firstLine="720"/>
        <w:jc w:val="both"/>
        <w:rPr>
          <w:sz w:val="28"/>
          <w:szCs w:val="28"/>
        </w:rPr>
      </w:pPr>
      <w:r>
        <w:rPr>
          <w:color w:val="000000"/>
          <w:sz w:val="28"/>
          <w:szCs w:val="28"/>
          <w:lang w:val="pt-BR"/>
        </w:rPr>
        <w:t xml:space="preserve">- </w:t>
      </w:r>
      <w:r w:rsidR="009706AF">
        <w:rPr>
          <w:color w:val="000000"/>
          <w:sz w:val="28"/>
          <w:szCs w:val="28"/>
          <w:lang w:val="pt-BR"/>
        </w:rPr>
        <w:t xml:space="preserve">Qua theo dõi, giám sát hoạt động thanh toán điện tử và thanh toán thẻ, trong thời gian vừa qua, Ngân hàng Nhà nước đã nhận thấy các sự cố rủi ro và gian lận bắt đầu </w:t>
      </w:r>
      <w:r w:rsidR="009706AF" w:rsidRPr="00267447">
        <w:rPr>
          <w:color w:val="000000"/>
          <w:sz w:val="28"/>
          <w:szCs w:val="28"/>
          <w:lang w:val="pt-BR"/>
        </w:rPr>
        <w:t>gia tăng tại Việt Nam</w:t>
      </w:r>
      <w:r w:rsidR="009706AF">
        <w:rPr>
          <w:color w:val="000000"/>
          <w:sz w:val="28"/>
          <w:szCs w:val="28"/>
          <w:lang w:val="pt-BR"/>
        </w:rPr>
        <w:t>.</w:t>
      </w:r>
      <w:r w:rsidR="009706AF" w:rsidRPr="002965D6">
        <w:rPr>
          <w:color w:val="000000"/>
          <w:sz w:val="28"/>
          <w:szCs w:val="28"/>
          <w:lang w:val="pt-BR"/>
        </w:rPr>
        <w:t xml:space="preserve"> </w:t>
      </w:r>
      <w:r w:rsidR="009706AF">
        <w:rPr>
          <w:color w:val="000000"/>
          <w:sz w:val="28"/>
          <w:szCs w:val="28"/>
          <w:lang w:val="pt-BR"/>
        </w:rPr>
        <w:t>Nếu như trước đây, các vụ việc gian lận phát sinh chủ yếu đối với thẻ quốc tế và đối tượng tội phạm người nước ngoài thì hiện nay các vụ việc gian lận đã chuyển hướng sang cả đối với thẻ nội địa và hệ thống ATM/POS</w:t>
      </w:r>
      <w:r w:rsidR="009706AF" w:rsidRPr="002965D6">
        <w:rPr>
          <w:color w:val="000000"/>
          <w:sz w:val="28"/>
          <w:szCs w:val="28"/>
          <w:lang w:val="pt-BR"/>
        </w:rPr>
        <w:t xml:space="preserve"> </w:t>
      </w:r>
      <w:r w:rsidR="009706AF">
        <w:rPr>
          <w:color w:val="000000"/>
          <w:sz w:val="28"/>
          <w:szCs w:val="28"/>
          <w:lang w:val="pt-BR"/>
        </w:rPr>
        <w:t xml:space="preserve">tại Việt Nam. Gần đây, </w:t>
      </w:r>
      <w:r w:rsidR="00835C7E" w:rsidRPr="00B12664">
        <w:rPr>
          <w:sz w:val="28"/>
          <w:szCs w:val="28"/>
        </w:rPr>
        <w:t>một vài sự cố rủi ro, gian lận trong hoạt động thanh toán thẻ và thanh toán điện tử</w:t>
      </w:r>
      <w:r w:rsidR="00835C7E">
        <w:rPr>
          <w:sz w:val="28"/>
          <w:szCs w:val="28"/>
        </w:rPr>
        <w:t xml:space="preserve"> </w:t>
      </w:r>
      <w:r w:rsidR="00A15613">
        <w:rPr>
          <w:sz w:val="28"/>
          <w:szCs w:val="28"/>
        </w:rPr>
        <w:t xml:space="preserve">đã được phản </w:t>
      </w:r>
      <w:r w:rsidR="00205978">
        <w:rPr>
          <w:sz w:val="28"/>
          <w:szCs w:val="28"/>
        </w:rPr>
        <w:t>á</w:t>
      </w:r>
      <w:r w:rsidR="00A15613">
        <w:rPr>
          <w:sz w:val="28"/>
          <w:szCs w:val="28"/>
        </w:rPr>
        <w:t xml:space="preserve">nh trên các phương tiện truyền thông, gây xôn xao dư luận và </w:t>
      </w:r>
      <w:r w:rsidR="002A02D0">
        <w:rPr>
          <w:sz w:val="28"/>
          <w:szCs w:val="28"/>
        </w:rPr>
        <w:t>ảnh hưởng đến hoạt động thanh toán nói chung</w:t>
      </w:r>
      <w:r w:rsidR="003E14E1">
        <w:rPr>
          <w:sz w:val="28"/>
          <w:szCs w:val="28"/>
        </w:rPr>
        <w:t>.</w:t>
      </w:r>
    </w:p>
    <w:p w:rsidR="00950E77" w:rsidRDefault="00785318" w:rsidP="00D31113">
      <w:pPr>
        <w:spacing w:before="120" w:after="120"/>
        <w:ind w:firstLine="720"/>
        <w:jc w:val="both"/>
        <w:rPr>
          <w:spacing w:val="-4"/>
          <w:sz w:val="28"/>
          <w:szCs w:val="28"/>
        </w:rPr>
      </w:pPr>
      <w:r w:rsidRPr="00833347">
        <w:rPr>
          <w:rFonts w:eastAsia="Batang"/>
          <w:iCs/>
          <w:sz w:val="28"/>
          <w:szCs w:val="28"/>
          <w:lang w:val="pt-BR" w:eastAsia="ko-KR" w:bidi="he-IL"/>
        </w:rPr>
        <w:t xml:space="preserve">Ngân hàng Nhà nước </w:t>
      </w:r>
      <w:r w:rsidR="00E42D34">
        <w:rPr>
          <w:color w:val="000000"/>
          <w:sz w:val="28"/>
          <w:szCs w:val="28"/>
          <w:lang w:val="pt-BR"/>
        </w:rPr>
        <w:t xml:space="preserve">chủ động và thường xuyên giám sát, chỉ đạo các ngân hàng nghiêm túc chấp hành </w:t>
      </w:r>
      <w:r w:rsidR="00E42D34" w:rsidRPr="008D3DA9">
        <w:rPr>
          <w:color w:val="000000"/>
          <w:sz w:val="28"/>
          <w:szCs w:val="28"/>
          <w:lang w:val="pt-BR"/>
        </w:rPr>
        <w:t xml:space="preserve">các </w:t>
      </w:r>
      <w:r w:rsidR="00E42D34">
        <w:rPr>
          <w:color w:val="000000"/>
          <w:sz w:val="28"/>
          <w:szCs w:val="28"/>
          <w:lang w:val="pt-BR"/>
        </w:rPr>
        <w:t>quy định về đảm bảo an ninh, an toàn cho hệ thống thanh toán điện tử cũng như tại các thiết bị đọc thẻ trong quá trình cung ứng dịch vụ</w:t>
      </w:r>
      <w:r w:rsidR="00E42D34" w:rsidRPr="008D3DA9">
        <w:rPr>
          <w:color w:val="000000"/>
          <w:sz w:val="28"/>
          <w:szCs w:val="28"/>
          <w:lang w:val="pt-BR"/>
        </w:rPr>
        <w:t>.</w:t>
      </w:r>
      <w:r w:rsidR="00E42D34">
        <w:rPr>
          <w:color w:val="000000"/>
          <w:sz w:val="28"/>
          <w:szCs w:val="28"/>
          <w:lang w:val="pt-BR"/>
        </w:rPr>
        <w:t xml:space="preserve"> </w:t>
      </w:r>
      <w:r w:rsidR="002C57D9">
        <w:rPr>
          <w:spacing w:val="-4"/>
          <w:sz w:val="28"/>
          <w:szCs w:val="28"/>
        </w:rPr>
        <w:t>Đối với các vụ việc phản ánh trên phương tiện thông tin đại chúng, NHNN có công văn yêu cầu các ngân hàng có khách hàng gặp sự cố kiểm tra, đối chiếu lại các sự việc được phản ánh; phối hợp với các cơ quan liên quan có biện pháp xử lý phù hợp, thể hiện tinh thần trách nhiệm trong xử lý khiếu nại, thắc mắc của khách hàng, đảm bảo quyền lợi hợp pháp của khách hàng theo đúng quy định.</w:t>
      </w:r>
    </w:p>
    <w:p w:rsidR="00950E77" w:rsidRDefault="00950E77" w:rsidP="00950E77">
      <w:pPr>
        <w:spacing w:before="120" w:after="240"/>
        <w:ind w:firstLine="720"/>
        <w:jc w:val="both"/>
        <w:rPr>
          <w:sz w:val="28"/>
          <w:szCs w:val="28"/>
        </w:rPr>
      </w:pPr>
      <w:r>
        <w:rPr>
          <w:spacing w:val="-4"/>
          <w:sz w:val="28"/>
          <w:szCs w:val="28"/>
        </w:rPr>
        <w:t xml:space="preserve">Đồng thời, NHNN </w:t>
      </w:r>
      <w:r w:rsidRPr="00833347">
        <w:rPr>
          <w:rFonts w:eastAsia="Batang"/>
          <w:iCs/>
          <w:sz w:val="28"/>
          <w:szCs w:val="28"/>
          <w:lang w:val="pt-BR" w:eastAsia="ko-KR" w:bidi="he-IL"/>
        </w:rPr>
        <w:t>đã rà soát, bổ sung, hoàn thiện, ban hành mới các văn bản pháp lý về quản lý rủi ro và an toàn trong hoạt động thanh toán</w:t>
      </w:r>
      <w:r>
        <w:rPr>
          <w:rFonts w:eastAsia="Batang"/>
          <w:iCs/>
          <w:sz w:val="28"/>
          <w:szCs w:val="28"/>
          <w:lang w:val="pt-BR" w:eastAsia="ko-KR" w:bidi="he-IL"/>
        </w:rPr>
        <w:t xml:space="preserve">. </w:t>
      </w:r>
      <w:r>
        <w:rPr>
          <w:sz w:val="28"/>
          <w:szCs w:val="28"/>
        </w:rPr>
        <w:t xml:space="preserve">Hiện tại, các dịch vụ thanh toán, trung gian thanh toán đã được quy định tại các văn bản quy phạm pháp luật như Nghị định 101/2012/NĐ-CP ngày </w:t>
      </w:r>
      <w:r w:rsidRPr="00F85967">
        <w:rPr>
          <w:sz w:val="28"/>
          <w:szCs w:val="28"/>
        </w:rPr>
        <w:t>22/11/201</w:t>
      </w:r>
      <w:r>
        <w:rPr>
          <w:sz w:val="28"/>
          <w:szCs w:val="28"/>
        </w:rPr>
        <w:t>2</w:t>
      </w:r>
      <w:r w:rsidRPr="00F85967">
        <w:rPr>
          <w:sz w:val="28"/>
          <w:szCs w:val="28"/>
        </w:rPr>
        <w:t xml:space="preserve"> về thanh toán không dùng tiền mặt</w:t>
      </w:r>
      <w:r>
        <w:rPr>
          <w:sz w:val="28"/>
          <w:szCs w:val="28"/>
        </w:rPr>
        <w:t xml:space="preserve">; </w:t>
      </w:r>
      <w:r w:rsidRPr="00E97B7F">
        <w:rPr>
          <w:sz w:val="28"/>
          <w:szCs w:val="28"/>
        </w:rPr>
        <w:t xml:space="preserve">Thông tư 19/2016/TT-NHNN ngày 30/6/2016 quy </w:t>
      </w:r>
      <w:r>
        <w:rPr>
          <w:sz w:val="28"/>
          <w:szCs w:val="28"/>
        </w:rPr>
        <w:t xml:space="preserve">định về hoạt động thẻ ngân hàng; </w:t>
      </w:r>
      <w:r w:rsidRPr="00E97B7F">
        <w:rPr>
          <w:sz w:val="28"/>
          <w:szCs w:val="28"/>
        </w:rPr>
        <w:t>Thông tư 39/2014/TT-NHNN</w:t>
      </w:r>
      <w:r>
        <w:rPr>
          <w:sz w:val="28"/>
          <w:szCs w:val="28"/>
        </w:rPr>
        <w:t xml:space="preserve"> ngày 11/12/2014 hướng dẫn về dịch vụ trung gian thanh toán; T</w:t>
      </w:r>
      <w:r w:rsidRPr="00E97B7F">
        <w:rPr>
          <w:sz w:val="28"/>
          <w:szCs w:val="28"/>
        </w:rPr>
        <w:t>hông tư 4</w:t>
      </w:r>
      <w:r>
        <w:rPr>
          <w:sz w:val="28"/>
          <w:szCs w:val="28"/>
        </w:rPr>
        <w:t>6/2014/TT-NHNN ngày 31/12/2014 h</w:t>
      </w:r>
      <w:r w:rsidRPr="00E97B7F">
        <w:rPr>
          <w:sz w:val="28"/>
          <w:szCs w:val="28"/>
        </w:rPr>
        <w:t>ướng dẫn về dịch vụ</w:t>
      </w:r>
      <w:r>
        <w:rPr>
          <w:sz w:val="28"/>
          <w:szCs w:val="28"/>
        </w:rPr>
        <w:t xml:space="preserve"> thanh toán không dùng tiền mặt; Thông tư 23/2014/TT-NHNN ngày 19/8/2014 h</w:t>
      </w:r>
      <w:r w:rsidRPr="0033180B">
        <w:rPr>
          <w:sz w:val="28"/>
          <w:szCs w:val="28"/>
        </w:rPr>
        <w:t>ướng dẫn việc mở và sử dụng tài khoản thanh toán tại tổ c</w:t>
      </w:r>
      <w:r>
        <w:rPr>
          <w:sz w:val="28"/>
          <w:szCs w:val="28"/>
        </w:rPr>
        <w:t>hức cung ứng dịch vụ thanh toán…</w:t>
      </w:r>
    </w:p>
    <w:p w:rsidR="00950E77" w:rsidRDefault="00950E77" w:rsidP="00950E77">
      <w:pPr>
        <w:spacing w:before="120" w:after="240"/>
        <w:ind w:firstLine="720"/>
        <w:jc w:val="both"/>
        <w:rPr>
          <w:sz w:val="28"/>
          <w:szCs w:val="28"/>
        </w:rPr>
      </w:pPr>
      <w:r>
        <w:rPr>
          <w:sz w:val="28"/>
          <w:szCs w:val="28"/>
        </w:rPr>
        <w:t xml:space="preserve">Liên quan đến vấn đề xử lý tra soát, khiếu nại và bồi thường thiệt hại, </w:t>
      </w:r>
      <w:r w:rsidRPr="00F85967">
        <w:rPr>
          <w:sz w:val="28"/>
          <w:szCs w:val="28"/>
        </w:rPr>
        <w:t>Nghị định 101/2012/NĐ-CP</w:t>
      </w:r>
      <w:r>
        <w:rPr>
          <w:sz w:val="28"/>
          <w:szCs w:val="28"/>
        </w:rPr>
        <w:t xml:space="preserve"> quy định: “t</w:t>
      </w:r>
      <w:r w:rsidRPr="00F85967">
        <w:rPr>
          <w:sz w:val="28"/>
          <w:szCs w:val="28"/>
        </w:rPr>
        <w:t>ổ chức cung ứng dịch vụ thanh toán, tổ chức cung ứng dịch vụ trung gian thanh toán và người sử dụng dịch vụ có trách nhiệm bồi thường thiệt hại nếu gây thiệt hại do vi phạm thỏa thuận giữa các bên liên quan</w:t>
      </w:r>
      <w:r>
        <w:rPr>
          <w:sz w:val="28"/>
          <w:szCs w:val="28"/>
        </w:rPr>
        <w:t xml:space="preserve"> và theo quy định của pháp luật (Điều 18); </w:t>
      </w:r>
      <w:r w:rsidRPr="00F85967">
        <w:rPr>
          <w:sz w:val="28"/>
          <w:szCs w:val="28"/>
        </w:rPr>
        <w:t>Trường hợp không có thỏa thuận về các điều khoản liên quan đến giải quyết tranh chấp trong hợp đồng thực h</w:t>
      </w:r>
      <w:r>
        <w:rPr>
          <w:sz w:val="28"/>
          <w:szCs w:val="28"/>
        </w:rPr>
        <w:t xml:space="preserve">iện theo quy định của pháp luật” (Điều 19). </w:t>
      </w:r>
    </w:p>
    <w:p w:rsidR="00950E77" w:rsidRDefault="00950E77" w:rsidP="00884171">
      <w:pPr>
        <w:spacing w:before="120" w:after="240" w:line="252" w:lineRule="auto"/>
        <w:ind w:firstLine="720"/>
        <w:jc w:val="both"/>
        <w:rPr>
          <w:bCs/>
          <w:sz w:val="28"/>
          <w:szCs w:val="28"/>
          <w:lang w:val="pt-BR"/>
        </w:rPr>
      </w:pPr>
      <w:r>
        <w:rPr>
          <w:sz w:val="28"/>
          <w:szCs w:val="28"/>
        </w:rPr>
        <w:lastRenderedPageBreak/>
        <w:t xml:space="preserve">Trong nội dung của các Thông tư hướng dẫn Nghị định 101/2012/NĐ-CP về cơ bản đã bao hàm một số nội dung liên quan tới việc xử lý tra soát, khiếu nại và bồi thường thiệt hại, nhưng còn chưa đủ cụ thể và chi tiết, mà chủ yếu theo hướng cho phép các tổ chức cung ứng dịch vụ thanh toán tự quy định và thỏa thuận với khách hàng. Chính vì vậy, </w:t>
      </w:r>
      <w:r w:rsidR="003735DD">
        <w:rPr>
          <w:sz w:val="28"/>
          <w:szCs w:val="28"/>
        </w:rPr>
        <w:t>nhiều</w:t>
      </w:r>
      <w:r>
        <w:rPr>
          <w:sz w:val="28"/>
          <w:szCs w:val="28"/>
        </w:rPr>
        <w:t xml:space="preserve"> tổ chức cung ứng dịch vụ thanh toá</w:t>
      </w:r>
      <w:r w:rsidR="003735DD">
        <w:rPr>
          <w:sz w:val="28"/>
          <w:szCs w:val="28"/>
        </w:rPr>
        <w:t>n, trung gian thanh toán khi ký kết hợp đồng với khách hàng</w:t>
      </w:r>
      <w:r w:rsidR="00D15F71">
        <w:rPr>
          <w:sz w:val="28"/>
          <w:szCs w:val="28"/>
        </w:rPr>
        <w:t xml:space="preserve"> nhưng</w:t>
      </w:r>
      <w:r w:rsidR="003735DD">
        <w:rPr>
          <w:sz w:val="28"/>
          <w:szCs w:val="28"/>
        </w:rPr>
        <w:t xml:space="preserve"> có những thỏa thuận rõ ràng, cụ thể liên quan đến vấn đề xử lý tra soát, khiếu nại và bồi thường hại, </w:t>
      </w:r>
      <w:r w:rsidR="00991A29">
        <w:rPr>
          <w:sz w:val="28"/>
          <w:szCs w:val="28"/>
        </w:rPr>
        <w:t xml:space="preserve">dẫn tới </w:t>
      </w:r>
      <w:r w:rsidR="00884171">
        <w:rPr>
          <w:sz w:val="28"/>
          <w:szCs w:val="28"/>
        </w:rPr>
        <w:t xml:space="preserve">khó khăn trong quá trình xử lý các sự cố, rủi ro, tranh chấp xảy ra, </w:t>
      </w:r>
      <w:r>
        <w:rPr>
          <w:sz w:val="28"/>
          <w:szCs w:val="28"/>
        </w:rPr>
        <w:t>gây bức xúc cho người sử dụng dịch vụ.</w:t>
      </w:r>
    </w:p>
    <w:p w:rsidR="00884171" w:rsidRPr="00884171" w:rsidRDefault="00884171" w:rsidP="00884171">
      <w:pPr>
        <w:spacing w:after="360"/>
        <w:ind w:firstLine="720"/>
        <w:jc w:val="both"/>
        <w:rPr>
          <w:sz w:val="28"/>
          <w:szCs w:val="28"/>
        </w:rPr>
      </w:pPr>
      <w:r>
        <w:rPr>
          <w:sz w:val="28"/>
          <w:szCs w:val="28"/>
        </w:rPr>
        <w:t xml:space="preserve">Xuất phát từ thực tế nêu trên, </w:t>
      </w:r>
      <w:r w:rsidR="00950E77">
        <w:rPr>
          <w:sz w:val="28"/>
          <w:szCs w:val="28"/>
        </w:rPr>
        <w:t xml:space="preserve">NHNN </w:t>
      </w:r>
      <w:r>
        <w:rPr>
          <w:sz w:val="28"/>
          <w:szCs w:val="28"/>
        </w:rPr>
        <w:t xml:space="preserve">đã nghiên cứu, dự thảo Thông tư </w:t>
      </w:r>
      <w:r w:rsidRPr="00884171">
        <w:rPr>
          <w:sz w:val="28"/>
          <w:szCs w:val="28"/>
        </w:rPr>
        <w:t>“Hướng dẫn về việc xử lý tra soát, khiếu nại và đền bù thiệt hại của tổ chức cung ứng dịch vụ thanh toán, trung gian thanh toán”</w:t>
      </w:r>
      <w:r>
        <w:rPr>
          <w:sz w:val="28"/>
          <w:szCs w:val="28"/>
        </w:rPr>
        <w:t xml:space="preserve"> để hướng dẫn quy định liên quan đến vấn đề bồi thường thiệt hại cho khách hàng tại Nghị định 101/2012/NĐ-CP.</w:t>
      </w:r>
      <w:r w:rsidRPr="00884171">
        <w:rPr>
          <w:sz w:val="28"/>
          <w:szCs w:val="28"/>
        </w:rPr>
        <w:t xml:space="preserve"> </w:t>
      </w:r>
    </w:p>
    <w:p w:rsidR="009E36EA" w:rsidRPr="00657A6C" w:rsidRDefault="009E36EA" w:rsidP="008371E9">
      <w:pPr>
        <w:tabs>
          <w:tab w:val="left" w:pos="1500"/>
        </w:tabs>
        <w:spacing w:before="120" w:after="240"/>
        <w:ind w:firstLine="720"/>
        <w:jc w:val="both"/>
        <w:rPr>
          <w:b/>
          <w:sz w:val="28"/>
          <w:szCs w:val="28"/>
          <w:lang w:val="pt-BR"/>
        </w:rPr>
      </w:pPr>
      <w:r w:rsidRPr="00657A6C">
        <w:rPr>
          <w:b/>
          <w:sz w:val="28"/>
          <w:szCs w:val="28"/>
          <w:lang w:val="pt-BR"/>
        </w:rPr>
        <w:t xml:space="preserve">2. </w:t>
      </w:r>
      <w:r w:rsidR="006010BF">
        <w:rPr>
          <w:b/>
          <w:sz w:val="28"/>
          <w:szCs w:val="28"/>
          <w:lang w:val="pt-BR"/>
        </w:rPr>
        <w:t>Một số nội dung chủ yếu của Thông tư</w:t>
      </w:r>
    </w:p>
    <w:p w:rsidR="006010BF" w:rsidRDefault="009E36EA" w:rsidP="008371E9">
      <w:pPr>
        <w:spacing w:before="120" w:after="240"/>
        <w:ind w:firstLine="720"/>
        <w:jc w:val="both"/>
        <w:rPr>
          <w:sz w:val="28"/>
          <w:szCs w:val="28"/>
          <w:lang w:val="pt-BR"/>
        </w:rPr>
      </w:pPr>
      <w:r w:rsidRPr="00657A6C">
        <w:rPr>
          <w:i/>
          <w:sz w:val="28"/>
          <w:szCs w:val="28"/>
          <w:lang w:val="pt-BR"/>
        </w:rPr>
        <w:t xml:space="preserve">2.1. </w:t>
      </w:r>
      <w:r w:rsidR="00D72297">
        <w:rPr>
          <w:i/>
          <w:sz w:val="28"/>
          <w:szCs w:val="28"/>
          <w:lang w:val="pt-BR"/>
        </w:rPr>
        <w:t>P</w:t>
      </w:r>
      <w:r w:rsidRPr="00657A6C">
        <w:rPr>
          <w:i/>
          <w:sz w:val="28"/>
          <w:szCs w:val="28"/>
          <w:lang w:val="pt-BR"/>
        </w:rPr>
        <w:t>hạm vi điều chỉnh và đối tượng áp dụng</w:t>
      </w:r>
    </w:p>
    <w:p w:rsidR="003A53BA" w:rsidRPr="001949D5" w:rsidRDefault="003A53BA" w:rsidP="003A53BA">
      <w:pPr>
        <w:spacing w:before="120" w:after="240" w:line="252" w:lineRule="auto"/>
        <w:ind w:firstLine="720"/>
        <w:jc w:val="both"/>
        <w:rPr>
          <w:sz w:val="28"/>
          <w:szCs w:val="28"/>
        </w:rPr>
      </w:pPr>
      <w:r w:rsidRPr="001949D5">
        <w:rPr>
          <w:sz w:val="28"/>
          <w:szCs w:val="28"/>
        </w:rPr>
        <w:t xml:space="preserve">a, Phạm vi điều chỉnh: </w:t>
      </w:r>
    </w:p>
    <w:p w:rsidR="003A53BA" w:rsidRDefault="003A53BA" w:rsidP="003A53BA">
      <w:pPr>
        <w:spacing w:before="120" w:after="240" w:line="252" w:lineRule="auto"/>
        <w:ind w:firstLine="720"/>
        <w:jc w:val="both"/>
        <w:rPr>
          <w:sz w:val="28"/>
          <w:szCs w:val="28"/>
        </w:rPr>
      </w:pPr>
      <w:r>
        <w:rPr>
          <w:sz w:val="28"/>
          <w:szCs w:val="28"/>
        </w:rPr>
        <w:t xml:space="preserve">Theo quy định hiện hành, các loại hình dịch vụ thanh toán và dịch vụ trung gian thanh toán bao gồm: </w:t>
      </w:r>
    </w:p>
    <w:p w:rsidR="003A53BA" w:rsidRDefault="003A53BA" w:rsidP="003A53BA">
      <w:pPr>
        <w:spacing w:before="120" w:after="240" w:line="252" w:lineRule="auto"/>
        <w:ind w:firstLine="720"/>
        <w:jc w:val="both"/>
        <w:rPr>
          <w:sz w:val="28"/>
          <w:szCs w:val="28"/>
        </w:rPr>
      </w:pPr>
      <w:r>
        <w:rPr>
          <w:sz w:val="28"/>
          <w:szCs w:val="28"/>
        </w:rPr>
        <w:t>+ Dịch vụ thanh toán không dùng tiền mặt bao gồm dịch vụ thanh toán qua tài khoản thanh toán như cung ứng phương tiện thanh toán; thực hiện dịch vụ thanh toán séc, lệnh chi, ủy nhiệm chi, nhờ thu, ủy nhiệm thu, thẻ ngân hàng… và một số dịch vụ không qua tài khoản thanh toán của khách hàng (</w:t>
      </w:r>
      <w:r w:rsidRPr="00ED1AD3">
        <w:rPr>
          <w:sz w:val="28"/>
          <w:szCs w:val="28"/>
        </w:rPr>
        <w:t xml:space="preserve">Nghị định </w:t>
      </w:r>
      <w:r>
        <w:rPr>
          <w:sz w:val="28"/>
          <w:szCs w:val="28"/>
        </w:rPr>
        <w:t>101/</w:t>
      </w:r>
      <w:r w:rsidRPr="00427F1D">
        <w:rPr>
          <w:sz w:val="28"/>
          <w:szCs w:val="28"/>
        </w:rPr>
        <w:t>2012/NĐ-CP</w:t>
      </w:r>
      <w:r>
        <w:rPr>
          <w:sz w:val="28"/>
          <w:szCs w:val="28"/>
        </w:rPr>
        <w:t>).</w:t>
      </w:r>
    </w:p>
    <w:p w:rsidR="003A53BA" w:rsidRDefault="003A53BA" w:rsidP="003A53BA">
      <w:pPr>
        <w:spacing w:before="120" w:after="240" w:line="252" w:lineRule="auto"/>
        <w:ind w:firstLine="720"/>
        <w:jc w:val="both"/>
        <w:rPr>
          <w:sz w:val="28"/>
          <w:szCs w:val="28"/>
        </w:rPr>
      </w:pPr>
      <w:r>
        <w:rPr>
          <w:sz w:val="28"/>
          <w:szCs w:val="28"/>
        </w:rPr>
        <w:t xml:space="preserve">+ Dịch vụ trung gian thanh toán gồm dịch vụ cung ứng hạ tầng thanh toán điện tử và dịch vụ hỗ trợ dịch vụ thanh toán (Thông tư </w:t>
      </w:r>
      <w:r w:rsidRPr="00E97B7F">
        <w:rPr>
          <w:sz w:val="28"/>
          <w:szCs w:val="28"/>
        </w:rPr>
        <w:t>39/2014/TT-NHNN</w:t>
      </w:r>
      <w:r>
        <w:rPr>
          <w:sz w:val="28"/>
          <w:szCs w:val="28"/>
        </w:rPr>
        <w:t>). Tuy nhiên, do chỉ một số dịch vụ trung gian thanh toán được cung ứng tới người sử dụng cuối cùng nên quy định này được áp dụng đối với các dịch vụ như ví điện tử, hỗ trợ thu hộ, chi hộ…</w:t>
      </w:r>
    </w:p>
    <w:p w:rsidR="003A53BA" w:rsidRDefault="003A53BA" w:rsidP="003A53BA">
      <w:pPr>
        <w:spacing w:before="120" w:after="240" w:line="252" w:lineRule="auto"/>
        <w:ind w:firstLine="720"/>
        <w:jc w:val="both"/>
        <w:rPr>
          <w:sz w:val="28"/>
          <w:szCs w:val="28"/>
        </w:rPr>
      </w:pPr>
      <w:r>
        <w:rPr>
          <w:sz w:val="28"/>
          <w:szCs w:val="28"/>
        </w:rPr>
        <w:t xml:space="preserve">Trên thực tế, các thỏa thuận sử dụng dịch vụ thanh toán qua tài khoản thanh toán như lệnh chi, ủy nhiệm chi, nhờ thu, ủy nhiệm thu, chuyển tiền,… thông thường được quy định tại hợp đồng mở và sử dụng tài khoản thanh toán. Trong khi đó, đối với một số dịch vụ/kênh thanh toán như thanh toán thẻ, Mobile banking, Internet banking,… khi khách hàng có yêu cầu sử dụng dịch vụ sẽ ký kết các hợp đồng riêng, trong đó bao gồm các thỏa thuận liên quan đến việc sử dụng các dịch vụ/kênh thanh toán này. </w:t>
      </w:r>
    </w:p>
    <w:p w:rsidR="003A53BA" w:rsidRDefault="003A53BA" w:rsidP="003A53BA">
      <w:pPr>
        <w:spacing w:before="120" w:after="240" w:line="252" w:lineRule="auto"/>
        <w:ind w:firstLine="720"/>
        <w:jc w:val="both"/>
        <w:rPr>
          <w:sz w:val="28"/>
          <w:szCs w:val="28"/>
        </w:rPr>
      </w:pPr>
      <w:r>
        <w:rPr>
          <w:sz w:val="28"/>
          <w:szCs w:val="28"/>
        </w:rPr>
        <w:lastRenderedPageBreak/>
        <w:t xml:space="preserve">Do hiện nay, Thông tư </w:t>
      </w:r>
      <w:r w:rsidRPr="00E97B7F">
        <w:rPr>
          <w:sz w:val="28"/>
          <w:szCs w:val="28"/>
        </w:rPr>
        <w:t xml:space="preserve">số </w:t>
      </w:r>
      <w:r>
        <w:rPr>
          <w:sz w:val="28"/>
          <w:szCs w:val="28"/>
        </w:rPr>
        <w:t>23/2014/TT-NHNN h</w:t>
      </w:r>
      <w:r w:rsidRPr="0033180B">
        <w:rPr>
          <w:sz w:val="28"/>
          <w:szCs w:val="28"/>
        </w:rPr>
        <w:t>ướng dẫn việc mở và sử dụng tài khoản thanh toán tại tổ c</w:t>
      </w:r>
      <w:r>
        <w:rPr>
          <w:sz w:val="28"/>
          <w:szCs w:val="28"/>
        </w:rPr>
        <w:t xml:space="preserve">hức cung ứng dịch vụ thanh toán đang được soạn thảo và sẽ ban hành trong thời gian tới nên các quy định liên quan đến vấn đề quy định về xử lý tra soát, khiếu nại và bồi thường thiệt hại cho khách hàng trong hợp đồng cung ứng một số dịch vụ thanh toán qua tài khoản có thể trực tiếp quy định tại Thông tư này. Vì vậy, phạm vi điều chỉnh của Dự thảo Thông tư sẽ hướng đến một số dịch vụ thanh toán như thanh toán thẻ, Mobile banking, Internet banking,… và một số dịch vụ trung gian thanh toán được cung ứng trực tiếp đến người sử dụng dịch vụ cuối cùng. </w:t>
      </w:r>
    </w:p>
    <w:p w:rsidR="003A53BA" w:rsidRDefault="003A53BA" w:rsidP="003A53BA">
      <w:pPr>
        <w:spacing w:before="120" w:after="240" w:line="252" w:lineRule="auto"/>
        <w:ind w:firstLine="720"/>
        <w:jc w:val="both"/>
        <w:rPr>
          <w:b/>
          <w:i/>
          <w:sz w:val="28"/>
          <w:szCs w:val="28"/>
        </w:rPr>
      </w:pPr>
      <w:r>
        <w:rPr>
          <w:sz w:val="28"/>
          <w:szCs w:val="28"/>
        </w:rPr>
        <w:t xml:space="preserve">Tuy nhiên, đối với dịch vụ thanh toán thẻ, </w:t>
      </w:r>
      <w:r w:rsidRPr="00C226B3">
        <w:rPr>
          <w:sz w:val="28"/>
          <w:szCs w:val="28"/>
        </w:rPr>
        <w:t>hợp đồng phát hành và sử dụng th</w:t>
      </w:r>
      <w:r>
        <w:rPr>
          <w:sz w:val="28"/>
          <w:szCs w:val="28"/>
        </w:rPr>
        <w:t xml:space="preserve">ẻ đã được quy định tại Điều 13 </w:t>
      </w:r>
      <w:r w:rsidRPr="00C226B3">
        <w:rPr>
          <w:sz w:val="28"/>
          <w:szCs w:val="28"/>
        </w:rPr>
        <w:t xml:space="preserve">và vấn đề “Tra soát, xử lý khiếu nại trong quá trình sử dụng thẻ” đã được quy định tại Điều 20 của Thông tư 19/2016/TT-NHNN. </w:t>
      </w:r>
      <w:r>
        <w:rPr>
          <w:color w:val="000000"/>
          <w:sz w:val="28"/>
          <w:szCs w:val="28"/>
        </w:rPr>
        <w:t xml:space="preserve">Đối với dịch vụ trung gian thanh toán, </w:t>
      </w:r>
      <w:r w:rsidRPr="00F20EE4">
        <w:rPr>
          <w:color w:val="000000"/>
          <w:sz w:val="28"/>
          <w:szCs w:val="28"/>
        </w:rPr>
        <w:t>Thông tư 39/2014/TT-2014 đã đề cập đến việc các tổ chức cung ứng dịch vụ phải thỏa thuận với khách hàng về các vấn đề liên quan đến “</w:t>
      </w:r>
      <w:r w:rsidRPr="00F20EE4">
        <w:rPr>
          <w:color w:val="000000"/>
          <w:sz w:val="28"/>
        </w:rPr>
        <w:t>Thủ tục trình báo về việc tổn thất, mất mát khi sử dụng dịch vụ, quy trình khiếu nại bao gồm địa điểm, thời gian và cách thức xử lý khiếu nại; Chính sách hoàn trả tiền bao gồm điều kiện, thủ tục, t</w:t>
      </w:r>
      <w:r>
        <w:rPr>
          <w:color w:val="000000"/>
          <w:sz w:val="28"/>
        </w:rPr>
        <w:t>hời gian và chi phí hoàn trả…” (</w:t>
      </w:r>
      <w:r w:rsidRPr="00F20EE4">
        <w:rPr>
          <w:color w:val="000000"/>
          <w:sz w:val="28"/>
          <w:szCs w:val="28"/>
        </w:rPr>
        <w:t>Điều 13</w:t>
      </w:r>
      <w:r>
        <w:rPr>
          <w:color w:val="000000"/>
          <w:sz w:val="28"/>
          <w:szCs w:val="28"/>
        </w:rPr>
        <w:t xml:space="preserve">). </w:t>
      </w:r>
      <w:r>
        <w:rPr>
          <w:sz w:val="28"/>
          <w:szCs w:val="28"/>
        </w:rPr>
        <w:t xml:space="preserve">Do đó, Dự thảo Thông tư sẽ quy định các nguyên tắc chung về việc xử lý tra soát, khiếu nại và bồi thường thiệt hại mà các tổ chức cung ứng dịch vụ thanh toán, trung gian thanh toán cần quy định rõ trong hợp đồng ký kết với khách hàng sử dụng dịch vụ; với những nội dung đã được quy định trong các văn bản pháp lý đã ban hành, Dự thảo Thông tư quy định theo hướng tiếp tục áp dụng các quy định này. </w:t>
      </w:r>
    </w:p>
    <w:p w:rsidR="003A53BA" w:rsidRPr="00543BD2" w:rsidRDefault="003A53BA" w:rsidP="003A53BA">
      <w:pPr>
        <w:spacing w:before="120" w:after="240" w:line="252" w:lineRule="auto"/>
        <w:ind w:firstLine="720"/>
        <w:jc w:val="both"/>
        <w:rPr>
          <w:sz w:val="28"/>
          <w:szCs w:val="28"/>
        </w:rPr>
      </w:pPr>
      <w:r w:rsidRPr="00543BD2">
        <w:rPr>
          <w:sz w:val="28"/>
          <w:szCs w:val="28"/>
        </w:rPr>
        <w:t xml:space="preserve">b, Đối tượng áp dụng: </w:t>
      </w:r>
    </w:p>
    <w:p w:rsidR="003A53BA" w:rsidRDefault="003A53BA" w:rsidP="003A53BA">
      <w:pPr>
        <w:spacing w:before="120" w:after="240" w:line="252" w:lineRule="auto"/>
        <w:ind w:firstLine="720"/>
        <w:jc w:val="both"/>
        <w:rPr>
          <w:sz w:val="28"/>
          <w:szCs w:val="28"/>
        </w:rPr>
      </w:pPr>
      <w:r>
        <w:rPr>
          <w:sz w:val="28"/>
          <w:szCs w:val="28"/>
        </w:rPr>
        <w:t>Các tổ chức cung ứng dịch vụ thanh toán trực tiếp cung ứng dịch vụ đến khách hàng; các tổ chức cung ứng dịch vụ trung gian thanh toán; t</w:t>
      </w:r>
      <w:r w:rsidRPr="008304F5">
        <w:rPr>
          <w:sz w:val="28"/>
          <w:szCs w:val="28"/>
        </w:rPr>
        <w:t>ổ chức, cá nhân là đối tượng khách hàng trực tiếp sử dụng dịch vụ thanh toán và dịch vụ trung gian thanh toán.</w:t>
      </w:r>
    </w:p>
    <w:p w:rsidR="00B73F6C" w:rsidRDefault="00D72297" w:rsidP="008371E9">
      <w:pPr>
        <w:spacing w:before="120" w:after="240"/>
        <w:ind w:firstLine="720"/>
        <w:jc w:val="both"/>
        <w:rPr>
          <w:i/>
          <w:sz w:val="28"/>
          <w:szCs w:val="28"/>
          <w:lang w:val="pt-BR"/>
        </w:rPr>
      </w:pPr>
      <w:r w:rsidRPr="00D72297">
        <w:rPr>
          <w:i/>
          <w:sz w:val="28"/>
          <w:szCs w:val="28"/>
          <w:lang w:val="pt-BR"/>
        </w:rPr>
        <w:t xml:space="preserve">2.2. </w:t>
      </w:r>
      <w:r w:rsidR="008E5F93">
        <w:rPr>
          <w:i/>
          <w:sz w:val="28"/>
          <w:szCs w:val="28"/>
          <w:lang w:val="pt-BR"/>
        </w:rPr>
        <w:t>Q</w:t>
      </w:r>
      <w:r w:rsidR="003C3EA0">
        <w:rPr>
          <w:i/>
          <w:sz w:val="28"/>
          <w:szCs w:val="28"/>
          <w:lang w:val="pt-BR"/>
        </w:rPr>
        <w:t>uy định chung</w:t>
      </w:r>
    </w:p>
    <w:p w:rsidR="00652EDF" w:rsidRDefault="00850B3C" w:rsidP="008371E9">
      <w:pPr>
        <w:spacing w:before="120" w:after="240"/>
        <w:ind w:firstLine="720"/>
        <w:jc w:val="both"/>
        <w:rPr>
          <w:sz w:val="28"/>
          <w:szCs w:val="28"/>
          <w:lang w:val="pt-BR"/>
        </w:rPr>
      </w:pPr>
      <w:r w:rsidRPr="00850B3C">
        <w:rPr>
          <w:sz w:val="28"/>
          <w:szCs w:val="28"/>
          <w:lang w:val="pt-BR"/>
        </w:rPr>
        <w:t xml:space="preserve">Dự thảo </w:t>
      </w:r>
      <w:r w:rsidR="00184A02">
        <w:rPr>
          <w:sz w:val="28"/>
          <w:szCs w:val="28"/>
          <w:lang w:val="pt-BR"/>
        </w:rPr>
        <w:t>Thông tư quy định các nguyên tắc chung liên quan đến vấn đề xử lý tra soát, khiếu nại mà các tổ chức cung ứng dịch vụ thanh toán, trung gian thanh toán cần đáp ứng khi ký kết hợp đồng với khách hàng trực tiếp sử dụng dịch vụ</w:t>
      </w:r>
      <w:r w:rsidR="00652EDF">
        <w:rPr>
          <w:sz w:val="28"/>
          <w:szCs w:val="28"/>
          <w:lang w:val="pt-BR"/>
        </w:rPr>
        <w:t xml:space="preserve">, bao gồm: </w:t>
      </w:r>
    </w:p>
    <w:p w:rsidR="00652EDF" w:rsidRDefault="00652EDF" w:rsidP="008371E9">
      <w:pPr>
        <w:pStyle w:val="BodyText21"/>
        <w:spacing w:after="240" w:line="240" w:lineRule="auto"/>
        <w:ind w:firstLine="720"/>
        <w:rPr>
          <w:rFonts w:ascii="Times New Roman" w:hAnsi="Times New Roman"/>
          <w:color w:val="000000"/>
          <w:spacing w:val="-2"/>
        </w:rPr>
      </w:pPr>
      <w:r>
        <w:rPr>
          <w:rFonts w:ascii="Times New Roman" w:hAnsi="Times New Roman"/>
          <w:color w:val="000000"/>
          <w:spacing w:val="-2"/>
        </w:rPr>
        <w:t>- Yêu cầu “các t</w:t>
      </w:r>
      <w:r w:rsidRPr="00255856">
        <w:rPr>
          <w:rFonts w:ascii="Times New Roman" w:hAnsi="Times New Roman"/>
          <w:color w:val="000000"/>
          <w:spacing w:val="-2"/>
        </w:rPr>
        <w:t xml:space="preserve">ổ chức </w:t>
      </w:r>
      <w:r>
        <w:rPr>
          <w:rFonts w:ascii="Times New Roman" w:hAnsi="Times New Roman"/>
          <w:color w:val="000000"/>
          <w:spacing w:val="-2"/>
        </w:rPr>
        <w:t xml:space="preserve">cung ứng dịch vụ thanh toán, trung gian thanh toán </w:t>
      </w:r>
      <w:r w:rsidR="009814CD">
        <w:rPr>
          <w:rFonts w:ascii="Times New Roman" w:hAnsi="Times New Roman"/>
          <w:color w:val="000000"/>
          <w:spacing w:val="-2"/>
        </w:rPr>
        <w:t>chi tiết về việc x</w:t>
      </w:r>
      <w:r w:rsidR="00543BD2">
        <w:rPr>
          <w:rFonts w:ascii="Times New Roman" w:hAnsi="Times New Roman"/>
          <w:color w:val="000000"/>
          <w:spacing w:val="-2"/>
        </w:rPr>
        <w:t>ử lý tra soát, khiếu nại, đền bù</w:t>
      </w:r>
      <w:r w:rsidR="009814CD">
        <w:rPr>
          <w:rFonts w:ascii="Times New Roman" w:hAnsi="Times New Roman"/>
          <w:color w:val="000000"/>
          <w:spacing w:val="-2"/>
        </w:rPr>
        <w:t xml:space="preserve"> thiệt hại</w:t>
      </w:r>
      <w:r>
        <w:rPr>
          <w:rFonts w:ascii="Times New Roman" w:hAnsi="Times New Roman"/>
          <w:color w:val="000000"/>
          <w:spacing w:val="-2"/>
        </w:rPr>
        <w:t xml:space="preserve"> trong hợp đồng cung ứng dịch vụ khi ký kết với khách hàng” để </w:t>
      </w:r>
      <w:r w:rsidR="00B0084B">
        <w:rPr>
          <w:rFonts w:ascii="Times New Roman" w:hAnsi="Times New Roman"/>
          <w:color w:val="000000"/>
          <w:spacing w:val="-2"/>
        </w:rPr>
        <w:t xml:space="preserve">các bên liên quan </w:t>
      </w:r>
      <w:r>
        <w:rPr>
          <w:rFonts w:ascii="Times New Roman" w:hAnsi="Times New Roman"/>
          <w:color w:val="000000"/>
          <w:spacing w:val="-2"/>
        </w:rPr>
        <w:t xml:space="preserve">có căn cứ </w:t>
      </w:r>
      <w:r w:rsidR="00B0084B">
        <w:rPr>
          <w:rFonts w:ascii="Times New Roman" w:hAnsi="Times New Roman"/>
          <w:color w:val="000000"/>
          <w:spacing w:val="-2"/>
        </w:rPr>
        <w:t>áp dụng khi phát sinh rủi ro, sự cố trong hoạt động thanh toán.</w:t>
      </w:r>
    </w:p>
    <w:p w:rsidR="00B0084B" w:rsidRDefault="00B0084B" w:rsidP="008371E9">
      <w:pPr>
        <w:pStyle w:val="BodyText21"/>
        <w:spacing w:after="240" w:line="240" w:lineRule="auto"/>
        <w:ind w:firstLine="720"/>
        <w:rPr>
          <w:rFonts w:ascii="Times New Roman" w:hAnsi="Times New Roman"/>
          <w:color w:val="000000"/>
          <w:spacing w:val="-2"/>
        </w:rPr>
      </w:pPr>
      <w:r>
        <w:rPr>
          <w:rFonts w:ascii="Times New Roman" w:hAnsi="Times New Roman"/>
          <w:color w:val="000000"/>
          <w:spacing w:val="-2"/>
        </w:rPr>
        <w:lastRenderedPageBreak/>
        <w:t>- Yêu cầu về nguồn tiền được sử dụng để đền bù tổn thất, bao gồm: “</w:t>
      </w:r>
      <w:r>
        <w:rPr>
          <w:rFonts w:ascii="Times New Roman" w:hAnsi="Times New Roman"/>
          <w:color w:val="000000"/>
        </w:rPr>
        <w:t>nguồn bảo hiểm, quỹ dự phòng rủi ro tài chính và các nguồn hợp pháp khác theo quy định hiện hành”.</w:t>
      </w:r>
    </w:p>
    <w:p w:rsidR="00652EDF" w:rsidRDefault="00B0084B" w:rsidP="008371E9">
      <w:pPr>
        <w:pStyle w:val="BodyText21"/>
        <w:spacing w:after="240" w:line="240" w:lineRule="auto"/>
        <w:ind w:firstLine="720"/>
        <w:rPr>
          <w:rFonts w:ascii="Times New Roman" w:hAnsi="Times New Roman"/>
          <w:color w:val="000000"/>
        </w:rPr>
      </w:pPr>
      <w:r>
        <w:rPr>
          <w:rFonts w:ascii="Times New Roman" w:hAnsi="Times New Roman"/>
          <w:color w:val="000000"/>
        </w:rPr>
        <w:t>- Do nội dung của Thông tư có liên quan đến hợp đồng cung ứng dịch vụ, nên đ</w:t>
      </w:r>
      <w:r w:rsidR="00652EDF">
        <w:rPr>
          <w:rFonts w:ascii="Times New Roman" w:hAnsi="Times New Roman"/>
          <w:color w:val="000000"/>
        </w:rPr>
        <w:t>ối với các dịch vụ thanh toán, trung gian thanh toán mà hợp đồng được yêu cầu đăng ký hợp đồng mẫu thì thực hiện theo quy định của pháp luật hiện hành.</w:t>
      </w:r>
    </w:p>
    <w:p w:rsidR="00B0084B" w:rsidRPr="003C3EA0" w:rsidRDefault="003C3EA0" w:rsidP="008371E9">
      <w:pPr>
        <w:pStyle w:val="BodyText21"/>
        <w:spacing w:after="240" w:line="240" w:lineRule="auto"/>
        <w:ind w:firstLine="720"/>
        <w:rPr>
          <w:rFonts w:ascii="Times New Roman" w:hAnsi="Times New Roman"/>
          <w:i/>
          <w:color w:val="000000"/>
        </w:rPr>
      </w:pPr>
      <w:r w:rsidRPr="003C3EA0">
        <w:rPr>
          <w:rFonts w:ascii="Times New Roman" w:hAnsi="Times New Roman"/>
          <w:i/>
          <w:color w:val="000000"/>
        </w:rPr>
        <w:t>2.3. Trách nhiệm của các tổ chức cung ứng dịch vụ thanh toán, trung gian thanh toán và khách hàng sử dụng dịch vụ thanh toán liên quan đến việc xử lý tra soát, khiếu nại của khách hàng</w:t>
      </w:r>
    </w:p>
    <w:p w:rsidR="00FC502E" w:rsidRDefault="00180C1D" w:rsidP="008371E9">
      <w:pPr>
        <w:pStyle w:val="BodyText21"/>
        <w:spacing w:after="240" w:line="240" w:lineRule="auto"/>
        <w:ind w:firstLine="720"/>
        <w:rPr>
          <w:rFonts w:ascii="Times New Roman" w:hAnsi="Times New Roman"/>
          <w:color w:val="000000"/>
          <w:spacing w:val="-2"/>
        </w:rPr>
      </w:pPr>
      <w:r>
        <w:rPr>
          <w:rFonts w:ascii="Times New Roman" w:hAnsi="Times New Roman"/>
          <w:color w:val="000000"/>
        </w:rPr>
        <w:t xml:space="preserve">Dự thảo hướng dẫn </w:t>
      </w:r>
      <w:r w:rsidR="00326BE5">
        <w:rPr>
          <w:rFonts w:ascii="Times New Roman" w:hAnsi="Times New Roman"/>
          <w:color w:val="000000"/>
        </w:rPr>
        <w:t xml:space="preserve">về một số trách nhiệm mà các tổ chức cung ứng dịch vụ thanh toán, trung gian thanh toán cần thực hiện liên quan đến việc tiếp nhận, xử lý tra soát, khiếu nại, đền bù thiệt hại như: (i) </w:t>
      </w:r>
      <w:r w:rsidR="00FC502E">
        <w:rPr>
          <w:rFonts w:ascii="Times New Roman" w:hAnsi="Times New Roman"/>
          <w:color w:val="000000"/>
        </w:rPr>
        <w:t>D</w:t>
      </w:r>
      <w:r w:rsidR="00FC502E" w:rsidRPr="00F21497">
        <w:rPr>
          <w:rFonts w:ascii="Times New Roman" w:hAnsi="Times New Roman"/>
          <w:color w:val="000000"/>
        </w:rPr>
        <w:t xml:space="preserve">uy trì hoạt động bộ phận hỗ trợ khách hàng 24/24 giờ trong ngày và 7/7 ngày trong tuần để </w:t>
      </w:r>
      <w:r w:rsidR="00FC502E">
        <w:rPr>
          <w:rFonts w:ascii="Times New Roman" w:hAnsi="Times New Roman"/>
          <w:color w:val="000000"/>
        </w:rPr>
        <w:t xml:space="preserve">tiếp nhận thông tin yêu cầu tra soát, khiếu nại của </w:t>
      </w:r>
      <w:r w:rsidR="00FC502E" w:rsidRPr="00F21497">
        <w:rPr>
          <w:rFonts w:ascii="Times New Roman" w:hAnsi="Times New Roman"/>
          <w:color w:val="000000"/>
        </w:rPr>
        <w:t>khách hà</w:t>
      </w:r>
      <w:r w:rsidR="00FC502E">
        <w:rPr>
          <w:rFonts w:ascii="Times New Roman" w:hAnsi="Times New Roman"/>
          <w:color w:val="000000"/>
        </w:rPr>
        <w:t xml:space="preserve">ng; (ii) Thời hạn tiếp nhận thông tin tra soát, khiếu nại và thực hiện đền bù thiệt cho khách hàng; (iii) </w:t>
      </w:r>
      <w:r w:rsidR="00FB1CBB">
        <w:rPr>
          <w:rFonts w:ascii="Times New Roman" w:hAnsi="Times New Roman"/>
          <w:color w:val="000000"/>
        </w:rPr>
        <w:t>Yêu cầu p</w:t>
      </w:r>
      <w:r w:rsidR="00FC502E">
        <w:rPr>
          <w:rFonts w:ascii="Times New Roman" w:hAnsi="Times New Roman"/>
          <w:color w:val="000000"/>
        </w:rPr>
        <w:t xml:space="preserve">hối hợp với các đơn vị liên quan để xử lý tra soát, khiếu nại và </w:t>
      </w:r>
      <w:r w:rsidR="00C40146">
        <w:rPr>
          <w:rFonts w:ascii="Times New Roman" w:hAnsi="Times New Roman"/>
          <w:color w:val="000000"/>
        </w:rPr>
        <w:t xml:space="preserve">đền bù thiệt hại cho khách hàng. </w:t>
      </w:r>
    </w:p>
    <w:p w:rsidR="002A5075" w:rsidRDefault="00180C1D" w:rsidP="008371E9">
      <w:pPr>
        <w:pStyle w:val="BodyText21"/>
        <w:spacing w:after="240" w:line="240" w:lineRule="auto"/>
        <w:ind w:firstLine="720"/>
        <w:rPr>
          <w:rFonts w:ascii="Times New Roman" w:hAnsi="Times New Roman"/>
          <w:color w:val="000000"/>
        </w:rPr>
      </w:pPr>
      <w:r>
        <w:rPr>
          <w:rFonts w:ascii="Times New Roman" w:hAnsi="Times New Roman"/>
          <w:color w:val="000000"/>
        </w:rPr>
        <w:t xml:space="preserve">Bên cạnh đó, </w:t>
      </w:r>
      <w:r w:rsidR="002A5075">
        <w:rPr>
          <w:rFonts w:ascii="Times New Roman" w:hAnsi="Times New Roman"/>
          <w:color w:val="000000"/>
        </w:rPr>
        <w:t xml:space="preserve">tạo thuận lợi cho các tổ chức cung ứng dịch vụ thanh toán, trung gian thanh toán trong việc phối hợp với khách hàng; hạn chế các rủi ro phát sinh do khách hàng không nắm được thông tin, quy trình, thủ tục xử lý tra soát khiếu nại, Dự thảo quy định trách nhiệm của khách hàng trong việc </w:t>
      </w:r>
      <w:r w:rsidR="00D961A4">
        <w:rPr>
          <w:rFonts w:ascii="Times New Roman" w:hAnsi="Times New Roman"/>
          <w:color w:val="000000"/>
        </w:rPr>
        <w:t xml:space="preserve">nắm rõ các quy định trong hợp đồng, đặc biệt là quyền và nghĩa vụ của các bên trước khi ký kết hợp đồng; </w:t>
      </w:r>
      <w:r w:rsidR="002A5075">
        <w:rPr>
          <w:rFonts w:ascii="Times New Roman" w:hAnsi="Times New Roman"/>
          <w:color w:val="000000"/>
        </w:rPr>
        <w:t>phối hợp với tổ chức cung ứng dịch vụ thanh toán, cơ quan điều tra để xử lý tra soát, khiếu nại khi có rủi ro, sự cố phát sinh.</w:t>
      </w:r>
    </w:p>
    <w:sectPr w:rsidR="002A5075" w:rsidSect="00493D00">
      <w:footerReference w:type="default" r:id="rId6"/>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5CB" w:rsidRDefault="00F065CB" w:rsidP="009E36EA">
      <w:r>
        <w:separator/>
      </w:r>
    </w:p>
  </w:endnote>
  <w:endnote w:type="continuationSeparator" w:id="1">
    <w:p w:rsidR="00F065CB" w:rsidRDefault="00F065CB" w:rsidP="009E36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9055"/>
      <w:docPartObj>
        <w:docPartGallery w:val="Page Numbers (Bottom of Page)"/>
        <w:docPartUnique/>
      </w:docPartObj>
    </w:sdtPr>
    <w:sdtContent>
      <w:p w:rsidR="009E36EA" w:rsidRDefault="00250A45">
        <w:pPr>
          <w:pStyle w:val="Footer"/>
          <w:jc w:val="center"/>
        </w:pPr>
        <w:fldSimple w:instr=" PAGE   \* MERGEFORMAT ">
          <w:r w:rsidR="00D15F71">
            <w:rPr>
              <w:noProof/>
            </w:rPr>
            <w:t>4</w:t>
          </w:r>
        </w:fldSimple>
      </w:p>
    </w:sdtContent>
  </w:sdt>
  <w:p w:rsidR="009E36EA" w:rsidRDefault="009E36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5CB" w:rsidRDefault="00F065CB" w:rsidP="009E36EA">
      <w:r>
        <w:separator/>
      </w:r>
    </w:p>
  </w:footnote>
  <w:footnote w:type="continuationSeparator" w:id="1">
    <w:p w:rsidR="00F065CB" w:rsidRDefault="00F065CB" w:rsidP="009E36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9E36EA"/>
    <w:rsid w:val="00014582"/>
    <w:rsid w:val="00031115"/>
    <w:rsid w:val="00051232"/>
    <w:rsid w:val="00094988"/>
    <w:rsid w:val="00096846"/>
    <w:rsid w:val="000B31FA"/>
    <w:rsid w:val="000D135C"/>
    <w:rsid w:val="000E4739"/>
    <w:rsid w:val="00103200"/>
    <w:rsid w:val="001315F9"/>
    <w:rsid w:val="00134CC3"/>
    <w:rsid w:val="00136F38"/>
    <w:rsid w:val="00147030"/>
    <w:rsid w:val="0015779E"/>
    <w:rsid w:val="0016639D"/>
    <w:rsid w:val="0016715C"/>
    <w:rsid w:val="00176C2D"/>
    <w:rsid w:val="00180C1D"/>
    <w:rsid w:val="00182581"/>
    <w:rsid w:val="00184A02"/>
    <w:rsid w:val="0018553C"/>
    <w:rsid w:val="00194506"/>
    <w:rsid w:val="001949D5"/>
    <w:rsid w:val="001C36A5"/>
    <w:rsid w:val="001C718D"/>
    <w:rsid w:val="001D3EC6"/>
    <w:rsid w:val="001D58B3"/>
    <w:rsid w:val="001D6505"/>
    <w:rsid w:val="001D7794"/>
    <w:rsid w:val="001E653A"/>
    <w:rsid w:val="001E6590"/>
    <w:rsid w:val="00205978"/>
    <w:rsid w:val="00250A45"/>
    <w:rsid w:val="00251D93"/>
    <w:rsid w:val="00271242"/>
    <w:rsid w:val="00292818"/>
    <w:rsid w:val="002A02D0"/>
    <w:rsid w:val="002A5075"/>
    <w:rsid w:val="002A679F"/>
    <w:rsid w:val="002C2C71"/>
    <w:rsid w:val="002C3815"/>
    <w:rsid w:val="002C57D9"/>
    <w:rsid w:val="002D3DCE"/>
    <w:rsid w:val="002D73FA"/>
    <w:rsid w:val="002E3A51"/>
    <w:rsid w:val="00310C79"/>
    <w:rsid w:val="00313DBD"/>
    <w:rsid w:val="00326BE5"/>
    <w:rsid w:val="003450EC"/>
    <w:rsid w:val="003735DD"/>
    <w:rsid w:val="00386951"/>
    <w:rsid w:val="00395F46"/>
    <w:rsid w:val="003A53BA"/>
    <w:rsid w:val="003A60A9"/>
    <w:rsid w:val="003B0E7C"/>
    <w:rsid w:val="003C3EA0"/>
    <w:rsid w:val="003D75E0"/>
    <w:rsid w:val="003E14E1"/>
    <w:rsid w:val="003E4043"/>
    <w:rsid w:val="003F3AFA"/>
    <w:rsid w:val="0041324D"/>
    <w:rsid w:val="00420B13"/>
    <w:rsid w:val="004400A9"/>
    <w:rsid w:val="0044743C"/>
    <w:rsid w:val="00465070"/>
    <w:rsid w:val="00493D00"/>
    <w:rsid w:val="00495A0F"/>
    <w:rsid w:val="00496541"/>
    <w:rsid w:val="004B3B35"/>
    <w:rsid w:val="004B4747"/>
    <w:rsid w:val="004B6CD7"/>
    <w:rsid w:val="004C5868"/>
    <w:rsid w:val="004D014F"/>
    <w:rsid w:val="004D771D"/>
    <w:rsid w:val="00511198"/>
    <w:rsid w:val="00516687"/>
    <w:rsid w:val="00520BA9"/>
    <w:rsid w:val="005342A9"/>
    <w:rsid w:val="00543BD2"/>
    <w:rsid w:val="00545DF5"/>
    <w:rsid w:val="0056555B"/>
    <w:rsid w:val="00590909"/>
    <w:rsid w:val="00591D94"/>
    <w:rsid w:val="00592DCB"/>
    <w:rsid w:val="005D5EF5"/>
    <w:rsid w:val="005E531D"/>
    <w:rsid w:val="005E717A"/>
    <w:rsid w:val="006010BF"/>
    <w:rsid w:val="00607EF3"/>
    <w:rsid w:val="006121C8"/>
    <w:rsid w:val="00631606"/>
    <w:rsid w:val="00631F3A"/>
    <w:rsid w:val="00652EDF"/>
    <w:rsid w:val="00694D16"/>
    <w:rsid w:val="006D2055"/>
    <w:rsid w:val="006D525D"/>
    <w:rsid w:val="006D7E33"/>
    <w:rsid w:val="006E35C1"/>
    <w:rsid w:val="006E6E03"/>
    <w:rsid w:val="006F2D3B"/>
    <w:rsid w:val="006F7869"/>
    <w:rsid w:val="00715744"/>
    <w:rsid w:val="007170F9"/>
    <w:rsid w:val="00723B85"/>
    <w:rsid w:val="0075068A"/>
    <w:rsid w:val="007603C0"/>
    <w:rsid w:val="007611CB"/>
    <w:rsid w:val="00785318"/>
    <w:rsid w:val="007A243A"/>
    <w:rsid w:val="007A4E91"/>
    <w:rsid w:val="007A5CC8"/>
    <w:rsid w:val="007B5A37"/>
    <w:rsid w:val="007E1406"/>
    <w:rsid w:val="00815935"/>
    <w:rsid w:val="008304F5"/>
    <w:rsid w:val="00835C7E"/>
    <w:rsid w:val="008371E9"/>
    <w:rsid w:val="008433C7"/>
    <w:rsid w:val="00845CE5"/>
    <w:rsid w:val="00847108"/>
    <w:rsid w:val="00850B3C"/>
    <w:rsid w:val="00853468"/>
    <w:rsid w:val="00872F07"/>
    <w:rsid w:val="00874FEC"/>
    <w:rsid w:val="00884171"/>
    <w:rsid w:val="008A11CF"/>
    <w:rsid w:val="008C4135"/>
    <w:rsid w:val="008D0254"/>
    <w:rsid w:val="008D19D2"/>
    <w:rsid w:val="008D52A6"/>
    <w:rsid w:val="008D53BE"/>
    <w:rsid w:val="008D5CF0"/>
    <w:rsid w:val="008E5F93"/>
    <w:rsid w:val="008E7410"/>
    <w:rsid w:val="008F5F0E"/>
    <w:rsid w:val="00910E81"/>
    <w:rsid w:val="00941560"/>
    <w:rsid w:val="00941A21"/>
    <w:rsid w:val="00950E77"/>
    <w:rsid w:val="009654EA"/>
    <w:rsid w:val="00967EF2"/>
    <w:rsid w:val="009706AF"/>
    <w:rsid w:val="009814CD"/>
    <w:rsid w:val="00991A29"/>
    <w:rsid w:val="009A40E9"/>
    <w:rsid w:val="009A5415"/>
    <w:rsid w:val="009A6EF2"/>
    <w:rsid w:val="009B4409"/>
    <w:rsid w:val="009E36EA"/>
    <w:rsid w:val="00A11FAF"/>
    <w:rsid w:val="00A12878"/>
    <w:rsid w:val="00A15613"/>
    <w:rsid w:val="00AA07D7"/>
    <w:rsid w:val="00AC087D"/>
    <w:rsid w:val="00AD1F88"/>
    <w:rsid w:val="00AE2E63"/>
    <w:rsid w:val="00AE4BE1"/>
    <w:rsid w:val="00B0084B"/>
    <w:rsid w:val="00B15F52"/>
    <w:rsid w:val="00B322CD"/>
    <w:rsid w:val="00B47745"/>
    <w:rsid w:val="00B73F6C"/>
    <w:rsid w:val="00BA3FD9"/>
    <w:rsid w:val="00BF663A"/>
    <w:rsid w:val="00C06233"/>
    <w:rsid w:val="00C13D66"/>
    <w:rsid w:val="00C272BB"/>
    <w:rsid w:val="00C35CB0"/>
    <w:rsid w:val="00C40146"/>
    <w:rsid w:val="00C555ED"/>
    <w:rsid w:val="00C87865"/>
    <w:rsid w:val="00C93F8C"/>
    <w:rsid w:val="00CE5884"/>
    <w:rsid w:val="00D15F71"/>
    <w:rsid w:val="00D31113"/>
    <w:rsid w:val="00D61877"/>
    <w:rsid w:val="00D63231"/>
    <w:rsid w:val="00D70A77"/>
    <w:rsid w:val="00D72297"/>
    <w:rsid w:val="00D81E8D"/>
    <w:rsid w:val="00D8509E"/>
    <w:rsid w:val="00D961A4"/>
    <w:rsid w:val="00DB3905"/>
    <w:rsid w:val="00DB7E6D"/>
    <w:rsid w:val="00DC3345"/>
    <w:rsid w:val="00DC4061"/>
    <w:rsid w:val="00E13025"/>
    <w:rsid w:val="00E33BC2"/>
    <w:rsid w:val="00E42D34"/>
    <w:rsid w:val="00E50371"/>
    <w:rsid w:val="00E54CE2"/>
    <w:rsid w:val="00E74471"/>
    <w:rsid w:val="00EA22CD"/>
    <w:rsid w:val="00EB2CE4"/>
    <w:rsid w:val="00EB3BA2"/>
    <w:rsid w:val="00EB6660"/>
    <w:rsid w:val="00ED5219"/>
    <w:rsid w:val="00EE1DC9"/>
    <w:rsid w:val="00EF6064"/>
    <w:rsid w:val="00F065CB"/>
    <w:rsid w:val="00F238FA"/>
    <w:rsid w:val="00F26176"/>
    <w:rsid w:val="00F336F4"/>
    <w:rsid w:val="00F719CB"/>
    <w:rsid w:val="00F757F8"/>
    <w:rsid w:val="00F95A1B"/>
    <w:rsid w:val="00FB1CBB"/>
    <w:rsid w:val="00FB4FD6"/>
    <w:rsid w:val="00FC502E"/>
    <w:rsid w:val="00FE4B85"/>
    <w:rsid w:val="00FF5F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E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3A53BA"/>
    <w:pPr>
      <w:spacing w:before="100" w:beforeAutospacing="1" w:after="100" w:afterAutospacing="1"/>
      <w:outlineLvl w:val="2"/>
    </w:pPr>
    <w:rPr>
      <w:b/>
      <w:bCs/>
      <w:sz w:val="27"/>
      <w:szCs w:val="27"/>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36EA"/>
    <w:pPr>
      <w:tabs>
        <w:tab w:val="center" w:pos="4680"/>
        <w:tab w:val="right" w:pos="9360"/>
      </w:tabs>
    </w:pPr>
  </w:style>
  <w:style w:type="character" w:customStyle="1" w:styleId="HeaderChar">
    <w:name w:val="Header Char"/>
    <w:basedOn w:val="DefaultParagraphFont"/>
    <w:link w:val="Header"/>
    <w:uiPriority w:val="99"/>
    <w:semiHidden/>
    <w:rsid w:val="009E36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36EA"/>
    <w:pPr>
      <w:tabs>
        <w:tab w:val="center" w:pos="4680"/>
        <w:tab w:val="right" w:pos="9360"/>
      </w:tabs>
    </w:pPr>
  </w:style>
  <w:style w:type="character" w:customStyle="1" w:styleId="FooterChar">
    <w:name w:val="Footer Char"/>
    <w:basedOn w:val="DefaultParagraphFont"/>
    <w:link w:val="Footer"/>
    <w:uiPriority w:val="99"/>
    <w:rsid w:val="009E36EA"/>
    <w:rPr>
      <w:rFonts w:ascii="Times New Roman" w:eastAsia="Times New Roman" w:hAnsi="Times New Roman" w:cs="Times New Roman"/>
      <w:sz w:val="24"/>
      <w:szCs w:val="24"/>
    </w:rPr>
  </w:style>
  <w:style w:type="character" w:styleId="PageNumber">
    <w:name w:val="page number"/>
    <w:basedOn w:val="DefaultParagraphFont"/>
    <w:rsid w:val="00C272BB"/>
  </w:style>
  <w:style w:type="paragraph" w:customStyle="1" w:styleId="BodyText21">
    <w:name w:val="Body Text 21"/>
    <w:basedOn w:val="Normal"/>
    <w:rsid w:val="008304F5"/>
    <w:pPr>
      <w:spacing w:before="120" w:line="24" w:lineRule="atLeast"/>
      <w:jc w:val="both"/>
    </w:pPr>
    <w:rPr>
      <w:rFonts w:ascii=".VnTime" w:hAnsi=".VnTime"/>
      <w:sz w:val="28"/>
      <w:szCs w:val="20"/>
    </w:rPr>
  </w:style>
  <w:style w:type="character" w:customStyle="1" w:styleId="Heading3Char">
    <w:name w:val="Heading 3 Char"/>
    <w:basedOn w:val="DefaultParagraphFont"/>
    <w:link w:val="Heading3"/>
    <w:uiPriority w:val="9"/>
    <w:rsid w:val="003A53BA"/>
    <w:rPr>
      <w:rFonts w:ascii="Times New Roman" w:eastAsia="Times New Roman" w:hAnsi="Times New Roman" w:cs="Times New Roman"/>
      <w:b/>
      <w:bCs/>
      <w:sz w:val="27"/>
      <w:szCs w:val="27"/>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4</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van.buithanh</dc:creator>
  <cp:lastModifiedBy>van.buithanh</cp:lastModifiedBy>
  <cp:revision>245</cp:revision>
  <cp:lastPrinted>2016-09-30T02:07:00Z</cp:lastPrinted>
  <dcterms:created xsi:type="dcterms:W3CDTF">2016-09-21T03:37:00Z</dcterms:created>
  <dcterms:modified xsi:type="dcterms:W3CDTF">2016-09-30T02:12:00Z</dcterms:modified>
</cp:coreProperties>
</file>