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C9" w:rsidRDefault="006E41C9" w:rsidP="006E41C9">
      <w:pPr>
        <w:spacing w:before="60" w:after="0" w:line="360" w:lineRule="exact"/>
        <w:ind w:firstLine="284"/>
        <w:rPr>
          <w:rFonts w:asciiTheme="majorHAnsi" w:hAnsiTheme="majorHAnsi" w:cstheme="majorHAnsi"/>
          <w:b/>
          <w:sz w:val="28"/>
          <w:szCs w:val="28"/>
          <w:lang w:val="en-US"/>
        </w:rPr>
      </w:pPr>
      <w:r>
        <w:rPr>
          <w:rFonts w:asciiTheme="majorHAnsi" w:hAnsiTheme="majorHAnsi" w:cstheme="majorHAnsi"/>
          <w:b/>
          <w:sz w:val="28"/>
          <w:szCs w:val="28"/>
          <w:lang w:val="en-US"/>
        </w:rPr>
        <w:t xml:space="preserve">VỤ </w:t>
      </w:r>
      <w:r w:rsidR="007C33DD">
        <w:rPr>
          <w:rFonts w:asciiTheme="majorHAnsi" w:hAnsiTheme="majorHAnsi" w:cstheme="majorHAnsi"/>
          <w:b/>
          <w:sz w:val="28"/>
          <w:szCs w:val="28"/>
          <w:lang w:val="en-US"/>
        </w:rPr>
        <w:t>TÍN DỤNG CÁC NGÀNH KINH TẾ</w:t>
      </w:r>
    </w:p>
    <w:p w:rsidR="00312C88" w:rsidRDefault="007C33DD" w:rsidP="006E41C9">
      <w:pPr>
        <w:spacing w:before="60" w:after="0" w:line="360" w:lineRule="exact"/>
        <w:ind w:firstLine="284"/>
        <w:rPr>
          <w:rFonts w:asciiTheme="majorHAnsi" w:hAnsiTheme="majorHAnsi" w:cstheme="majorHAnsi"/>
          <w:b/>
          <w:sz w:val="28"/>
          <w:szCs w:val="28"/>
          <w:lang w:val="en-US"/>
        </w:rPr>
      </w:pPr>
      <w:r>
        <w:rPr>
          <w:rFonts w:asciiTheme="majorHAnsi" w:hAnsiTheme="majorHAnsi" w:cstheme="majorHAnsi"/>
          <w:b/>
          <w:noProof/>
          <w:sz w:val="28"/>
          <w:szCs w:val="28"/>
          <w:lang w:eastAsia="vi-VN"/>
        </w:rPr>
        <mc:AlternateContent>
          <mc:Choice Requires="wps">
            <w:drawing>
              <wp:anchor distT="0" distB="0" distL="114300" distR="114300" simplePos="0" relativeHeight="251659264" behindDoc="0" locked="0" layoutInCell="1" allowOverlap="1">
                <wp:simplePos x="0" y="0"/>
                <wp:positionH relativeFrom="column">
                  <wp:posOffset>515751</wp:posOffset>
                </wp:positionH>
                <wp:positionV relativeFrom="paragraph">
                  <wp:posOffset>64183</wp:posOffset>
                </wp:positionV>
                <wp:extent cx="2553419" cy="17253"/>
                <wp:effectExtent l="0" t="0" r="18415" b="20955"/>
                <wp:wrapNone/>
                <wp:docPr id="2" name="Straight Connector 2"/>
                <wp:cNvGraphicFramePr/>
                <a:graphic xmlns:a="http://schemas.openxmlformats.org/drawingml/2006/main">
                  <a:graphicData uri="http://schemas.microsoft.com/office/word/2010/wordprocessingShape">
                    <wps:wsp>
                      <wps:cNvCnPr/>
                      <wps:spPr>
                        <a:xfrm flipV="1">
                          <a:off x="0" y="0"/>
                          <a:ext cx="2553419"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6pt,5.05pt" to="24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" strokecolor="#4579b8 [3044]"/>
            </w:pict>
          </mc:Fallback>
        </mc:AlternateContent>
      </w:r>
    </w:p>
    <w:p w:rsidR="009F59BD" w:rsidRDefault="00D64836" w:rsidP="00312C88">
      <w:pPr>
        <w:spacing w:before="60" w:after="0" w:line="360" w:lineRule="exact"/>
        <w:jc w:val="center"/>
        <w:rPr>
          <w:rFonts w:asciiTheme="majorHAnsi" w:hAnsiTheme="majorHAnsi" w:cstheme="majorHAnsi"/>
          <w:b/>
          <w:sz w:val="28"/>
          <w:szCs w:val="28"/>
          <w:lang w:val="en-US"/>
        </w:rPr>
      </w:pPr>
      <w:r w:rsidRPr="003B1797">
        <w:rPr>
          <w:rFonts w:asciiTheme="majorHAnsi" w:hAnsiTheme="majorHAnsi" w:cstheme="majorHAnsi"/>
          <w:b/>
          <w:sz w:val="28"/>
          <w:szCs w:val="28"/>
          <w:lang w:val="en-US"/>
        </w:rPr>
        <w:t xml:space="preserve">BẢNG TỔNG HỢP </w:t>
      </w:r>
      <w:r w:rsidR="00FC6FA3">
        <w:rPr>
          <w:rFonts w:asciiTheme="majorHAnsi" w:hAnsiTheme="majorHAnsi" w:cstheme="majorHAnsi"/>
          <w:b/>
          <w:sz w:val="28"/>
          <w:szCs w:val="28"/>
          <w:lang w:val="en-US"/>
        </w:rPr>
        <w:t>CÁC NỘI DUNG SỬA ĐỔI, BỔ SUNG</w:t>
      </w:r>
      <w:r w:rsidR="00312C88">
        <w:rPr>
          <w:rFonts w:asciiTheme="majorHAnsi" w:hAnsiTheme="majorHAnsi" w:cstheme="majorHAnsi"/>
          <w:b/>
          <w:sz w:val="28"/>
          <w:szCs w:val="28"/>
          <w:lang w:val="en-US"/>
        </w:rPr>
        <w:t xml:space="preserve"> THÔNG TƯ 07/2015/TT-NHNN </w:t>
      </w:r>
    </w:p>
    <w:p w:rsidR="00312C88" w:rsidRDefault="00652F90" w:rsidP="00312C88">
      <w:pPr>
        <w:spacing w:before="60" w:after="0" w:line="360" w:lineRule="exact"/>
        <w:jc w:val="center"/>
        <w:rPr>
          <w:rFonts w:asciiTheme="majorHAnsi" w:hAnsiTheme="majorHAnsi" w:cstheme="majorHAnsi"/>
          <w:b/>
          <w:i/>
          <w:sz w:val="24"/>
          <w:szCs w:val="24"/>
          <w:lang w:val="en-US"/>
        </w:rPr>
      </w:pPr>
      <w:r w:rsidRPr="00C96774">
        <w:rPr>
          <w:rFonts w:asciiTheme="majorHAnsi" w:hAnsiTheme="majorHAnsi" w:cstheme="majorHAnsi"/>
          <w:b/>
          <w:i/>
          <w:sz w:val="24"/>
          <w:szCs w:val="24"/>
          <w:lang w:val="en-US"/>
        </w:rPr>
        <w:t xml:space="preserve">(Đính kèm </w:t>
      </w:r>
      <w:r w:rsidR="007243D8">
        <w:rPr>
          <w:rFonts w:asciiTheme="majorHAnsi" w:hAnsiTheme="majorHAnsi" w:cstheme="majorHAnsi"/>
          <w:b/>
          <w:i/>
          <w:sz w:val="24"/>
          <w:szCs w:val="24"/>
          <w:lang w:val="en-US"/>
        </w:rPr>
        <w:t>Tờ trình số</w:t>
      </w:r>
      <w:r w:rsidR="00FC6FA3">
        <w:rPr>
          <w:rFonts w:asciiTheme="majorHAnsi" w:hAnsiTheme="majorHAnsi" w:cstheme="majorHAnsi"/>
          <w:b/>
          <w:i/>
          <w:sz w:val="24"/>
          <w:szCs w:val="24"/>
          <w:lang w:val="en-US"/>
        </w:rPr>
        <w:t>………</w:t>
      </w:r>
      <w:r w:rsidR="007243D8" w:rsidRPr="00524B4E">
        <w:rPr>
          <w:rFonts w:asciiTheme="majorHAnsi" w:hAnsiTheme="majorHAnsi" w:cstheme="majorHAnsi"/>
          <w:b/>
          <w:i/>
          <w:sz w:val="24"/>
          <w:szCs w:val="24"/>
          <w:lang w:val="en-US"/>
        </w:rPr>
        <w:t>/TTr</w:t>
      </w:r>
      <w:r w:rsidR="007243D8">
        <w:rPr>
          <w:rFonts w:asciiTheme="majorHAnsi" w:hAnsiTheme="majorHAnsi" w:cstheme="majorHAnsi"/>
          <w:b/>
          <w:i/>
          <w:sz w:val="24"/>
          <w:szCs w:val="24"/>
          <w:lang w:val="en-US"/>
        </w:rPr>
        <w:t>-</w:t>
      </w:r>
      <w:r w:rsidR="00FC6FA3">
        <w:rPr>
          <w:rFonts w:asciiTheme="majorHAnsi" w:hAnsiTheme="majorHAnsi" w:cstheme="majorHAnsi"/>
          <w:b/>
          <w:i/>
          <w:sz w:val="24"/>
          <w:szCs w:val="24"/>
          <w:lang w:val="en-US"/>
        </w:rPr>
        <w:t xml:space="preserve">TD4 </w:t>
      </w:r>
      <w:r w:rsidRPr="00C96774">
        <w:rPr>
          <w:rFonts w:asciiTheme="majorHAnsi" w:hAnsiTheme="majorHAnsi" w:cstheme="majorHAnsi"/>
          <w:b/>
          <w:i/>
          <w:sz w:val="24"/>
          <w:szCs w:val="24"/>
          <w:lang w:val="en-US"/>
        </w:rPr>
        <w:t>ngày</w:t>
      </w:r>
      <w:r w:rsidR="00FC6FA3">
        <w:rPr>
          <w:rFonts w:asciiTheme="majorHAnsi" w:hAnsiTheme="majorHAnsi" w:cstheme="majorHAnsi"/>
          <w:b/>
          <w:i/>
          <w:sz w:val="24"/>
          <w:szCs w:val="24"/>
          <w:lang w:val="en-US"/>
        </w:rPr>
        <w:t>…..</w:t>
      </w:r>
      <w:r w:rsidR="00524B4E">
        <w:rPr>
          <w:rFonts w:asciiTheme="majorHAnsi" w:hAnsiTheme="majorHAnsi" w:cstheme="majorHAnsi"/>
          <w:b/>
          <w:i/>
          <w:sz w:val="24"/>
          <w:szCs w:val="24"/>
          <w:lang w:val="en-US"/>
        </w:rPr>
        <w:t xml:space="preserve"> </w:t>
      </w:r>
      <w:r w:rsidRPr="00C96774">
        <w:rPr>
          <w:rFonts w:asciiTheme="majorHAnsi" w:hAnsiTheme="majorHAnsi" w:cstheme="majorHAnsi"/>
          <w:b/>
          <w:i/>
          <w:sz w:val="24"/>
          <w:szCs w:val="24"/>
          <w:lang w:val="en-US"/>
        </w:rPr>
        <w:t>tháng</w:t>
      </w:r>
      <w:r w:rsidR="00524B4E">
        <w:rPr>
          <w:rFonts w:asciiTheme="majorHAnsi" w:hAnsiTheme="majorHAnsi" w:cstheme="majorHAnsi"/>
          <w:b/>
          <w:i/>
          <w:sz w:val="24"/>
          <w:szCs w:val="24"/>
          <w:lang w:val="en-US"/>
        </w:rPr>
        <w:t xml:space="preserve"> 1</w:t>
      </w:r>
      <w:r w:rsidR="00FC6FA3">
        <w:rPr>
          <w:rFonts w:asciiTheme="majorHAnsi" w:hAnsiTheme="majorHAnsi" w:cstheme="majorHAnsi"/>
          <w:b/>
          <w:i/>
          <w:sz w:val="24"/>
          <w:szCs w:val="24"/>
          <w:lang w:val="en-US"/>
        </w:rPr>
        <w:t>1</w:t>
      </w:r>
      <w:r w:rsidR="00524B4E">
        <w:rPr>
          <w:rFonts w:asciiTheme="majorHAnsi" w:hAnsiTheme="majorHAnsi" w:cstheme="majorHAnsi"/>
          <w:b/>
          <w:i/>
          <w:sz w:val="24"/>
          <w:szCs w:val="24"/>
          <w:lang w:val="en-US"/>
        </w:rPr>
        <w:t xml:space="preserve"> </w:t>
      </w:r>
      <w:r w:rsidRPr="00C96774">
        <w:rPr>
          <w:rFonts w:asciiTheme="majorHAnsi" w:hAnsiTheme="majorHAnsi" w:cstheme="majorHAnsi"/>
          <w:b/>
          <w:i/>
          <w:sz w:val="24"/>
          <w:szCs w:val="24"/>
          <w:lang w:val="en-US"/>
        </w:rPr>
        <w:t>năm 2016)</w:t>
      </w:r>
    </w:p>
    <w:p w:rsidR="00E174A3" w:rsidRPr="00C96774" w:rsidRDefault="00E174A3" w:rsidP="00312C88">
      <w:pPr>
        <w:spacing w:before="60" w:after="0" w:line="360" w:lineRule="exact"/>
        <w:jc w:val="center"/>
        <w:rPr>
          <w:rFonts w:asciiTheme="majorHAnsi" w:hAnsiTheme="majorHAnsi" w:cstheme="majorHAnsi"/>
          <w:b/>
          <w:i/>
          <w:sz w:val="24"/>
          <w:szCs w:val="24"/>
          <w:lang w:val="en-US"/>
        </w:rPr>
      </w:pPr>
    </w:p>
    <w:tbl>
      <w:tblPr>
        <w:tblStyle w:val="TableGrid"/>
        <w:tblW w:w="14885" w:type="dxa"/>
        <w:tblInd w:w="-743" w:type="dxa"/>
        <w:tblLook w:val="04A0" w:firstRow="1" w:lastRow="0" w:firstColumn="1" w:lastColumn="0" w:noHBand="0" w:noVBand="1"/>
      </w:tblPr>
      <w:tblGrid>
        <w:gridCol w:w="670"/>
        <w:gridCol w:w="1741"/>
        <w:gridCol w:w="5103"/>
        <w:gridCol w:w="7371"/>
      </w:tblGrid>
      <w:tr w:rsidR="001F769A" w:rsidTr="00272518">
        <w:tc>
          <w:tcPr>
            <w:tcW w:w="670" w:type="dxa"/>
            <w:vAlign w:val="center"/>
          </w:tcPr>
          <w:p w:rsidR="001F769A" w:rsidRPr="00E00186" w:rsidRDefault="001F769A" w:rsidP="00893160">
            <w:pPr>
              <w:tabs>
                <w:tab w:val="left" w:pos="10155"/>
              </w:tabs>
              <w:spacing w:before="60" w:line="360" w:lineRule="exact"/>
              <w:jc w:val="center"/>
              <w:rPr>
                <w:rFonts w:asciiTheme="majorHAnsi" w:hAnsiTheme="majorHAnsi" w:cstheme="majorHAnsi"/>
                <w:b/>
                <w:sz w:val="24"/>
                <w:szCs w:val="24"/>
                <w:lang w:val="en-US"/>
              </w:rPr>
            </w:pPr>
            <w:r w:rsidRPr="00E00186">
              <w:rPr>
                <w:rFonts w:asciiTheme="majorHAnsi" w:hAnsiTheme="majorHAnsi" w:cstheme="majorHAnsi"/>
                <w:b/>
                <w:sz w:val="24"/>
                <w:szCs w:val="24"/>
                <w:lang w:val="en-US"/>
              </w:rPr>
              <w:t>STT</w:t>
            </w:r>
          </w:p>
        </w:tc>
        <w:tc>
          <w:tcPr>
            <w:tcW w:w="1741" w:type="dxa"/>
            <w:vAlign w:val="center"/>
          </w:tcPr>
          <w:p w:rsidR="001F769A" w:rsidRPr="00E00186" w:rsidRDefault="001F769A" w:rsidP="00CD0D8C">
            <w:pPr>
              <w:tabs>
                <w:tab w:val="left" w:pos="10155"/>
              </w:tabs>
              <w:spacing w:before="60" w:line="360" w:lineRule="exact"/>
              <w:jc w:val="center"/>
              <w:rPr>
                <w:rFonts w:asciiTheme="majorHAnsi" w:hAnsiTheme="majorHAnsi" w:cstheme="majorHAnsi"/>
                <w:b/>
                <w:sz w:val="24"/>
                <w:szCs w:val="24"/>
                <w:lang w:val="en-US"/>
              </w:rPr>
            </w:pPr>
            <w:r>
              <w:rPr>
                <w:rFonts w:asciiTheme="majorHAnsi" w:hAnsiTheme="majorHAnsi" w:cstheme="majorHAnsi"/>
                <w:b/>
                <w:sz w:val="24"/>
                <w:szCs w:val="24"/>
                <w:lang w:val="en-US"/>
              </w:rPr>
              <w:t>Vướng mắc</w:t>
            </w:r>
          </w:p>
        </w:tc>
        <w:tc>
          <w:tcPr>
            <w:tcW w:w="5103" w:type="dxa"/>
            <w:vAlign w:val="center"/>
          </w:tcPr>
          <w:p w:rsidR="001F769A" w:rsidRPr="00E00186" w:rsidRDefault="001F769A" w:rsidP="0007288C">
            <w:pPr>
              <w:tabs>
                <w:tab w:val="left" w:pos="10155"/>
              </w:tabs>
              <w:spacing w:before="60" w:line="360" w:lineRule="exact"/>
              <w:jc w:val="center"/>
              <w:rPr>
                <w:rFonts w:asciiTheme="majorHAnsi" w:hAnsiTheme="majorHAnsi" w:cstheme="majorHAnsi"/>
                <w:b/>
                <w:sz w:val="24"/>
                <w:szCs w:val="24"/>
                <w:lang w:val="en-US"/>
              </w:rPr>
            </w:pPr>
            <w:r>
              <w:rPr>
                <w:rFonts w:asciiTheme="majorHAnsi" w:hAnsiTheme="majorHAnsi" w:cstheme="majorHAnsi"/>
                <w:b/>
                <w:sz w:val="24"/>
                <w:szCs w:val="24"/>
                <w:lang w:val="en-US"/>
              </w:rPr>
              <w:t>Đề xuất</w:t>
            </w:r>
            <w:r w:rsidRPr="00E00186">
              <w:rPr>
                <w:rFonts w:asciiTheme="majorHAnsi" w:hAnsiTheme="majorHAnsi" w:cstheme="majorHAnsi"/>
                <w:b/>
                <w:sz w:val="24"/>
                <w:szCs w:val="24"/>
                <w:lang w:val="en-US"/>
              </w:rPr>
              <w:t xml:space="preserve"> sửa đổ</w:t>
            </w:r>
            <w:r>
              <w:rPr>
                <w:rFonts w:asciiTheme="majorHAnsi" w:hAnsiTheme="majorHAnsi" w:cstheme="majorHAnsi"/>
                <w:b/>
                <w:sz w:val="24"/>
                <w:szCs w:val="24"/>
                <w:lang w:val="en-US"/>
              </w:rPr>
              <w:t xml:space="preserve">i Thông tư </w:t>
            </w:r>
            <w:r w:rsidRPr="00E00186">
              <w:rPr>
                <w:rFonts w:asciiTheme="majorHAnsi" w:hAnsiTheme="majorHAnsi" w:cstheme="majorHAnsi"/>
                <w:b/>
                <w:sz w:val="24"/>
                <w:szCs w:val="24"/>
                <w:lang w:val="en-US"/>
              </w:rPr>
              <w:t>07</w:t>
            </w:r>
          </w:p>
        </w:tc>
        <w:tc>
          <w:tcPr>
            <w:tcW w:w="7371" w:type="dxa"/>
            <w:vAlign w:val="center"/>
          </w:tcPr>
          <w:p w:rsidR="001F769A" w:rsidRDefault="001F769A" w:rsidP="00893160">
            <w:pPr>
              <w:tabs>
                <w:tab w:val="left" w:pos="10155"/>
              </w:tabs>
              <w:spacing w:before="60" w:line="360" w:lineRule="exact"/>
              <w:jc w:val="center"/>
              <w:rPr>
                <w:rFonts w:asciiTheme="majorHAnsi" w:hAnsiTheme="majorHAnsi" w:cstheme="majorHAnsi"/>
                <w:b/>
                <w:sz w:val="24"/>
                <w:szCs w:val="24"/>
                <w:lang w:val="en-US"/>
              </w:rPr>
            </w:pPr>
            <w:r>
              <w:rPr>
                <w:rFonts w:asciiTheme="majorHAnsi" w:hAnsiTheme="majorHAnsi" w:cstheme="majorHAnsi"/>
                <w:b/>
                <w:sz w:val="24"/>
                <w:szCs w:val="24"/>
                <w:lang w:val="en-US"/>
              </w:rPr>
              <w:t>Lý do sửa đổi</w:t>
            </w:r>
            <w:r w:rsidR="007C33DD">
              <w:rPr>
                <w:rFonts w:asciiTheme="majorHAnsi" w:hAnsiTheme="majorHAnsi" w:cstheme="majorHAnsi"/>
                <w:b/>
                <w:sz w:val="24"/>
                <w:szCs w:val="24"/>
                <w:lang w:val="en-US"/>
              </w:rPr>
              <w:t>, bổ sung</w:t>
            </w:r>
          </w:p>
        </w:tc>
      </w:tr>
      <w:tr w:rsidR="009211B3" w:rsidTr="00272518">
        <w:tc>
          <w:tcPr>
            <w:tcW w:w="670" w:type="dxa"/>
            <w:vAlign w:val="center"/>
          </w:tcPr>
          <w:p w:rsidR="009211B3" w:rsidRDefault="009211B3"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I</w:t>
            </w:r>
          </w:p>
        </w:tc>
        <w:tc>
          <w:tcPr>
            <w:tcW w:w="6844" w:type="dxa"/>
            <w:gridSpan w:val="2"/>
            <w:vAlign w:val="center"/>
          </w:tcPr>
          <w:p w:rsidR="009211B3" w:rsidRPr="00CA3E43" w:rsidRDefault="007C33DD" w:rsidP="009363B1">
            <w:pPr>
              <w:tabs>
                <w:tab w:val="left" w:pos="10155"/>
              </w:tabs>
              <w:jc w:val="both"/>
              <w:rPr>
                <w:rFonts w:asciiTheme="majorHAnsi" w:hAnsiTheme="majorHAnsi" w:cstheme="majorHAnsi"/>
                <w:sz w:val="24"/>
                <w:szCs w:val="24"/>
                <w:lang w:val="en-US"/>
              </w:rPr>
            </w:pPr>
            <w:r>
              <w:rPr>
                <w:rFonts w:asciiTheme="majorHAnsi" w:hAnsiTheme="majorHAnsi" w:cstheme="majorHAnsi"/>
                <w:b/>
                <w:sz w:val="24"/>
                <w:szCs w:val="24"/>
                <w:lang w:val="en-US"/>
              </w:rPr>
              <w:t>S</w:t>
            </w:r>
            <w:r w:rsidR="009211B3">
              <w:rPr>
                <w:rFonts w:asciiTheme="majorHAnsi" w:hAnsiTheme="majorHAnsi" w:cstheme="majorHAnsi"/>
                <w:b/>
                <w:sz w:val="24"/>
                <w:szCs w:val="24"/>
                <w:lang w:val="en-US"/>
              </w:rPr>
              <w:t>ự cần thiết phải ban hành Thông tư sửa đổi, bổ sung Thông tư 07/2015/TT-NHNN</w:t>
            </w:r>
          </w:p>
        </w:tc>
        <w:tc>
          <w:tcPr>
            <w:tcW w:w="7371" w:type="dxa"/>
          </w:tcPr>
          <w:p w:rsidR="009211B3" w:rsidRPr="009211B3" w:rsidRDefault="009211B3" w:rsidP="009211B3">
            <w:pPr>
              <w:spacing w:after="120"/>
              <w:ind w:firstLine="720"/>
              <w:jc w:val="both"/>
              <w:rPr>
                <w:rFonts w:asciiTheme="majorHAnsi" w:hAnsiTheme="majorHAnsi" w:cstheme="majorHAnsi"/>
                <w:sz w:val="24"/>
                <w:szCs w:val="24"/>
                <w:lang w:val="en-US"/>
              </w:rPr>
            </w:pPr>
            <w:r w:rsidRPr="009211B3">
              <w:rPr>
                <w:rFonts w:asciiTheme="majorHAnsi" w:hAnsiTheme="majorHAnsi" w:cstheme="majorHAnsi"/>
                <w:sz w:val="24"/>
                <w:szCs w:val="24"/>
              </w:rPr>
              <w:t>Do một số nội dung về hoạt động bảo lãnh bất động sản hình thành trong tương lai tại Thông tư số 07/2015/TT-NHNN chưa được quy định cụ thể dẫn đến các TCTD, chi nhánh ngân hàng nước ngoài, chủ dự án bất động sản và người mua, thuê mua nhà ở hình thành trong tương lai gặp khó khăn trong quá trình triển khai thực hiện Điều 56 Luật kinh doanh bất động sản.</w:t>
            </w:r>
            <w:r w:rsidR="0058306A">
              <w:rPr>
                <w:rFonts w:asciiTheme="majorHAnsi" w:hAnsiTheme="majorHAnsi" w:cstheme="majorHAnsi"/>
                <w:sz w:val="24"/>
                <w:szCs w:val="24"/>
                <w:lang w:val="en-US"/>
              </w:rPr>
              <w:t xml:space="preserve"> </w:t>
            </w:r>
            <w:r w:rsidRPr="009211B3">
              <w:rPr>
                <w:rFonts w:asciiTheme="majorHAnsi" w:hAnsiTheme="majorHAnsi" w:cstheme="majorHAnsi"/>
                <w:sz w:val="24"/>
                <w:szCs w:val="24"/>
                <w:lang w:val="en-US"/>
              </w:rPr>
              <w:t>Ngoài ra, một số nội dun</w:t>
            </w:r>
            <w:r>
              <w:rPr>
                <w:rFonts w:asciiTheme="majorHAnsi" w:hAnsiTheme="majorHAnsi" w:cstheme="majorHAnsi"/>
                <w:sz w:val="24"/>
                <w:szCs w:val="24"/>
                <w:lang w:val="en-US"/>
              </w:rPr>
              <w:t>g khác của Thông t</w:t>
            </w:r>
            <w:r w:rsidR="0058306A">
              <w:rPr>
                <w:rFonts w:asciiTheme="majorHAnsi" w:hAnsiTheme="majorHAnsi" w:cstheme="majorHAnsi"/>
                <w:sz w:val="24"/>
                <w:szCs w:val="24"/>
                <w:lang w:val="en-US"/>
              </w:rPr>
              <w:t>ư</w:t>
            </w:r>
            <w:r>
              <w:rPr>
                <w:rFonts w:asciiTheme="majorHAnsi" w:hAnsiTheme="majorHAnsi" w:cstheme="majorHAnsi"/>
                <w:sz w:val="24"/>
                <w:szCs w:val="24"/>
                <w:lang w:val="en-US"/>
              </w:rPr>
              <w:t xml:space="preserve"> 07</w:t>
            </w:r>
            <w:r w:rsidR="0058306A">
              <w:rPr>
                <w:rFonts w:asciiTheme="majorHAnsi" w:hAnsiTheme="majorHAnsi" w:cstheme="majorHAnsi"/>
                <w:sz w:val="24"/>
                <w:szCs w:val="24"/>
                <w:lang w:val="en-US"/>
              </w:rPr>
              <w:t xml:space="preserve"> cũng cần được quy định cụ thể như: bảo lãnh cho khách hàng là người không cư trú, thời điểm tính số dư bảo lãnh</w:t>
            </w:r>
            <w:proofErr w:type="gramStart"/>
            <w:r w:rsidR="0058306A">
              <w:rPr>
                <w:rFonts w:asciiTheme="majorHAnsi" w:hAnsiTheme="majorHAnsi" w:cstheme="majorHAnsi"/>
                <w:sz w:val="24"/>
                <w:szCs w:val="24"/>
                <w:lang w:val="en-US"/>
              </w:rPr>
              <w:t>,…</w:t>
            </w:r>
            <w:proofErr w:type="gramEnd"/>
          </w:p>
          <w:p w:rsidR="009211B3" w:rsidRPr="009211B3" w:rsidRDefault="009211B3" w:rsidP="009211B3">
            <w:pPr>
              <w:spacing w:after="120"/>
              <w:ind w:firstLine="720"/>
              <w:jc w:val="both"/>
              <w:rPr>
                <w:rFonts w:asciiTheme="majorHAnsi" w:hAnsiTheme="majorHAnsi" w:cstheme="majorHAnsi"/>
                <w:sz w:val="24"/>
                <w:szCs w:val="24"/>
              </w:rPr>
            </w:pPr>
            <w:r w:rsidRPr="009211B3">
              <w:rPr>
                <w:rFonts w:asciiTheme="majorHAnsi" w:hAnsiTheme="majorHAnsi" w:cstheme="majorHAnsi"/>
                <w:sz w:val="24"/>
                <w:szCs w:val="24"/>
              </w:rPr>
              <w:t xml:space="preserve"> Do đó, cần thiết phải ban hành Thông tư sửa đổi, bổ sung Thông tư 07 để tạo điều kiện thuận lợi trong hoạt động bảo lãnh của các TCTD, chi nhánh ngân hàng nước ngoài và các đối tượng có liên quan.</w:t>
            </w:r>
          </w:p>
          <w:p w:rsidR="009211B3" w:rsidRPr="009211B3" w:rsidRDefault="009211B3" w:rsidP="0065076E">
            <w:pPr>
              <w:tabs>
                <w:tab w:val="left" w:pos="10155"/>
              </w:tabs>
              <w:jc w:val="both"/>
              <w:rPr>
                <w:rFonts w:asciiTheme="majorHAnsi" w:hAnsiTheme="majorHAnsi" w:cstheme="majorHAnsi"/>
                <w:sz w:val="24"/>
                <w:szCs w:val="24"/>
              </w:rPr>
            </w:pPr>
          </w:p>
        </w:tc>
      </w:tr>
      <w:tr w:rsidR="009211B3" w:rsidTr="009211B3">
        <w:trPr>
          <w:trHeight w:val="443"/>
        </w:trPr>
        <w:tc>
          <w:tcPr>
            <w:tcW w:w="670" w:type="dxa"/>
            <w:vAlign w:val="center"/>
          </w:tcPr>
          <w:p w:rsidR="009211B3" w:rsidRPr="009211B3" w:rsidRDefault="009211B3"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II</w:t>
            </w:r>
          </w:p>
        </w:tc>
        <w:tc>
          <w:tcPr>
            <w:tcW w:w="14215" w:type="dxa"/>
            <w:gridSpan w:val="3"/>
            <w:vAlign w:val="center"/>
          </w:tcPr>
          <w:p w:rsidR="009211B3" w:rsidRPr="009211B3" w:rsidRDefault="009211B3" w:rsidP="0065076E">
            <w:pPr>
              <w:tabs>
                <w:tab w:val="left" w:pos="10155"/>
              </w:tabs>
              <w:jc w:val="both"/>
              <w:rPr>
                <w:rFonts w:asciiTheme="majorHAnsi" w:hAnsiTheme="majorHAnsi" w:cstheme="majorHAnsi"/>
                <w:sz w:val="24"/>
                <w:szCs w:val="24"/>
              </w:rPr>
            </w:pPr>
            <w:r>
              <w:rPr>
                <w:rFonts w:asciiTheme="majorHAnsi" w:hAnsiTheme="majorHAnsi" w:cstheme="majorHAnsi"/>
                <w:b/>
                <w:sz w:val="24"/>
                <w:szCs w:val="24"/>
                <w:lang w:val="en-US"/>
              </w:rPr>
              <w:t>Các nội dung sửa đổi, bổ sung</w:t>
            </w:r>
            <w:r w:rsidR="009F193C">
              <w:rPr>
                <w:rFonts w:asciiTheme="majorHAnsi" w:hAnsiTheme="majorHAnsi" w:cstheme="majorHAnsi"/>
                <w:b/>
                <w:sz w:val="24"/>
                <w:szCs w:val="24"/>
                <w:lang w:val="en-US"/>
              </w:rPr>
              <w:t xml:space="preserve"> Thông tư 07</w:t>
            </w:r>
          </w:p>
        </w:tc>
      </w:tr>
      <w:tr w:rsidR="0058306A" w:rsidTr="0058306A">
        <w:trPr>
          <w:trHeight w:val="458"/>
        </w:trPr>
        <w:tc>
          <w:tcPr>
            <w:tcW w:w="14885" w:type="dxa"/>
            <w:gridSpan w:val="4"/>
            <w:vAlign w:val="center"/>
          </w:tcPr>
          <w:p w:rsidR="0058306A" w:rsidRPr="0058306A" w:rsidRDefault="0058306A" w:rsidP="0065076E">
            <w:pPr>
              <w:tabs>
                <w:tab w:val="left" w:pos="10155"/>
              </w:tabs>
              <w:jc w:val="both"/>
              <w:rPr>
                <w:rFonts w:asciiTheme="majorHAnsi" w:hAnsiTheme="majorHAnsi" w:cstheme="majorHAnsi"/>
                <w:sz w:val="24"/>
                <w:szCs w:val="24"/>
              </w:rPr>
            </w:pPr>
            <w:r w:rsidRPr="0058306A">
              <w:rPr>
                <w:rFonts w:asciiTheme="majorHAnsi" w:hAnsiTheme="majorHAnsi" w:cstheme="majorHAnsi"/>
                <w:b/>
                <w:sz w:val="24"/>
                <w:szCs w:val="24"/>
              </w:rPr>
              <w:t>Các nội dung liên quan đến bảo lãnh trong bán, cho thuê mua nhà ở hình thành trong tương lai</w:t>
            </w:r>
          </w:p>
        </w:tc>
      </w:tr>
      <w:tr w:rsidR="001F769A" w:rsidTr="007C33DD">
        <w:tc>
          <w:tcPr>
            <w:tcW w:w="670" w:type="dxa"/>
            <w:vAlign w:val="center"/>
          </w:tcPr>
          <w:p w:rsidR="001F769A" w:rsidRPr="00E03915" w:rsidRDefault="001F769A"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1</w:t>
            </w:r>
          </w:p>
        </w:tc>
        <w:tc>
          <w:tcPr>
            <w:tcW w:w="1741" w:type="dxa"/>
            <w:vAlign w:val="center"/>
          </w:tcPr>
          <w:p w:rsidR="001F769A" w:rsidRPr="004659F3" w:rsidRDefault="001F769A" w:rsidP="00C370B0">
            <w:pPr>
              <w:tabs>
                <w:tab w:val="left" w:pos="10155"/>
              </w:tabs>
              <w:rPr>
                <w:rFonts w:asciiTheme="majorHAnsi" w:hAnsiTheme="majorHAnsi" w:cstheme="majorHAnsi"/>
                <w:b/>
                <w:sz w:val="24"/>
                <w:szCs w:val="24"/>
                <w:lang w:val="en-US"/>
              </w:rPr>
            </w:pPr>
            <w:r w:rsidRPr="004659F3">
              <w:rPr>
                <w:rFonts w:asciiTheme="majorHAnsi" w:hAnsiTheme="majorHAnsi" w:cstheme="majorHAnsi"/>
                <w:b/>
                <w:sz w:val="24"/>
                <w:szCs w:val="24"/>
                <w:lang w:val="en-US"/>
              </w:rPr>
              <w:t>Về hình thức</w:t>
            </w:r>
            <w:r>
              <w:rPr>
                <w:rFonts w:asciiTheme="majorHAnsi" w:hAnsiTheme="majorHAnsi" w:cstheme="majorHAnsi"/>
                <w:b/>
                <w:sz w:val="24"/>
                <w:szCs w:val="24"/>
                <w:lang w:val="en-US"/>
              </w:rPr>
              <w:t xml:space="preserve"> cam kết</w:t>
            </w:r>
            <w:r w:rsidRPr="004659F3">
              <w:rPr>
                <w:rFonts w:asciiTheme="majorHAnsi" w:hAnsiTheme="majorHAnsi" w:cstheme="majorHAnsi"/>
                <w:b/>
                <w:sz w:val="24"/>
                <w:szCs w:val="24"/>
                <w:lang w:val="en-US"/>
              </w:rPr>
              <w:t xml:space="preserve"> bảo lãnh</w:t>
            </w:r>
          </w:p>
        </w:tc>
        <w:tc>
          <w:tcPr>
            <w:tcW w:w="5103" w:type="dxa"/>
          </w:tcPr>
          <w:p w:rsidR="001F769A" w:rsidRPr="00CA3E43" w:rsidRDefault="001F769A" w:rsidP="009F193C">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 xml:space="preserve">Sửa đổi, bổ sung Khoản 2 Điều 12 theo hướng cam kết bảo lãnh </w:t>
            </w:r>
            <w:r w:rsidR="00001315">
              <w:rPr>
                <w:rFonts w:asciiTheme="majorHAnsi" w:hAnsiTheme="majorHAnsi" w:cstheme="majorHAnsi"/>
                <w:sz w:val="24"/>
                <w:szCs w:val="24"/>
                <w:lang w:val="en-US"/>
              </w:rPr>
              <w:t xml:space="preserve">đối với nghĩa vụ của chủ đầu tư bán, cho thuê mua nhà ở hình thành trong tương lai </w:t>
            </w:r>
            <w:r w:rsidRPr="00CA3E43">
              <w:rPr>
                <w:rFonts w:asciiTheme="majorHAnsi" w:hAnsiTheme="majorHAnsi" w:cstheme="majorHAnsi"/>
                <w:sz w:val="24"/>
                <w:szCs w:val="24"/>
                <w:lang w:val="en-US"/>
              </w:rPr>
              <w:t>chỉ thực hiện dưới hình thức thư bảo lãnh</w:t>
            </w:r>
            <w:r w:rsidR="009F193C">
              <w:rPr>
                <w:rFonts w:asciiTheme="majorHAnsi" w:hAnsiTheme="majorHAnsi" w:cstheme="majorHAnsi"/>
                <w:sz w:val="24"/>
                <w:szCs w:val="24"/>
                <w:lang w:val="en-US"/>
              </w:rPr>
              <w:t xml:space="preserve">, </w:t>
            </w:r>
            <w:proofErr w:type="gramStart"/>
            <w:r w:rsidR="009F193C">
              <w:rPr>
                <w:rFonts w:asciiTheme="majorHAnsi" w:hAnsiTheme="majorHAnsi" w:cstheme="majorHAnsi"/>
                <w:sz w:val="24"/>
                <w:szCs w:val="24"/>
                <w:lang w:val="en-US"/>
              </w:rPr>
              <w:t>không</w:t>
            </w:r>
            <w:proofErr w:type="gramEnd"/>
            <w:r w:rsidR="009F193C">
              <w:rPr>
                <w:rFonts w:asciiTheme="majorHAnsi" w:hAnsiTheme="majorHAnsi" w:cstheme="majorHAnsi"/>
                <w:sz w:val="24"/>
                <w:szCs w:val="24"/>
                <w:lang w:val="en-US"/>
              </w:rPr>
              <w:t xml:space="preserve"> thực hiện dưới hình thức hợp đồng bảo lãnh.</w:t>
            </w:r>
          </w:p>
        </w:tc>
        <w:tc>
          <w:tcPr>
            <w:tcW w:w="7371" w:type="dxa"/>
          </w:tcPr>
          <w:p w:rsidR="001F769A" w:rsidRPr="00922DDA" w:rsidRDefault="009F193C" w:rsidP="009F193C">
            <w:pPr>
              <w:tabs>
                <w:tab w:val="left" w:pos="10155"/>
              </w:tabs>
              <w:jc w:val="both"/>
              <w:rPr>
                <w:rFonts w:asciiTheme="majorHAnsi" w:hAnsiTheme="majorHAnsi" w:cstheme="majorHAnsi"/>
                <w:sz w:val="24"/>
                <w:szCs w:val="24"/>
                <w:lang w:val="en-US"/>
              </w:rPr>
            </w:pPr>
            <w:r>
              <w:rPr>
                <w:rFonts w:asciiTheme="majorHAnsi" w:hAnsiTheme="majorHAnsi" w:cstheme="majorHAnsi"/>
                <w:sz w:val="24"/>
                <w:szCs w:val="24"/>
                <w:lang w:val="en-US"/>
              </w:rPr>
              <w:t>Đ</w:t>
            </w:r>
            <w:r w:rsidR="001F769A" w:rsidRPr="00996971">
              <w:rPr>
                <w:rFonts w:asciiTheme="majorHAnsi" w:hAnsiTheme="majorHAnsi" w:cstheme="majorHAnsi"/>
                <w:sz w:val="24"/>
                <w:szCs w:val="24"/>
                <w:lang w:val="en-US"/>
              </w:rPr>
              <w:t>ể đảm bảo tránh nhầm lẫn</w:t>
            </w:r>
            <w:r w:rsidR="00001315">
              <w:rPr>
                <w:rFonts w:asciiTheme="majorHAnsi" w:hAnsiTheme="majorHAnsi" w:cstheme="majorHAnsi"/>
                <w:sz w:val="24"/>
                <w:szCs w:val="24"/>
                <w:lang w:val="en-US"/>
              </w:rPr>
              <w:t xml:space="preserve"> giữa 2 loại hợp đồng:</w:t>
            </w:r>
            <w:r>
              <w:rPr>
                <w:rFonts w:asciiTheme="majorHAnsi" w:hAnsiTheme="majorHAnsi" w:cstheme="majorHAnsi"/>
                <w:sz w:val="24"/>
                <w:szCs w:val="24"/>
                <w:lang w:val="en-US"/>
              </w:rPr>
              <w:t xml:space="preserve"> Hợp đồng bảo lãnh quy định tại Điều 56 Luật kinh doanh bất động sản</w:t>
            </w:r>
            <w:r w:rsidR="00B4153C">
              <w:rPr>
                <w:rFonts w:asciiTheme="majorHAnsi" w:hAnsiTheme="majorHAnsi" w:cstheme="majorHAnsi"/>
                <w:sz w:val="24"/>
                <w:szCs w:val="24"/>
                <w:lang w:val="en-US"/>
              </w:rPr>
              <w:t xml:space="preserve"> (thực chất là thỏa thuận cấp bảo lãnh quy định tại Thông tư 07)</w:t>
            </w:r>
            <w:r>
              <w:rPr>
                <w:rFonts w:asciiTheme="majorHAnsi" w:hAnsiTheme="majorHAnsi" w:cstheme="majorHAnsi"/>
                <w:sz w:val="24"/>
                <w:szCs w:val="24"/>
                <w:lang w:val="en-US"/>
              </w:rPr>
              <w:t xml:space="preserve"> </w:t>
            </w:r>
            <w:r w:rsidR="00001315">
              <w:rPr>
                <w:rFonts w:asciiTheme="majorHAnsi" w:hAnsiTheme="majorHAnsi" w:cstheme="majorHAnsi"/>
                <w:sz w:val="24"/>
                <w:szCs w:val="24"/>
                <w:lang w:val="en-US"/>
              </w:rPr>
              <w:t>và hợp đồng bảo lãnh</w:t>
            </w:r>
            <w:r>
              <w:rPr>
                <w:rFonts w:asciiTheme="majorHAnsi" w:hAnsiTheme="majorHAnsi" w:cstheme="majorHAnsi"/>
                <w:sz w:val="24"/>
                <w:szCs w:val="24"/>
                <w:lang w:val="en-US"/>
              </w:rPr>
              <w:t xml:space="preserve"> quy định tại Thông tư 07</w:t>
            </w:r>
            <w:r w:rsidR="001F769A" w:rsidRPr="00996971">
              <w:rPr>
                <w:rFonts w:asciiTheme="majorHAnsi" w:hAnsiTheme="majorHAnsi" w:cstheme="majorHAnsi"/>
                <w:sz w:val="24"/>
                <w:szCs w:val="24"/>
                <w:lang w:val="en-US"/>
              </w:rPr>
              <w:t>,</w:t>
            </w:r>
            <w:r w:rsidR="00001315">
              <w:rPr>
                <w:rFonts w:asciiTheme="majorHAnsi" w:hAnsiTheme="majorHAnsi" w:cstheme="majorHAnsi"/>
                <w:sz w:val="24"/>
                <w:szCs w:val="24"/>
                <w:lang w:val="en-US"/>
              </w:rPr>
              <w:t xml:space="preserve"> nhằm</w:t>
            </w:r>
            <w:r w:rsidR="001F769A" w:rsidRPr="00996971">
              <w:rPr>
                <w:rFonts w:asciiTheme="majorHAnsi" w:hAnsiTheme="majorHAnsi" w:cstheme="majorHAnsi"/>
                <w:sz w:val="24"/>
                <w:szCs w:val="24"/>
                <w:lang w:val="en-US"/>
              </w:rPr>
              <w:t xml:space="preserve"> tháo gỡ vướng mắc </w:t>
            </w:r>
            <w:r>
              <w:rPr>
                <w:rFonts w:asciiTheme="majorHAnsi" w:hAnsiTheme="majorHAnsi" w:cstheme="majorHAnsi"/>
                <w:sz w:val="24"/>
                <w:szCs w:val="24"/>
                <w:lang w:val="en-US"/>
              </w:rPr>
              <w:t>cho</w:t>
            </w:r>
            <w:r w:rsidR="001F769A" w:rsidRPr="00996971">
              <w:rPr>
                <w:rFonts w:asciiTheme="majorHAnsi" w:hAnsiTheme="majorHAnsi" w:cstheme="majorHAnsi"/>
                <w:sz w:val="24"/>
                <w:szCs w:val="24"/>
                <w:lang w:val="en-US"/>
              </w:rPr>
              <w:t xml:space="preserve"> c</w:t>
            </w:r>
            <w:r w:rsidR="001F769A" w:rsidRPr="00996971">
              <w:rPr>
                <w:rFonts w:asciiTheme="majorHAnsi" w:hAnsiTheme="majorHAnsi" w:cstheme="majorHAnsi"/>
                <w:sz w:val="24"/>
                <w:szCs w:val="24"/>
              </w:rPr>
              <w:t xml:space="preserve">hủ đầu tư </w:t>
            </w:r>
            <w:r w:rsidR="001F769A" w:rsidRPr="00996971">
              <w:rPr>
                <w:rFonts w:asciiTheme="majorHAnsi" w:hAnsiTheme="majorHAnsi" w:cstheme="majorHAnsi"/>
                <w:sz w:val="24"/>
                <w:szCs w:val="24"/>
                <w:lang w:val="en-US"/>
              </w:rPr>
              <w:t xml:space="preserve">phải </w:t>
            </w:r>
            <w:r w:rsidR="001F769A" w:rsidRPr="00996971">
              <w:rPr>
                <w:rFonts w:asciiTheme="majorHAnsi" w:hAnsiTheme="majorHAnsi" w:cstheme="majorHAnsi"/>
                <w:sz w:val="24"/>
                <w:szCs w:val="24"/>
              </w:rPr>
              <w:t>gửi bản sao hợp đồng bảo lãnh cho bên mua, bên thuê mua khi ký kết hợp đồng mua, thuê mua</w:t>
            </w:r>
            <w:r w:rsidR="001F769A" w:rsidRPr="00996971">
              <w:rPr>
                <w:rFonts w:asciiTheme="majorHAnsi" w:hAnsiTheme="majorHAnsi" w:cstheme="majorHAnsi"/>
                <w:sz w:val="24"/>
                <w:szCs w:val="24"/>
                <w:lang w:val="en-US"/>
              </w:rPr>
              <w:t xml:space="preserve"> theo quy định tại Điều 56 Luật Kinh doanh bất động sản.</w:t>
            </w:r>
          </w:p>
        </w:tc>
      </w:tr>
      <w:tr w:rsidR="001F769A" w:rsidTr="007C33DD">
        <w:tc>
          <w:tcPr>
            <w:tcW w:w="670" w:type="dxa"/>
            <w:vAlign w:val="center"/>
          </w:tcPr>
          <w:p w:rsidR="001F769A" w:rsidRPr="00E03915" w:rsidRDefault="001F769A"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2</w:t>
            </w:r>
          </w:p>
        </w:tc>
        <w:tc>
          <w:tcPr>
            <w:tcW w:w="1741" w:type="dxa"/>
            <w:vAlign w:val="center"/>
          </w:tcPr>
          <w:p w:rsidR="001F769A" w:rsidRPr="004659F3" w:rsidRDefault="001F769A" w:rsidP="00C370B0">
            <w:pPr>
              <w:tabs>
                <w:tab w:val="left" w:pos="10155"/>
              </w:tabs>
              <w:rPr>
                <w:rFonts w:asciiTheme="majorHAnsi" w:hAnsiTheme="majorHAnsi" w:cstheme="majorHAnsi"/>
                <w:b/>
                <w:sz w:val="24"/>
                <w:szCs w:val="24"/>
                <w:lang w:val="en-US"/>
              </w:rPr>
            </w:pPr>
            <w:r>
              <w:rPr>
                <w:rFonts w:asciiTheme="majorHAnsi" w:hAnsiTheme="majorHAnsi" w:cstheme="majorHAnsi"/>
                <w:b/>
                <w:sz w:val="24"/>
                <w:szCs w:val="24"/>
                <w:lang w:val="en-US"/>
              </w:rPr>
              <w:t>Về trình tự, thủ tục cấp bảo lãnh</w:t>
            </w:r>
          </w:p>
        </w:tc>
        <w:tc>
          <w:tcPr>
            <w:tcW w:w="5103" w:type="dxa"/>
          </w:tcPr>
          <w:p w:rsidR="001F769A" w:rsidRDefault="001F769A" w:rsidP="00CA3E43">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pt-BR"/>
              </w:rPr>
              <w:t xml:space="preserve">Bổ sung một khoản vào Điều 12 Thông tư 07 quy định về trình tự thực hiện bảo lãnh trong bán, cho thuê mua nhà ở </w:t>
            </w:r>
            <w:r w:rsidR="00B4153C">
              <w:rPr>
                <w:rFonts w:asciiTheme="majorHAnsi" w:hAnsiTheme="majorHAnsi" w:cstheme="majorHAnsi"/>
                <w:sz w:val="24"/>
                <w:szCs w:val="24"/>
                <w:lang w:val="pt-BR"/>
              </w:rPr>
              <w:t>hình thành trong tương lai</w:t>
            </w:r>
            <w:r w:rsidRPr="00CA3E43">
              <w:rPr>
                <w:rFonts w:asciiTheme="majorHAnsi" w:hAnsiTheme="majorHAnsi" w:cstheme="majorHAnsi"/>
                <w:sz w:val="24"/>
                <w:szCs w:val="24"/>
                <w:lang w:val="pt-BR"/>
              </w:rPr>
              <w:t xml:space="preserve"> tại mục 1.3 Công văn 9233</w:t>
            </w:r>
            <w:r w:rsidRPr="00CA3E43">
              <w:rPr>
                <w:rFonts w:asciiTheme="majorHAnsi" w:hAnsiTheme="majorHAnsi" w:cstheme="majorHAnsi"/>
                <w:sz w:val="24"/>
                <w:szCs w:val="24"/>
              </w:rPr>
              <w:t>/NHNN-TD</w:t>
            </w:r>
            <w:r w:rsidRPr="00CA3E43">
              <w:rPr>
                <w:rFonts w:asciiTheme="majorHAnsi" w:hAnsiTheme="majorHAnsi" w:cstheme="majorHAnsi"/>
                <w:sz w:val="24"/>
                <w:szCs w:val="24"/>
                <w:lang w:val="pt-BR"/>
              </w:rPr>
              <w:t xml:space="preserve"> ngày 03/12/2015</w:t>
            </w:r>
            <w:r>
              <w:rPr>
                <w:rFonts w:asciiTheme="majorHAnsi" w:hAnsiTheme="majorHAnsi" w:cstheme="majorHAnsi"/>
                <w:sz w:val="24"/>
                <w:szCs w:val="24"/>
                <w:lang w:val="pt-BR"/>
              </w:rPr>
              <w:t xml:space="preserve"> củ</w:t>
            </w:r>
            <w:r w:rsidR="00E11BD1">
              <w:rPr>
                <w:rFonts w:asciiTheme="majorHAnsi" w:hAnsiTheme="majorHAnsi" w:cstheme="majorHAnsi"/>
                <w:sz w:val="24"/>
                <w:szCs w:val="24"/>
                <w:lang w:val="pt-BR"/>
              </w:rPr>
              <w:t>a NHNN.</w:t>
            </w:r>
          </w:p>
          <w:p w:rsidR="001F769A" w:rsidRPr="00BC62C9" w:rsidRDefault="001F769A" w:rsidP="00CA3E43">
            <w:pPr>
              <w:tabs>
                <w:tab w:val="left" w:pos="10155"/>
              </w:tabs>
              <w:jc w:val="both"/>
              <w:rPr>
                <w:rFonts w:asciiTheme="majorHAnsi" w:hAnsiTheme="majorHAnsi" w:cstheme="majorHAnsi"/>
                <w:sz w:val="24"/>
                <w:szCs w:val="24"/>
                <w:lang w:val="en-US"/>
              </w:rPr>
            </w:pPr>
          </w:p>
        </w:tc>
        <w:tc>
          <w:tcPr>
            <w:tcW w:w="7371" w:type="dxa"/>
          </w:tcPr>
          <w:p w:rsidR="001F769A" w:rsidRPr="009861D5" w:rsidRDefault="00B4153C" w:rsidP="00E11BD1">
            <w:pPr>
              <w:tabs>
                <w:tab w:val="left" w:pos="10155"/>
              </w:tabs>
              <w:jc w:val="both"/>
              <w:rPr>
                <w:rFonts w:asciiTheme="majorHAnsi" w:hAnsiTheme="majorHAnsi" w:cstheme="majorHAnsi"/>
                <w:sz w:val="24"/>
                <w:szCs w:val="24"/>
                <w:lang w:val="pt-BR"/>
              </w:rPr>
            </w:pPr>
            <w:r>
              <w:rPr>
                <w:rFonts w:asciiTheme="majorHAnsi" w:hAnsiTheme="majorHAnsi" w:cstheme="majorHAnsi"/>
                <w:sz w:val="24"/>
                <w:szCs w:val="24"/>
                <w:lang w:val="pt-BR"/>
              </w:rPr>
              <w:lastRenderedPageBreak/>
              <w:t>Để tạo cơ sở pháp lý cho các NHTM thực hiện bảo lãnh.</w:t>
            </w:r>
            <w:r w:rsidR="00E11BD1">
              <w:rPr>
                <w:rFonts w:asciiTheme="majorHAnsi" w:hAnsiTheme="majorHAnsi" w:cstheme="majorHAnsi"/>
                <w:sz w:val="24"/>
                <w:szCs w:val="24"/>
                <w:lang w:val="pt-BR"/>
              </w:rPr>
              <w:t xml:space="preserve"> </w:t>
            </w:r>
            <w:r w:rsidR="001F769A">
              <w:rPr>
                <w:rFonts w:asciiTheme="majorHAnsi" w:hAnsiTheme="majorHAnsi" w:cstheme="majorHAnsi"/>
                <w:sz w:val="24"/>
                <w:szCs w:val="24"/>
                <w:lang w:val="pt-BR"/>
              </w:rPr>
              <w:t xml:space="preserve">Về cơ bản, hướng dẫn trình tự thực hiện bảo lãnh trong bán, cho thuê mua nhà ở </w:t>
            </w:r>
            <w:r>
              <w:rPr>
                <w:rFonts w:asciiTheme="majorHAnsi" w:hAnsiTheme="majorHAnsi" w:cstheme="majorHAnsi"/>
                <w:sz w:val="24"/>
                <w:szCs w:val="24"/>
                <w:lang w:val="pt-BR"/>
              </w:rPr>
              <w:t>hình thành trong tương lai</w:t>
            </w:r>
            <w:r w:rsidR="001F769A" w:rsidRPr="009861D5">
              <w:rPr>
                <w:rFonts w:asciiTheme="majorHAnsi" w:hAnsiTheme="majorHAnsi" w:cstheme="majorHAnsi"/>
                <w:sz w:val="24"/>
                <w:szCs w:val="24"/>
                <w:lang w:val="pt-BR"/>
              </w:rPr>
              <w:t xml:space="preserve"> tại mục 1.3 Công văn 9233</w:t>
            </w:r>
            <w:r w:rsidR="001F769A">
              <w:rPr>
                <w:rFonts w:asciiTheme="majorHAnsi" w:hAnsiTheme="majorHAnsi" w:cstheme="majorHAnsi"/>
                <w:sz w:val="24"/>
                <w:szCs w:val="24"/>
                <w:lang w:val="pt-BR"/>
              </w:rPr>
              <w:t xml:space="preserve"> là tương đố</w:t>
            </w:r>
            <w:r>
              <w:rPr>
                <w:rFonts w:asciiTheme="majorHAnsi" w:hAnsiTheme="majorHAnsi" w:cstheme="majorHAnsi"/>
                <w:sz w:val="24"/>
                <w:szCs w:val="24"/>
                <w:lang w:val="pt-BR"/>
              </w:rPr>
              <w:t>i rõ ràng</w:t>
            </w:r>
            <w:r w:rsidR="00E11BD1">
              <w:rPr>
                <w:rFonts w:asciiTheme="majorHAnsi" w:hAnsiTheme="majorHAnsi" w:cstheme="majorHAnsi"/>
                <w:sz w:val="24"/>
                <w:szCs w:val="24"/>
                <w:lang w:val="pt-BR"/>
              </w:rPr>
              <w:t>, h</w:t>
            </w:r>
            <w:r w:rsidR="00E11BD1" w:rsidRPr="00E11BD1">
              <w:rPr>
                <w:rFonts w:asciiTheme="majorHAnsi" w:hAnsiTheme="majorHAnsi" w:cstheme="majorHAnsi"/>
                <w:sz w:val="24"/>
                <w:szCs w:val="24"/>
                <w:lang w:val="pt-BR"/>
              </w:rPr>
              <w:t>ướng dẫn cụ thể quy trình cấp bảo lãnh trong bán, cho thuê mua nhà ở hình thành trong tương lai trên cơ sở</w:t>
            </w:r>
            <w:r w:rsidR="00E11BD1">
              <w:rPr>
                <w:rFonts w:asciiTheme="majorHAnsi" w:hAnsiTheme="majorHAnsi" w:cstheme="majorHAnsi"/>
                <w:sz w:val="24"/>
                <w:szCs w:val="24"/>
                <w:lang w:val="pt-BR"/>
              </w:rPr>
              <w:t xml:space="preserve"> phù hợp</w:t>
            </w:r>
            <w:r w:rsidR="00E11BD1" w:rsidRPr="00E11BD1">
              <w:rPr>
                <w:rFonts w:asciiTheme="majorHAnsi" w:hAnsiTheme="majorHAnsi" w:cstheme="majorHAnsi"/>
                <w:sz w:val="24"/>
                <w:szCs w:val="24"/>
                <w:lang w:val="pt-BR"/>
              </w:rPr>
              <w:t xml:space="preserve"> quy định tại Điều 56 Luật </w:t>
            </w:r>
            <w:r w:rsidR="00E11BD1" w:rsidRPr="00E11BD1">
              <w:rPr>
                <w:rFonts w:asciiTheme="majorHAnsi" w:hAnsiTheme="majorHAnsi" w:cstheme="majorHAnsi"/>
                <w:sz w:val="24"/>
                <w:szCs w:val="24"/>
                <w:lang w:val="pt-BR"/>
              </w:rPr>
              <w:lastRenderedPageBreak/>
              <w:t>KDBĐS và đặc thù của hoạt động bảo lãnh trong bán, cho thuê mua nhà ở HTTTL</w:t>
            </w:r>
            <w:r w:rsidR="00E11BD1">
              <w:rPr>
                <w:rFonts w:asciiTheme="majorHAnsi" w:hAnsiTheme="majorHAnsi" w:cstheme="majorHAnsi"/>
                <w:sz w:val="24"/>
                <w:szCs w:val="24"/>
                <w:lang w:val="pt-BR"/>
              </w:rPr>
              <w:t>.</w:t>
            </w:r>
          </w:p>
        </w:tc>
      </w:tr>
      <w:tr w:rsidR="001F769A" w:rsidTr="007C33DD">
        <w:tc>
          <w:tcPr>
            <w:tcW w:w="670" w:type="dxa"/>
            <w:vAlign w:val="center"/>
          </w:tcPr>
          <w:p w:rsidR="001F769A" w:rsidRPr="00F91B2C" w:rsidRDefault="00001315"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lastRenderedPageBreak/>
              <w:t>3</w:t>
            </w:r>
          </w:p>
        </w:tc>
        <w:tc>
          <w:tcPr>
            <w:tcW w:w="1741" w:type="dxa"/>
            <w:vAlign w:val="center"/>
          </w:tcPr>
          <w:p w:rsidR="001F769A" w:rsidRPr="00634AB1" w:rsidRDefault="001F769A" w:rsidP="00B84F43">
            <w:pPr>
              <w:tabs>
                <w:tab w:val="left" w:pos="10155"/>
              </w:tabs>
              <w:rPr>
                <w:rFonts w:ascii="Times New Roman" w:hAnsi="Times New Roman" w:cs="Times New Roman"/>
                <w:sz w:val="24"/>
                <w:szCs w:val="24"/>
                <w:lang w:val="en-US"/>
              </w:rPr>
            </w:pPr>
            <w:r w:rsidRPr="00F91B2C">
              <w:rPr>
                <w:rFonts w:asciiTheme="majorHAnsi" w:hAnsiTheme="majorHAnsi" w:cstheme="majorHAnsi"/>
                <w:b/>
                <w:sz w:val="24"/>
                <w:szCs w:val="24"/>
                <w:lang w:val="en-US"/>
              </w:rPr>
              <w:t xml:space="preserve">Về thời </w:t>
            </w:r>
            <w:r w:rsidRPr="00C370B0">
              <w:rPr>
                <w:rFonts w:asciiTheme="majorHAnsi" w:hAnsiTheme="majorHAnsi" w:cstheme="majorHAnsi"/>
                <w:b/>
                <w:sz w:val="24"/>
                <w:szCs w:val="24"/>
                <w:lang w:val="en-US"/>
              </w:rPr>
              <w:t xml:space="preserve">điểm tính số dư phát hành cam kết bảo lãnh và cách tính số dư phát hành cam kết bảo lãnh </w:t>
            </w:r>
          </w:p>
        </w:tc>
        <w:tc>
          <w:tcPr>
            <w:tcW w:w="5103" w:type="dxa"/>
          </w:tcPr>
          <w:p w:rsidR="001F769A" w:rsidRPr="00CA3E43" w:rsidRDefault="001F769A" w:rsidP="009F3033">
            <w:pPr>
              <w:tabs>
                <w:tab w:val="left" w:pos="10155"/>
              </w:tabs>
              <w:jc w:val="both"/>
              <w:rPr>
                <w:rFonts w:asciiTheme="majorHAnsi" w:hAnsiTheme="majorHAnsi" w:cstheme="majorHAnsi"/>
                <w:sz w:val="24"/>
                <w:szCs w:val="24"/>
                <w:lang w:val="nl-NL"/>
              </w:rPr>
            </w:pPr>
            <w:r w:rsidRPr="00CA3E43">
              <w:rPr>
                <w:rFonts w:asciiTheme="majorHAnsi" w:hAnsiTheme="majorHAnsi" w:cstheme="majorHAnsi"/>
                <w:sz w:val="24"/>
                <w:szCs w:val="24"/>
                <w:lang w:val="nl-NL"/>
              </w:rPr>
              <w:t>- Bổ sung một khoản vào Điều 6 Thông tư 07 quy định: “</w:t>
            </w:r>
            <w:r w:rsidRPr="00CA3E43">
              <w:rPr>
                <w:rFonts w:asciiTheme="majorHAnsi" w:hAnsiTheme="majorHAnsi" w:cstheme="majorHAnsi"/>
                <w:i/>
                <w:sz w:val="24"/>
                <w:szCs w:val="24"/>
                <w:lang w:val="nl-NL"/>
              </w:rPr>
              <w:t>Số dư bảo lãnh được tính kể từ ngày phát hành cam kết bảo lãnh cho khách hàng</w:t>
            </w:r>
            <w:r w:rsidRPr="00CA3E43">
              <w:rPr>
                <w:rFonts w:asciiTheme="majorHAnsi" w:hAnsiTheme="majorHAnsi" w:cstheme="majorHAnsi"/>
                <w:sz w:val="24"/>
                <w:szCs w:val="24"/>
                <w:lang w:val="nl-NL"/>
              </w:rPr>
              <w:t>”.</w:t>
            </w:r>
          </w:p>
          <w:p w:rsidR="001F769A" w:rsidRPr="00CA3E43" w:rsidRDefault="001F769A" w:rsidP="00B84F43">
            <w:pPr>
              <w:spacing w:before="40"/>
              <w:jc w:val="both"/>
              <w:rPr>
                <w:rFonts w:asciiTheme="majorHAnsi" w:hAnsiTheme="majorHAnsi" w:cstheme="majorHAnsi"/>
                <w:sz w:val="24"/>
                <w:szCs w:val="24"/>
              </w:rPr>
            </w:pPr>
            <w:r w:rsidRPr="00CA3E43">
              <w:rPr>
                <w:rFonts w:asciiTheme="majorHAnsi" w:hAnsiTheme="majorHAnsi" w:cstheme="majorHAnsi"/>
                <w:sz w:val="24"/>
                <w:szCs w:val="24"/>
                <w:lang w:val="nl-NL"/>
              </w:rPr>
              <w:t>- Bổ sung một khoản vào Điều 12 Thông tư 07 quy định: “</w:t>
            </w:r>
            <w:r w:rsidR="00B84F43" w:rsidRPr="00B84F43">
              <w:rPr>
                <w:rFonts w:asciiTheme="majorHAnsi" w:hAnsiTheme="majorHAnsi" w:cstheme="majorHAnsi"/>
                <w:i/>
                <w:color w:val="000000"/>
                <w:sz w:val="24"/>
                <w:szCs w:val="24"/>
                <w:lang w:val="nl-NL" w:eastAsia="vi-VN"/>
              </w:rPr>
              <w:t>Số dư bảo lãnh đối với chủ đầu tư được xác định bằng</w:t>
            </w:r>
            <w:r w:rsidR="00B84F43" w:rsidRPr="00B84F43">
              <w:rPr>
                <w:rFonts w:asciiTheme="majorHAnsi" w:hAnsiTheme="majorHAnsi" w:cstheme="majorHAnsi"/>
                <w:i/>
                <w:sz w:val="24"/>
                <w:szCs w:val="24"/>
                <w:lang w:val="nl-NL"/>
              </w:rPr>
              <w:t xml:space="preserve"> số tiền </w:t>
            </w:r>
            <w:r w:rsidR="00B84F43" w:rsidRPr="00B84F43">
              <w:rPr>
                <w:rFonts w:asciiTheme="majorHAnsi" w:hAnsiTheme="majorHAnsi" w:cstheme="majorHAnsi"/>
                <w:i/>
                <w:color w:val="000000"/>
                <w:sz w:val="24"/>
                <w:szCs w:val="24"/>
                <w:shd w:val="clear" w:color="auto" w:fill="FFFFFF"/>
                <w:lang w:val="nl-NL"/>
              </w:rPr>
              <w:t xml:space="preserve">bên mua, bên thuê mua </w:t>
            </w:r>
            <w:r w:rsidR="00B84F43" w:rsidRPr="00B84F43">
              <w:rPr>
                <w:rFonts w:asciiTheme="majorHAnsi" w:hAnsiTheme="majorHAnsi" w:cstheme="majorHAnsi"/>
                <w:i/>
                <w:sz w:val="24"/>
                <w:szCs w:val="24"/>
                <w:lang w:val="nl-NL"/>
              </w:rPr>
              <w:t xml:space="preserve">đã ứng trước cho chủ đầu tư </w:t>
            </w:r>
            <w:r w:rsidR="00B84F43" w:rsidRPr="00B84F43">
              <w:rPr>
                <w:rStyle w:val="apple-converted-space"/>
                <w:rFonts w:asciiTheme="majorHAnsi" w:hAnsiTheme="majorHAnsi" w:cstheme="majorHAnsi"/>
                <w:i/>
                <w:color w:val="000000"/>
                <w:sz w:val="24"/>
                <w:szCs w:val="24"/>
                <w:shd w:val="clear" w:color="auto" w:fill="FFFFFF"/>
                <w:lang w:val="nl-NL"/>
              </w:rPr>
              <w:t>trước khi nhà ở được bàn giao</w:t>
            </w:r>
            <w:r w:rsidRPr="00B84F43">
              <w:rPr>
                <w:rStyle w:val="apple-converted-space"/>
                <w:rFonts w:asciiTheme="majorHAnsi" w:hAnsiTheme="majorHAnsi" w:cstheme="majorHAnsi"/>
                <w:color w:val="000000"/>
                <w:sz w:val="24"/>
                <w:szCs w:val="24"/>
                <w:shd w:val="clear" w:color="auto" w:fill="FFFFFF"/>
                <w:lang w:val="nl-NL"/>
              </w:rPr>
              <w:t>”.</w:t>
            </w:r>
          </w:p>
        </w:tc>
        <w:tc>
          <w:tcPr>
            <w:tcW w:w="7371" w:type="dxa"/>
          </w:tcPr>
          <w:p w:rsidR="001F769A" w:rsidRPr="00B84F43" w:rsidRDefault="001F769A" w:rsidP="00B84F43">
            <w:pPr>
              <w:tabs>
                <w:tab w:val="left" w:pos="10155"/>
              </w:tabs>
              <w:jc w:val="both"/>
              <w:rPr>
                <w:rFonts w:ascii="Times New Roman" w:hAnsi="Times New Roman" w:cs="Times New Roman"/>
                <w:sz w:val="24"/>
                <w:szCs w:val="24"/>
              </w:rPr>
            </w:pPr>
            <w:r w:rsidRPr="007531AF">
              <w:rPr>
                <w:rFonts w:ascii="Times New Roman" w:hAnsi="Times New Roman" w:cs="Times New Roman"/>
                <w:sz w:val="24"/>
                <w:szCs w:val="24"/>
              </w:rPr>
              <w:t xml:space="preserve">Thông tư 07 không hướng dẫn về thời điểm hạch toán </w:t>
            </w:r>
            <w:r w:rsidR="00B84F43" w:rsidRPr="00B84F43">
              <w:rPr>
                <w:rFonts w:ascii="Times New Roman" w:hAnsi="Times New Roman" w:cs="Times New Roman"/>
                <w:sz w:val="24"/>
                <w:szCs w:val="24"/>
              </w:rPr>
              <w:t xml:space="preserve">số dư </w:t>
            </w:r>
            <w:r w:rsidRPr="007531AF">
              <w:rPr>
                <w:rFonts w:ascii="Times New Roman" w:hAnsi="Times New Roman" w:cs="Times New Roman"/>
                <w:sz w:val="24"/>
                <w:szCs w:val="24"/>
              </w:rPr>
              <w:t>cấp bảo lãnh cho chủ đầu tư được tính từ thời điểm nào</w:t>
            </w:r>
            <w:r w:rsidRPr="00001315">
              <w:rPr>
                <w:rFonts w:ascii="Times New Roman" w:hAnsi="Times New Roman" w:cs="Times New Roman"/>
                <w:sz w:val="24"/>
                <w:szCs w:val="24"/>
              </w:rPr>
              <w:t xml:space="preserve"> nên việc bổ sung quy định làm rõ là cần thiết.</w:t>
            </w:r>
          </w:p>
          <w:p w:rsidR="00B84F43" w:rsidRPr="00B47E14" w:rsidRDefault="00B84F43" w:rsidP="00B84F43">
            <w:pPr>
              <w:tabs>
                <w:tab w:val="left" w:pos="10155"/>
              </w:tabs>
              <w:jc w:val="both"/>
              <w:rPr>
                <w:rFonts w:ascii="Times New Roman" w:hAnsi="Times New Roman" w:cs="Times New Roman"/>
                <w:sz w:val="24"/>
                <w:szCs w:val="24"/>
              </w:rPr>
            </w:pPr>
            <w:r w:rsidRPr="00B84F43">
              <w:rPr>
                <w:rFonts w:ascii="Times New Roman" w:hAnsi="Times New Roman" w:cs="Times New Roman"/>
                <w:sz w:val="24"/>
                <w:szCs w:val="24"/>
              </w:rPr>
              <w:t>Hiện có 2 phương án quy định:</w:t>
            </w:r>
          </w:p>
          <w:p w:rsidR="00B84F43" w:rsidRDefault="00B84F43" w:rsidP="00B84F43">
            <w:pPr>
              <w:tabs>
                <w:tab w:val="left" w:pos="10155"/>
              </w:tabs>
              <w:jc w:val="both"/>
              <w:rPr>
                <w:rFonts w:asciiTheme="majorHAnsi" w:hAnsiTheme="majorHAnsi" w:cstheme="majorHAnsi"/>
                <w:i/>
                <w:sz w:val="24"/>
                <w:szCs w:val="24"/>
                <w:lang w:val="nl-NL"/>
              </w:rPr>
            </w:pPr>
            <w:r w:rsidRPr="00B47E14">
              <w:rPr>
                <w:rFonts w:asciiTheme="majorHAnsi" w:hAnsiTheme="majorHAnsi" w:cstheme="majorHAnsi"/>
                <w:sz w:val="24"/>
                <w:szCs w:val="24"/>
              </w:rPr>
              <w:t xml:space="preserve">- Phương án 1: </w:t>
            </w:r>
            <w:r w:rsidRPr="00B84F43">
              <w:rPr>
                <w:rFonts w:asciiTheme="majorHAnsi" w:hAnsiTheme="majorHAnsi" w:cstheme="majorHAnsi"/>
                <w:sz w:val="24"/>
                <w:szCs w:val="24"/>
                <w:lang w:val="nl-NL"/>
              </w:rPr>
              <w:t xml:space="preserve">Số dư bảo lãnh được tính </w:t>
            </w:r>
            <w:r w:rsidRPr="00B84F43">
              <w:rPr>
                <w:rFonts w:asciiTheme="majorHAnsi" w:hAnsiTheme="majorHAnsi" w:cstheme="majorHAnsi"/>
                <w:b/>
                <w:sz w:val="24"/>
                <w:szCs w:val="24"/>
                <w:lang w:val="nl-NL"/>
              </w:rPr>
              <w:t>kể từ ngày phát hành</w:t>
            </w:r>
            <w:r w:rsidRPr="00B84F43">
              <w:rPr>
                <w:rFonts w:asciiTheme="majorHAnsi" w:hAnsiTheme="majorHAnsi" w:cstheme="majorHAnsi"/>
                <w:sz w:val="24"/>
                <w:szCs w:val="24"/>
                <w:lang w:val="nl-NL"/>
              </w:rPr>
              <w:t xml:space="preserve"> </w:t>
            </w:r>
            <w:r w:rsidRPr="00B84F43">
              <w:rPr>
                <w:rFonts w:asciiTheme="majorHAnsi" w:hAnsiTheme="majorHAnsi" w:cstheme="majorHAnsi"/>
                <w:b/>
                <w:sz w:val="24"/>
                <w:szCs w:val="24"/>
                <w:lang w:val="nl-NL"/>
              </w:rPr>
              <w:t xml:space="preserve">cam kết bảo lãnh </w:t>
            </w:r>
            <w:r w:rsidRPr="00B84F43">
              <w:rPr>
                <w:rFonts w:asciiTheme="majorHAnsi" w:hAnsiTheme="majorHAnsi" w:cstheme="majorHAnsi"/>
                <w:sz w:val="24"/>
                <w:szCs w:val="24"/>
                <w:lang w:val="nl-NL"/>
              </w:rPr>
              <w:t>cho khách hàng.</w:t>
            </w:r>
          </w:p>
          <w:p w:rsidR="00B84F43" w:rsidRDefault="00B84F43" w:rsidP="00B84F43">
            <w:pPr>
              <w:tabs>
                <w:tab w:val="left" w:pos="10155"/>
              </w:tabs>
              <w:jc w:val="both"/>
              <w:rPr>
                <w:rFonts w:asciiTheme="majorHAnsi" w:hAnsiTheme="majorHAnsi" w:cstheme="majorHAnsi"/>
                <w:b/>
                <w:sz w:val="24"/>
                <w:szCs w:val="24"/>
                <w:lang w:val="nl-NL"/>
              </w:rPr>
            </w:pPr>
            <w:r>
              <w:rPr>
                <w:rFonts w:asciiTheme="majorHAnsi" w:hAnsiTheme="majorHAnsi" w:cstheme="majorHAnsi"/>
                <w:sz w:val="24"/>
                <w:szCs w:val="24"/>
                <w:lang w:val="nl-NL"/>
              </w:rPr>
              <w:t xml:space="preserve">- Phương án 2: Số dư bảo lãnh được tính </w:t>
            </w:r>
            <w:r w:rsidRPr="00B84F43">
              <w:rPr>
                <w:rFonts w:asciiTheme="majorHAnsi" w:hAnsiTheme="majorHAnsi" w:cstheme="majorHAnsi"/>
                <w:b/>
                <w:sz w:val="24"/>
                <w:szCs w:val="24"/>
                <w:lang w:val="nl-NL"/>
              </w:rPr>
              <w:t>kể từ ngày cam kết bảo lãnh có hiệu lực.</w:t>
            </w:r>
          </w:p>
          <w:p w:rsidR="00B84F43" w:rsidRPr="00B84F43" w:rsidRDefault="00B84F43" w:rsidP="00B84F43">
            <w:pPr>
              <w:tabs>
                <w:tab w:val="left" w:pos="10155"/>
              </w:tabs>
              <w:jc w:val="both"/>
              <w:rPr>
                <w:rFonts w:asciiTheme="majorHAnsi" w:hAnsiTheme="majorHAnsi" w:cstheme="majorHAnsi"/>
                <w:sz w:val="24"/>
                <w:szCs w:val="24"/>
                <w:lang w:val="nl-NL"/>
              </w:rPr>
            </w:pPr>
            <w:r w:rsidRPr="00B84F43">
              <w:rPr>
                <w:rFonts w:asciiTheme="majorHAnsi" w:hAnsiTheme="majorHAnsi" w:cstheme="majorHAnsi"/>
                <w:sz w:val="24"/>
                <w:szCs w:val="24"/>
                <w:lang w:val="nl-NL"/>
              </w:rPr>
              <w:t xml:space="preserve">Đề nghị </w:t>
            </w:r>
            <w:r>
              <w:rPr>
                <w:rFonts w:asciiTheme="majorHAnsi" w:hAnsiTheme="majorHAnsi" w:cstheme="majorHAnsi"/>
                <w:sz w:val="24"/>
                <w:szCs w:val="24"/>
                <w:lang w:val="nl-NL"/>
              </w:rPr>
              <w:t>các đơn vị có ý kiến lựa chọn. Dự thảo Thông tư đang lựa chọn phương án 1.</w:t>
            </w:r>
          </w:p>
        </w:tc>
      </w:tr>
      <w:tr w:rsidR="00EB1D03" w:rsidTr="007C33DD">
        <w:tc>
          <w:tcPr>
            <w:tcW w:w="670" w:type="dxa"/>
            <w:vAlign w:val="center"/>
          </w:tcPr>
          <w:p w:rsidR="00EB1D03" w:rsidRDefault="00EB1D03"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4</w:t>
            </w:r>
          </w:p>
        </w:tc>
        <w:tc>
          <w:tcPr>
            <w:tcW w:w="1741" w:type="dxa"/>
            <w:vAlign w:val="center"/>
          </w:tcPr>
          <w:p w:rsidR="00EB1D03" w:rsidRPr="008061A9" w:rsidRDefault="00EB1D03" w:rsidP="00EB1D03">
            <w:pPr>
              <w:tabs>
                <w:tab w:val="left" w:pos="10155"/>
              </w:tabs>
              <w:rPr>
                <w:rFonts w:asciiTheme="majorHAnsi" w:hAnsiTheme="majorHAnsi" w:cstheme="majorHAnsi"/>
                <w:b/>
                <w:i/>
                <w:sz w:val="24"/>
                <w:szCs w:val="24"/>
                <w:lang w:val="en-US"/>
              </w:rPr>
            </w:pPr>
            <w:r w:rsidRPr="008061A9">
              <w:rPr>
                <w:rFonts w:asciiTheme="majorHAnsi" w:hAnsiTheme="majorHAnsi" w:cstheme="majorHAnsi"/>
                <w:b/>
                <w:i/>
                <w:sz w:val="24"/>
                <w:szCs w:val="24"/>
                <w:lang w:val="en-US"/>
              </w:rPr>
              <w:t xml:space="preserve">Về </w:t>
            </w:r>
            <w:r>
              <w:rPr>
                <w:rFonts w:asciiTheme="majorHAnsi" w:hAnsiTheme="majorHAnsi" w:cstheme="majorHAnsi"/>
                <w:b/>
                <w:i/>
                <w:sz w:val="24"/>
                <w:szCs w:val="24"/>
                <w:lang w:val="en-US"/>
              </w:rPr>
              <w:t xml:space="preserve">thời </w:t>
            </w:r>
            <w:r w:rsidR="00CE0D14">
              <w:rPr>
                <w:rFonts w:asciiTheme="majorHAnsi" w:hAnsiTheme="majorHAnsi" w:cstheme="majorHAnsi"/>
                <w:b/>
                <w:i/>
                <w:sz w:val="24"/>
                <w:szCs w:val="24"/>
                <w:lang w:val="en-US"/>
              </w:rPr>
              <w:t>điểm bắt đầu có</w:t>
            </w:r>
            <w:r w:rsidRPr="008061A9">
              <w:rPr>
                <w:rFonts w:asciiTheme="majorHAnsi" w:hAnsiTheme="majorHAnsi" w:cstheme="majorHAnsi"/>
                <w:b/>
                <w:i/>
                <w:sz w:val="24"/>
                <w:szCs w:val="24"/>
                <w:lang w:val="en-US"/>
              </w:rPr>
              <w:t xml:space="preserve"> hiệu lực của cam kết bả</w:t>
            </w:r>
            <w:r>
              <w:rPr>
                <w:rFonts w:asciiTheme="majorHAnsi" w:hAnsiTheme="majorHAnsi" w:cstheme="majorHAnsi"/>
                <w:b/>
                <w:i/>
                <w:sz w:val="24"/>
                <w:szCs w:val="24"/>
                <w:lang w:val="en-US"/>
              </w:rPr>
              <w:t>o lãnh</w:t>
            </w:r>
          </w:p>
          <w:p w:rsidR="00EB1D03" w:rsidRPr="00C370B0" w:rsidRDefault="00EB1D03" w:rsidP="00C370B0">
            <w:pPr>
              <w:tabs>
                <w:tab w:val="left" w:pos="10155"/>
              </w:tabs>
              <w:rPr>
                <w:rFonts w:asciiTheme="majorHAnsi" w:hAnsiTheme="majorHAnsi" w:cstheme="majorHAnsi"/>
                <w:b/>
                <w:sz w:val="24"/>
                <w:szCs w:val="24"/>
                <w:lang w:val="en-US"/>
              </w:rPr>
            </w:pPr>
          </w:p>
        </w:tc>
        <w:tc>
          <w:tcPr>
            <w:tcW w:w="5103" w:type="dxa"/>
          </w:tcPr>
          <w:p w:rsidR="00EB1D03" w:rsidRPr="00CE0D14" w:rsidRDefault="00EB1D03" w:rsidP="00CE0D14">
            <w:pPr>
              <w:tabs>
                <w:tab w:val="left" w:pos="10155"/>
              </w:tabs>
              <w:jc w:val="both"/>
              <w:rPr>
                <w:rFonts w:asciiTheme="majorHAnsi" w:hAnsiTheme="majorHAnsi" w:cstheme="majorHAnsi"/>
                <w:sz w:val="24"/>
                <w:szCs w:val="24"/>
                <w:lang w:val="en-US"/>
              </w:rPr>
            </w:pPr>
            <w:r w:rsidRPr="007A2F3C">
              <w:rPr>
                <w:rFonts w:asciiTheme="majorHAnsi" w:hAnsiTheme="majorHAnsi" w:cstheme="majorHAnsi"/>
                <w:sz w:val="24"/>
                <w:szCs w:val="24"/>
              </w:rPr>
              <w:t>Bố sung một khoản vào Điều 12 quy định</w:t>
            </w:r>
            <w:r w:rsidRPr="007B5EEB">
              <w:rPr>
                <w:rFonts w:asciiTheme="majorHAnsi" w:hAnsiTheme="majorHAnsi" w:cstheme="majorHAnsi"/>
                <w:sz w:val="24"/>
                <w:szCs w:val="24"/>
              </w:rPr>
              <w:t xml:space="preserve"> trong trường hợp bảo lãnh nhà ở hình thành trong tương lai</w:t>
            </w:r>
            <w:r w:rsidR="00CE0D14">
              <w:rPr>
                <w:rFonts w:asciiTheme="majorHAnsi" w:hAnsiTheme="majorHAnsi" w:cstheme="majorHAnsi"/>
                <w:sz w:val="24"/>
                <w:szCs w:val="24"/>
                <w:lang w:val="en-US"/>
              </w:rPr>
              <w:t xml:space="preserve"> thì</w:t>
            </w:r>
            <w:r w:rsidRPr="007A2F3C">
              <w:rPr>
                <w:rFonts w:asciiTheme="majorHAnsi" w:hAnsiTheme="majorHAnsi" w:cstheme="majorHAnsi"/>
                <w:sz w:val="24"/>
                <w:szCs w:val="24"/>
              </w:rPr>
              <w:t xml:space="preserve"> </w:t>
            </w:r>
            <w:r w:rsidR="00CE0D14">
              <w:rPr>
                <w:rFonts w:asciiTheme="majorHAnsi" w:hAnsiTheme="majorHAnsi" w:cstheme="majorHAnsi"/>
                <w:sz w:val="24"/>
                <w:szCs w:val="24"/>
                <w:lang w:val="en-US"/>
              </w:rPr>
              <w:t>t</w:t>
            </w:r>
            <w:r w:rsidR="00CE0D14" w:rsidRPr="00CE0D14">
              <w:rPr>
                <w:rFonts w:asciiTheme="majorHAnsi" w:hAnsiTheme="majorHAnsi" w:cstheme="majorHAnsi"/>
                <w:sz w:val="24"/>
                <w:szCs w:val="24"/>
              </w:rPr>
              <w:t>hời hạn hiệu lực của c</w:t>
            </w:r>
            <w:r w:rsidR="00CE0D14" w:rsidRPr="00CE0D14">
              <w:rPr>
                <w:rFonts w:asciiTheme="majorHAnsi" w:hAnsiTheme="majorHAnsi" w:cstheme="majorHAnsi"/>
                <w:color w:val="000000"/>
                <w:sz w:val="24"/>
                <w:szCs w:val="24"/>
                <w:shd w:val="clear" w:color="auto" w:fill="FFFFFF"/>
              </w:rPr>
              <w:t>am kết bảo lãnh được xác định bắt đầu chậm nhất kể từ ngày bên mua, thuê mua nhà ở nộp tiền lần đầu cho chủ đầ</w:t>
            </w:r>
            <w:r w:rsidR="00CE0D14">
              <w:rPr>
                <w:rFonts w:asciiTheme="majorHAnsi" w:hAnsiTheme="majorHAnsi" w:cstheme="majorHAnsi"/>
                <w:color w:val="000000"/>
                <w:sz w:val="24"/>
                <w:szCs w:val="24"/>
                <w:shd w:val="clear" w:color="auto" w:fill="FFFFFF"/>
              </w:rPr>
              <w:t>u tư</w:t>
            </w:r>
            <w:r w:rsidR="00CE0D14">
              <w:rPr>
                <w:rFonts w:asciiTheme="majorHAnsi" w:hAnsiTheme="majorHAnsi" w:cstheme="majorHAnsi"/>
                <w:color w:val="000000"/>
                <w:sz w:val="24"/>
                <w:szCs w:val="24"/>
                <w:shd w:val="clear" w:color="auto" w:fill="FFFFFF"/>
                <w:lang w:val="en-US"/>
              </w:rPr>
              <w:t>.</w:t>
            </w:r>
          </w:p>
        </w:tc>
        <w:tc>
          <w:tcPr>
            <w:tcW w:w="7371" w:type="dxa"/>
          </w:tcPr>
          <w:p w:rsidR="00EB7A78" w:rsidRPr="00FF40AE" w:rsidRDefault="00EB7A78" w:rsidP="00EB7A78">
            <w:pPr>
              <w:spacing w:before="40"/>
              <w:jc w:val="both"/>
              <w:rPr>
                <w:rFonts w:asciiTheme="majorHAnsi" w:hAnsiTheme="majorHAnsi" w:cstheme="majorHAnsi"/>
                <w:sz w:val="24"/>
                <w:szCs w:val="24"/>
              </w:rPr>
            </w:pPr>
            <w:r>
              <w:rPr>
                <w:rFonts w:asciiTheme="majorHAnsi" w:hAnsiTheme="majorHAnsi" w:cstheme="majorHAnsi"/>
                <w:sz w:val="24"/>
                <w:szCs w:val="24"/>
                <w:lang w:val="en-US"/>
              </w:rPr>
              <w:t>Đ</w:t>
            </w:r>
            <w:r w:rsidRPr="00774670">
              <w:rPr>
                <w:rFonts w:asciiTheme="majorHAnsi" w:hAnsiTheme="majorHAnsi" w:cstheme="majorHAnsi"/>
                <w:sz w:val="24"/>
                <w:szCs w:val="24"/>
              </w:rPr>
              <w:t xml:space="preserve">ể đảm bảo tuân thủ Điều 56 Luật </w:t>
            </w:r>
            <w:r w:rsidRPr="00346D92">
              <w:rPr>
                <w:rFonts w:asciiTheme="majorHAnsi" w:hAnsiTheme="majorHAnsi" w:cstheme="majorHAnsi"/>
                <w:sz w:val="24"/>
                <w:szCs w:val="24"/>
              </w:rPr>
              <w:t>KD</w:t>
            </w:r>
            <w:r w:rsidRPr="00774670">
              <w:rPr>
                <w:rFonts w:asciiTheme="majorHAnsi" w:hAnsiTheme="majorHAnsi" w:cstheme="majorHAnsi"/>
                <w:sz w:val="24"/>
                <w:szCs w:val="24"/>
              </w:rPr>
              <w:t>BĐS</w:t>
            </w:r>
            <w:r>
              <w:rPr>
                <w:rFonts w:asciiTheme="majorHAnsi" w:hAnsiTheme="majorHAnsi" w:cstheme="majorHAnsi"/>
                <w:sz w:val="24"/>
                <w:szCs w:val="24"/>
                <w:lang w:val="en-US"/>
              </w:rPr>
              <w:t xml:space="preserve"> và an toàn cho người mua, thuê mua nhà</w:t>
            </w:r>
            <w:r w:rsidRPr="00346D92">
              <w:rPr>
                <w:rFonts w:asciiTheme="majorHAnsi" w:hAnsiTheme="majorHAnsi" w:cstheme="majorHAnsi"/>
                <w:sz w:val="24"/>
                <w:szCs w:val="24"/>
              </w:rPr>
              <w:t>,</w:t>
            </w:r>
            <w:r w:rsidRPr="00747152">
              <w:rPr>
                <w:rFonts w:asciiTheme="majorHAnsi" w:hAnsiTheme="majorHAnsi" w:cstheme="majorHAnsi"/>
                <w:sz w:val="24"/>
                <w:szCs w:val="24"/>
              </w:rPr>
              <w:t xml:space="preserve"> </w:t>
            </w:r>
            <w:r>
              <w:rPr>
                <w:rFonts w:asciiTheme="majorHAnsi" w:hAnsiTheme="majorHAnsi" w:cstheme="majorHAnsi"/>
                <w:sz w:val="24"/>
                <w:szCs w:val="24"/>
                <w:lang w:val="en-US"/>
              </w:rPr>
              <w:t>cần thiết</w:t>
            </w:r>
            <w:r>
              <w:rPr>
                <w:rFonts w:asciiTheme="majorHAnsi" w:hAnsiTheme="majorHAnsi" w:cstheme="majorHAnsi"/>
                <w:sz w:val="24"/>
                <w:szCs w:val="24"/>
              </w:rPr>
              <w:t xml:space="preserve"> quy</w:t>
            </w:r>
            <w:r w:rsidRPr="00747152">
              <w:rPr>
                <w:rFonts w:asciiTheme="majorHAnsi" w:hAnsiTheme="majorHAnsi" w:cstheme="majorHAnsi"/>
                <w:sz w:val="24"/>
                <w:szCs w:val="24"/>
              </w:rPr>
              <w:t xml:space="preserve"> định</w:t>
            </w:r>
            <w:r w:rsidRPr="003312C6">
              <w:rPr>
                <w:rFonts w:asciiTheme="majorHAnsi" w:hAnsiTheme="majorHAnsi" w:cstheme="majorHAnsi"/>
                <w:sz w:val="24"/>
                <w:szCs w:val="24"/>
              </w:rPr>
              <w:t xml:space="preserve"> </w:t>
            </w:r>
            <w:r>
              <w:rPr>
                <w:rFonts w:asciiTheme="majorHAnsi" w:hAnsiTheme="majorHAnsi" w:cstheme="majorHAnsi"/>
                <w:sz w:val="24"/>
                <w:szCs w:val="24"/>
              </w:rPr>
              <w:t>th</w:t>
            </w:r>
            <w:r w:rsidRPr="003312C6">
              <w:rPr>
                <w:rFonts w:asciiTheme="majorHAnsi" w:hAnsiTheme="majorHAnsi" w:cstheme="majorHAnsi"/>
                <w:sz w:val="24"/>
                <w:szCs w:val="24"/>
              </w:rPr>
              <w:t xml:space="preserve">ời điểm bắt đầu </w:t>
            </w:r>
            <w:r w:rsidRPr="00346D92">
              <w:rPr>
                <w:rFonts w:asciiTheme="majorHAnsi" w:hAnsiTheme="majorHAnsi" w:cstheme="majorHAnsi"/>
                <w:sz w:val="24"/>
                <w:szCs w:val="24"/>
              </w:rPr>
              <w:t>có</w:t>
            </w:r>
            <w:r w:rsidRPr="00747152">
              <w:rPr>
                <w:rFonts w:asciiTheme="majorHAnsi" w:hAnsiTheme="majorHAnsi" w:cstheme="majorHAnsi"/>
                <w:sz w:val="24"/>
                <w:szCs w:val="24"/>
              </w:rPr>
              <w:t xml:space="preserve"> </w:t>
            </w:r>
            <w:r w:rsidRPr="005865CD">
              <w:rPr>
                <w:rFonts w:asciiTheme="majorHAnsi" w:hAnsiTheme="majorHAnsi" w:cstheme="majorHAnsi"/>
                <w:sz w:val="24"/>
                <w:szCs w:val="24"/>
              </w:rPr>
              <w:t>hiệu lực</w:t>
            </w:r>
            <w:r w:rsidRPr="00346D92">
              <w:rPr>
                <w:rFonts w:asciiTheme="majorHAnsi" w:hAnsiTheme="majorHAnsi" w:cstheme="majorHAnsi"/>
                <w:sz w:val="24"/>
                <w:szCs w:val="24"/>
              </w:rPr>
              <w:t xml:space="preserve"> của</w:t>
            </w:r>
            <w:r w:rsidRPr="00774670">
              <w:rPr>
                <w:rFonts w:asciiTheme="majorHAnsi" w:hAnsiTheme="majorHAnsi" w:cstheme="majorHAnsi"/>
                <w:sz w:val="24"/>
                <w:szCs w:val="24"/>
              </w:rPr>
              <w:t xml:space="preserve"> bảo lãnh</w:t>
            </w:r>
            <w:r w:rsidRPr="004B69F7">
              <w:rPr>
                <w:rFonts w:asciiTheme="majorHAnsi" w:hAnsiTheme="majorHAnsi" w:cstheme="majorHAnsi"/>
                <w:sz w:val="24"/>
                <w:szCs w:val="24"/>
              </w:rPr>
              <w:t xml:space="preserve"> trong bán, cho thuê mua nhà ở hình thành trong tương lai</w:t>
            </w:r>
            <w:r w:rsidRPr="00774670">
              <w:rPr>
                <w:rFonts w:asciiTheme="majorHAnsi" w:hAnsiTheme="majorHAnsi" w:cstheme="majorHAnsi"/>
                <w:sz w:val="24"/>
                <w:szCs w:val="24"/>
              </w:rPr>
              <w:t xml:space="preserve"> </w:t>
            </w:r>
            <w:r w:rsidRPr="003312C6">
              <w:rPr>
                <w:rFonts w:asciiTheme="majorHAnsi" w:hAnsiTheme="majorHAnsi" w:cstheme="majorHAnsi"/>
                <w:sz w:val="24"/>
                <w:szCs w:val="24"/>
              </w:rPr>
              <w:t>phải không chậ</w:t>
            </w:r>
            <w:r>
              <w:rPr>
                <w:rFonts w:asciiTheme="majorHAnsi" w:hAnsiTheme="majorHAnsi" w:cstheme="majorHAnsi"/>
                <w:sz w:val="24"/>
                <w:szCs w:val="24"/>
              </w:rPr>
              <w:t>m hơn th</w:t>
            </w:r>
            <w:r w:rsidRPr="003312C6">
              <w:rPr>
                <w:rFonts w:asciiTheme="majorHAnsi" w:hAnsiTheme="majorHAnsi" w:cstheme="majorHAnsi"/>
                <w:sz w:val="24"/>
                <w:szCs w:val="24"/>
              </w:rPr>
              <w:t>ời điểm người mua, thuê mua nộp tiền lần đầu để mua, thuê mua nhà cho chủ đầu tư.</w:t>
            </w:r>
          </w:p>
          <w:p w:rsidR="00EB1D03" w:rsidRPr="00EB7A78" w:rsidRDefault="00EB1D03" w:rsidP="0065076E">
            <w:pPr>
              <w:tabs>
                <w:tab w:val="left" w:pos="10155"/>
              </w:tabs>
              <w:jc w:val="both"/>
              <w:rPr>
                <w:rFonts w:asciiTheme="majorHAnsi" w:hAnsiTheme="majorHAnsi" w:cstheme="majorHAnsi"/>
                <w:sz w:val="24"/>
                <w:szCs w:val="24"/>
              </w:rPr>
            </w:pPr>
          </w:p>
        </w:tc>
      </w:tr>
      <w:tr w:rsidR="001F769A" w:rsidTr="007C33DD">
        <w:tc>
          <w:tcPr>
            <w:tcW w:w="670" w:type="dxa"/>
            <w:vAlign w:val="center"/>
          </w:tcPr>
          <w:p w:rsidR="001F769A" w:rsidRPr="00A7388B" w:rsidRDefault="00EB7A78"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5</w:t>
            </w:r>
          </w:p>
        </w:tc>
        <w:tc>
          <w:tcPr>
            <w:tcW w:w="1741" w:type="dxa"/>
            <w:vAlign w:val="center"/>
          </w:tcPr>
          <w:p w:rsidR="001F769A" w:rsidRPr="00C370B0" w:rsidRDefault="001F769A" w:rsidP="00C370B0">
            <w:pPr>
              <w:tabs>
                <w:tab w:val="left" w:pos="10155"/>
              </w:tabs>
              <w:rPr>
                <w:rFonts w:asciiTheme="majorHAnsi" w:hAnsiTheme="majorHAnsi" w:cstheme="majorHAnsi"/>
                <w:b/>
                <w:sz w:val="24"/>
                <w:szCs w:val="24"/>
                <w:lang w:val="en-US"/>
              </w:rPr>
            </w:pPr>
            <w:r w:rsidRPr="00C370B0">
              <w:rPr>
                <w:rFonts w:asciiTheme="majorHAnsi" w:hAnsiTheme="majorHAnsi" w:cstheme="majorHAnsi"/>
                <w:b/>
                <w:sz w:val="24"/>
                <w:szCs w:val="24"/>
                <w:lang w:val="en-US"/>
              </w:rPr>
              <w:t>Về quy định điều kiện lựa chọn NHTM đủ năng lực thực hiện bảo lãnh trong bán, cho thuê mua nhà ở HTTTL</w:t>
            </w:r>
          </w:p>
        </w:tc>
        <w:tc>
          <w:tcPr>
            <w:tcW w:w="5103" w:type="dxa"/>
          </w:tcPr>
          <w:p w:rsidR="001F769A" w:rsidRPr="00CA3E43" w:rsidRDefault="001F769A" w:rsidP="00845B49">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 Bổ sung một khoản tại Điều 12 Thông tư 07 quy định về điều kiện lựa chọn NHTM đủ năng lực thực hiện bảo lãnh.</w:t>
            </w:r>
          </w:p>
          <w:p w:rsidR="001F769A" w:rsidRPr="00CA3E43" w:rsidRDefault="001F769A" w:rsidP="00845B49">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 Bổ sung quy định tại khoản 2 Điều 34 Thông tư 07 về trách nhiệm của Cơ quan TTGSNH về việc công bố danh sách NHTM thực hiện bảo lãnh.</w:t>
            </w:r>
            <w:bookmarkStart w:id="0" w:name="_GoBack"/>
            <w:bookmarkEnd w:id="0"/>
          </w:p>
          <w:p w:rsidR="001F769A" w:rsidRPr="00CA3E43" w:rsidRDefault="001F769A" w:rsidP="009F3033">
            <w:pPr>
              <w:tabs>
                <w:tab w:val="left" w:pos="10155"/>
              </w:tabs>
              <w:jc w:val="both"/>
              <w:rPr>
                <w:rFonts w:asciiTheme="majorHAnsi" w:hAnsiTheme="majorHAnsi" w:cstheme="majorHAnsi"/>
                <w:sz w:val="24"/>
                <w:szCs w:val="24"/>
                <w:lang w:val="en-US"/>
              </w:rPr>
            </w:pPr>
          </w:p>
        </w:tc>
        <w:tc>
          <w:tcPr>
            <w:tcW w:w="7371" w:type="dxa"/>
          </w:tcPr>
          <w:p w:rsidR="001F769A" w:rsidRDefault="001F769A" w:rsidP="0065076E">
            <w:pPr>
              <w:tabs>
                <w:tab w:val="left" w:pos="10155"/>
              </w:tabs>
              <w:jc w:val="both"/>
              <w:rPr>
                <w:rFonts w:asciiTheme="majorHAnsi" w:hAnsiTheme="majorHAnsi" w:cstheme="majorHAnsi"/>
                <w:color w:val="000000"/>
                <w:sz w:val="24"/>
                <w:szCs w:val="24"/>
                <w:shd w:val="clear" w:color="auto" w:fill="FFFFFF"/>
                <w:lang w:val="en-US"/>
              </w:rPr>
            </w:pPr>
            <w:r>
              <w:rPr>
                <w:rFonts w:asciiTheme="majorHAnsi" w:hAnsiTheme="majorHAnsi" w:cstheme="majorHAnsi"/>
                <w:sz w:val="24"/>
                <w:szCs w:val="24"/>
                <w:lang w:val="en-US"/>
              </w:rPr>
              <w:t>N</w:t>
            </w:r>
            <w:r>
              <w:rPr>
                <w:rFonts w:asciiTheme="majorHAnsi" w:hAnsiTheme="majorHAnsi" w:cstheme="majorHAnsi"/>
                <w:color w:val="000000"/>
                <w:sz w:val="24"/>
                <w:szCs w:val="24"/>
                <w:shd w:val="clear" w:color="auto" w:fill="FFFFFF"/>
                <w:lang w:val="en-US"/>
              </w:rPr>
              <w:t xml:space="preserve">gân hàng phải đáp ứng toàn bộ các điều kiện bao gồm điều kiện </w:t>
            </w:r>
            <w:r w:rsidRPr="002C78C9">
              <w:rPr>
                <w:rFonts w:asciiTheme="majorHAnsi" w:hAnsiTheme="majorHAnsi" w:cstheme="majorHAnsi"/>
                <w:color w:val="000000"/>
                <w:sz w:val="24"/>
                <w:szCs w:val="24"/>
                <w:shd w:val="clear" w:color="auto" w:fill="FFFFFF"/>
                <w:lang w:val="en-US"/>
              </w:rPr>
              <w:t>không bị kiểm soát đặc biệ</w:t>
            </w:r>
            <w:r>
              <w:rPr>
                <w:rFonts w:asciiTheme="majorHAnsi" w:hAnsiTheme="majorHAnsi" w:cstheme="majorHAnsi"/>
                <w:color w:val="000000"/>
                <w:sz w:val="24"/>
                <w:szCs w:val="24"/>
                <w:shd w:val="clear" w:color="auto" w:fill="FFFFFF"/>
                <w:lang w:val="en-US"/>
              </w:rPr>
              <w:t>t,</w:t>
            </w:r>
            <w:r w:rsidRPr="002C78C9">
              <w:rPr>
                <w:rFonts w:asciiTheme="majorHAnsi" w:hAnsiTheme="majorHAnsi" w:cstheme="majorHAnsi"/>
                <w:color w:val="000000"/>
                <w:sz w:val="24"/>
                <w:szCs w:val="24"/>
                <w:shd w:val="clear" w:color="auto" w:fill="FFFFFF"/>
                <w:lang w:val="en-US"/>
              </w:rPr>
              <w:t xml:space="preserve"> không trong giai đoạn bị sáp nhập theo quyết định của NHNN</w:t>
            </w:r>
            <w:r>
              <w:rPr>
                <w:rFonts w:asciiTheme="majorHAnsi" w:hAnsiTheme="majorHAnsi" w:cstheme="majorHAnsi"/>
                <w:color w:val="000000"/>
                <w:sz w:val="24"/>
                <w:szCs w:val="24"/>
                <w:shd w:val="clear" w:color="auto" w:fill="FFFFFF"/>
                <w:lang w:val="en-US"/>
              </w:rPr>
              <w:t xml:space="preserve"> khi thực hiện hoạt động bảo lãnh trong bán, cho thuê mua nhà ở hình thành trong tương lai.</w:t>
            </w:r>
          </w:p>
          <w:p w:rsidR="001F769A" w:rsidRPr="001365D6" w:rsidRDefault="001F769A" w:rsidP="009A2592">
            <w:pPr>
              <w:tabs>
                <w:tab w:val="left" w:pos="10155"/>
              </w:tabs>
              <w:jc w:val="both"/>
              <w:rPr>
                <w:rFonts w:asciiTheme="majorHAnsi" w:hAnsiTheme="majorHAnsi" w:cstheme="majorHAnsi"/>
                <w:sz w:val="24"/>
                <w:szCs w:val="24"/>
                <w:lang w:val="en-US"/>
              </w:rPr>
            </w:pPr>
          </w:p>
        </w:tc>
      </w:tr>
      <w:tr w:rsidR="001F769A" w:rsidRPr="007F11A9" w:rsidTr="007C33DD">
        <w:tc>
          <w:tcPr>
            <w:tcW w:w="670" w:type="dxa"/>
            <w:vAlign w:val="center"/>
          </w:tcPr>
          <w:p w:rsidR="001F769A" w:rsidRPr="00A7388B" w:rsidRDefault="00EB7A78"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6</w:t>
            </w:r>
          </w:p>
        </w:tc>
        <w:tc>
          <w:tcPr>
            <w:tcW w:w="1741" w:type="dxa"/>
            <w:vAlign w:val="center"/>
          </w:tcPr>
          <w:p w:rsidR="001F769A" w:rsidRPr="0083189C" w:rsidRDefault="001F769A" w:rsidP="00C370B0">
            <w:pPr>
              <w:tabs>
                <w:tab w:val="left" w:pos="10155"/>
              </w:tabs>
              <w:rPr>
                <w:rFonts w:asciiTheme="majorHAnsi" w:hAnsiTheme="majorHAnsi" w:cstheme="majorHAnsi"/>
                <w:b/>
                <w:sz w:val="24"/>
                <w:szCs w:val="24"/>
                <w:lang w:val="en-US"/>
              </w:rPr>
            </w:pPr>
            <w:r w:rsidRPr="0083189C">
              <w:rPr>
                <w:rFonts w:asciiTheme="majorHAnsi" w:hAnsiTheme="majorHAnsi" w:cstheme="majorHAnsi"/>
                <w:b/>
                <w:sz w:val="24"/>
                <w:szCs w:val="24"/>
                <w:lang w:val="en-US"/>
              </w:rPr>
              <w:t>Đánh giá chủ đầu tư</w:t>
            </w:r>
          </w:p>
        </w:tc>
        <w:tc>
          <w:tcPr>
            <w:tcW w:w="5103" w:type="dxa"/>
          </w:tcPr>
          <w:p w:rsidR="001F769A" w:rsidRPr="00CA3E43" w:rsidRDefault="001F769A" w:rsidP="002C78C9">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 xml:space="preserve">Sửa đổi điểm c khoản 1 Điều 12 Thông tư 07 </w:t>
            </w:r>
            <w:r>
              <w:rPr>
                <w:rFonts w:asciiTheme="majorHAnsi" w:hAnsiTheme="majorHAnsi" w:cstheme="majorHAnsi"/>
                <w:sz w:val="24"/>
                <w:szCs w:val="24"/>
                <w:lang w:val="en-US"/>
              </w:rPr>
              <w:t>theo hướng</w:t>
            </w:r>
            <w:r w:rsidRPr="00CA3E43">
              <w:rPr>
                <w:rFonts w:asciiTheme="majorHAnsi" w:hAnsiTheme="majorHAnsi" w:cstheme="majorHAnsi"/>
                <w:sz w:val="24"/>
                <w:szCs w:val="24"/>
                <w:lang w:val="en-US"/>
              </w:rPr>
              <w:t>: “</w:t>
            </w:r>
            <w:r w:rsidRPr="00CA3E43">
              <w:rPr>
                <w:rFonts w:asciiTheme="majorHAnsi" w:hAnsiTheme="majorHAnsi" w:cstheme="majorHAnsi"/>
                <w:i/>
                <w:color w:val="000000"/>
                <w:sz w:val="24"/>
                <w:szCs w:val="24"/>
                <w:shd w:val="clear" w:color="auto" w:fill="FFFFFF"/>
              </w:rPr>
              <w:t>Ngân hàng thương mại đánh giá chủ đầu tư có khả năng thực hiện đúng tiến độ dự án và sử dụng số tiền ứng trước, các khoản tiền khác của bên mua, bên thuê mua đã trả cho chủ đầu tư đúng mục đích</w:t>
            </w:r>
            <w:r w:rsidRPr="00CA3E43">
              <w:rPr>
                <w:rFonts w:asciiTheme="majorHAnsi" w:hAnsiTheme="majorHAnsi" w:cstheme="majorHAnsi"/>
                <w:i/>
                <w:color w:val="000000"/>
                <w:sz w:val="24"/>
                <w:szCs w:val="24"/>
                <w:shd w:val="clear" w:color="auto" w:fill="FFFFFF"/>
                <w:lang w:val="en-US"/>
              </w:rPr>
              <w:t xml:space="preserve"> (trừ trường hợp ngân hàng thương mại thực hiện bảo lãnh cho chủ đầu tư trên cơ sở bảo lãnh đối ứng của bên bảo lãnh đối ứng)”.</w:t>
            </w:r>
          </w:p>
        </w:tc>
        <w:tc>
          <w:tcPr>
            <w:tcW w:w="7371" w:type="dxa"/>
          </w:tcPr>
          <w:p w:rsidR="001F769A" w:rsidRPr="00CA3E43" w:rsidRDefault="001F769A" w:rsidP="00220733">
            <w:pPr>
              <w:tabs>
                <w:tab w:val="left" w:pos="10155"/>
              </w:tabs>
              <w:jc w:val="both"/>
              <w:rPr>
                <w:rFonts w:asciiTheme="majorHAnsi" w:hAnsiTheme="majorHAnsi" w:cstheme="majorHAnsi"/>
                <w:color w:val="000000"/>
                <w:sz w:val="24"/>
                <w:szCs w:val="24"/>
                <w:shd w:val="clear" w:color="auto" w:fill="FFFFFF"/>
                <w:lang w:val="en-US"/>
              </w:rPr>
            </w:pPr>
            <w:r>
              <w:rPr>
                <w:rFonts w:asciiTheme="majorHAnsi" w:hAnsiTheme="majorHAnsi" w:cstheme="majorHAnsi"/>
                <w:sz w:val="24"/>
                <w:szCs w:val="24"/>
                <w:lang w:val="en-US"/>
              </w:rPr>
              <w:t xml:space="preserve">Quy định tại điểm </w:t>
            </w:r>
            <w:r w:rsidRPr="00CA3E43">
              <w:rPr>
                <w:rFonts w:asciiTheme="majorHAnsi" w:hAnsiTheme="majorHAnsi" w:cstheme="majorHAnsi"/>
                <w:sz w:val="24"/>
                <w:szCs w:val="24"/>
                <w:lang w:val="en-US"/>
              </w:rPr>
              <w:t xml:space="preserve">c khoản 1 Điều 12 </w:t>
            </w:r>
            <w:r>
              <w:rPr>
                <w:rFonts w:asciiTheme="majorHAnsi" w:hAnsiTheme="majorHAnsi" w:cstheme="majorHAnsi"/>
                <w:sz w:val="24"/>
                <w:szCs w:val="24"/>
                <w:lang w:val="en-US"/>
              </w:rPr>
              <w:t>hiện nay</w:t>
            </w:r>
            <w:r w:rsidRPr="00CA3E43">
              <w:rPr>
                <w:rFonts w:asciiTheme="majorHAnsi" w:hAnsiTheme="majorHAnsi" w:cstheme="majorHAnsi"/>
                <w:color w:val="000000"/>
                <w:sz w:val="24"/>
                <w:szCs w:val="24"/>
                <w:shd w:val="clear" w:color="auto" w:fill="FFFFFF"/>
                <w:lang w:val="en-US"/>
              </w:rPr>
              <w:t xml:space="preserve"> chỉ phù hợp trong trường hợp NHTM bảo lãnh trực tiếp cho chủ đầu tư, còn trường hợp NHTM bảo lãnh trên cơ sở bảo lãnh đối ứng của TCTD, chi nhánh ngân hàng nước ngoài khác thì việc đánh giá chủ đầu tư là của bên bảo lãnh đối ứng (do chủ đầu tư là khách hàng của bên bảo lãnh đối ứng), còn NHTM chỉ đánh giá bên bảo lãnh đối ứng (là khách hàng của NHTM) theo quy định tại khoản 10 Điều 3, Điều 10 Thông tư 07.</w:t>
            </w:r>
          </w:p>
          <w:p w:rsidR="001F769A" w:rsidRPr="007F11A9" w:rsidRDefault="001F769A" w:rsidP="00220733">
            <w:pPr>
              <w:tabs>
                <w:tab w:val="left" w:pos="10155"/>
              </w:tabs>
              <w:spacing w:after="120"/>
              <w:jc w:val="both"/>
              <w:rPr>
                <w:rFonts w:asciiTheme="majorHAnsi" w:hAnsiTheme="majorHAnsi" w:cstheme="majorHAnsi"/>
                <w:sz w:val="24"/>
                <w:szCs w:val="24"/>
                <w:lang w:val="en-US"/>
              </w:rPr>
            </w:pPr>
            <w:r w:rsidRPr="00CA3E43">
              <w:rPr>
                <w:rFonts w:asciiTheme="majorHAnsi" w:hAnsiTheme="majorHAnsi" w:cstheme="majorHAnsi"/>
                <w:color w:val="000000"/>
                <w:sz w:val="24"/>
                <w:szCs w:val="24"/>
                <w:shd w:val="clear" w:color="auto" w:fill="FFFFFF"/>
                <w:lang w:val="en-US"/>
              </w:rPr>
              <w:t>Mặt khác, quy định này cũng để thống nhất quy định tại Thông tư 07 với các bảo lãnh khác ngoài bảo lãnh nhà ở hình thành trong tương lai.</w:t>
            </w:r>
          </w:p>
        </w:tc>
      </w:tr>
      <w:tr w:rsidR="001F769A" w:rsidTr="007C33DD">
        <w:tc>
          <w:tcPr>
            <w:tcW w:w="670" w:type="dxa"/>
            <w:vAlign w:val="center"/>
          </w:tcPr>
          <w:p w:rsidR="001F769A" w:rsidRPr="0083189C" w:rsidRDefault="00EB7A78"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lastRenderedPageBreak/>
              <w:t>7</w:t>
            </w:r>
          </w:p>
        </w:tc>
        <w:tc>
          <w:tcPr>
            <w:tcW w:w="1741" w:type="dxa"/>
            <w:vAlign w:val="center"/>
          </w:tcPr>
          <w:p w:rsidR="001F769A" w:rsidRPr="0014683A" w:rsidRDefault="001F769A" w:rsidP="00C370B0">
            <w:pPr>
              <w:tabs>
                <w:tab w:val="left" w:pos="10155"/>
              </w:tabs>
              <w:rPr>
                <w:rFonts w:asciiTheme="majorHAnsi" w:hAnsiTheme="majorHAnsi" w:cstheme="majorHAnsi"/>
                <w:sz w:val="24"/>
                <w:szCs w:val="24"/>
                <w:lang w:val="en-US"/>
              </w:rPr>
            </w:pPr>
            <w:r w:rsidRPr="00EB7A78">
              <w:rPr>
                <w:rFonts w:asciiTheme="majorHAnsi" w:hAnsiTheme="majorHAnsi" w:cstheme="majorHAnsi"/>
                <w:b/>
                <w:color w:val="000000"/>
                <w:sz w:val="24"/>
                <w:szCs w:val="24"/>
                <w:shd w:val="clear" w:color="auto" w:fill="FFFFFF"/>
                <w:lang w:val="en-US"/>
              </w:rPr>
              <w:t>Cụm từ</w:t>
            </w:r>
            <w:r>
              <w:rPr>
                <w:rFonts w:asciiTheme="majorHAnsi" w:hAnsiTheme="majorHAnsi" w:cstheme="majorHAnsi"/>
                <w:color w:val="000000"/>
                <w:sz w:val="24"/>
                <w:szCs w:val="24"/>
                <w:shd w:val="clear" w:color="auto" w:fill="FFFFFF"/>
                <w:lang w:val="en-US"/>
              </w:rPr>
              <w:t xml:space="preserve"> “</w:t>
            </w:r>
            <w:r w:rsidRPr="0014683A">
              <w:rPr>
                <w:rFonts w:asciiTheme="majorHAnsi" w:hAnsiTheme="majorHAnsi" w:cstheme="majorHAnsi"/>
                <w:b/>
                <w:color w:val="000000"/>
                <w:sz w:val="24"/>
                <w:szCs w:val="24"/>
                <w:shd w:val="clear" w:color="auto" w:fill="FFFFFF"/>
              </w:rPr>
              <w:t>kể từ ngày bàn giao nhà cho bên mua, bên thuê mua nhà ở</w:t>
            </w:r>
            <w:r>
              <w:rPr>
                <w:rFonts w:asciiTheme="majorHAnsi" w:hAnsiTheme="majorHAnsi" w:cstheme="majorHAnsi"/>
                <w:b/>
                <w:color w:val="000000"/>
                <w:sz w:val="24"/>
                <w:szCs w:val="24"/>
                <w:shd w:val="clear" w:color="auto" w:fill="FFFFFF"/>
                <w:lang w:val="en-US"/>
              </w:rPr>
              <w:t xml:space="preserve">” </w:t>
            </w:r>
          </w:p>
        </w:tc>
        <w:tc>
          <w:tcPr>
            <w:tcW w:w="5103" w:type="dxa"/>
          </w:tcPr>
          <w:p w:rsidR="001F769A" w:rsidRPr="00CA3E43" w:rsidRDefault="001F769A" w:rsidP="00CA3E43">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Sửa đổi điểm e khoản 1 Điều 12 Thông tư 07</w:t>
            </w:r>
            <w:r>
              <w:rPr>
                <w:rFonts w:asciiTheme="majorHAnsi" w:hAnsiTheme="majorHAnsi" w:cstheme="majorHAnsi"/>
                <w:sz w:val="24"/>
                <w:szCs w:val="24"/>
                <w:lang w:val="en-US"/>
              </w:rPr>
              <w:t xml:space="preserve"> theo hướng làm rõ ngày bàn giao nhà là ngày bàn giao dự kiến ghi trong hợp đồng mua, thuê mua nhà.</w:t>
            </w:r>
          </w:p>
        </w:tc>
        <w:tc>
          <w:tcPr>
            <w:tcW w:w="7371" w:type="dxa"/>
          </w:tcPr>
          <w:p w:rsidR="001F769A" w:rsidRDefault="001F769A" w:rsidP="00732C53">
            <w:pPr>
              <w:tabs>
                <w:tab w:val="left" w:pos="10155"/>
              </w:tabs>
              <w:spacing w:after="120"/>
              <w:jc w:val="both"/>
              <w:rPr>
                <w:rFonts w:asciiTheme="majorHAnsi" w:hAnsiTheme="majorHAnsi" w:cstheme="majorHAnsi"/>
                <w:sz w:val="24"/>
                <w:szCs w:val="24"/>
                <w:lang w:val="en-US"/>
              </w:rPr>
            </w:pPr>
            <w:r>
              <w:rPr>
                <w:rFonts w:asciiTheme="majorHAnsi" w:hAnsiTheme="majorHAnsi" w:cstheme="majorHAnsi"/>
                <w:sz w:val="24"/>
                <w:szCs w:val="24"/>
                <w:lang w:val="en-US"/>
              </w:rPr>
              <w:t>Quy định này nhằm giúp</w:t>
            </w:r>
            <w:r w:rsidRPr="00CA3E43">
              <w:rPr>
                <w:rFonts w:asciiTheme="majorHAnsi" w:hAnsiTheme="majorHAnsi" w:cstheme="majorHAnsi"/>
                <w:sz w:val="24"/>
                <w:szCs w:val="24"/>
                <w:lang w:val="en-US"/>
              </w:rPr>
              <w:t xml:space="preserve"> các TCTD thống nhất cách hiểu ngày bàn giao nhà là ngày bàn giao dự kiến ghi trong hợp đồng mua, bán nhà.</w:t>
            </w:r>
          </w:p>
        </w:tc>
      </w:tr>
      <w:tr w:rsidR="0058306A" w:rsidTr="00EB7A78">
        <w:tc>
          <w:tcPr>
            <w:tcW w:w="14885" w:type="dxa"/>
            <w:gridSpan w:val="4"/>
            <w:vAlign w:val="center"/>
          </w:tcPr>
          <w:p w:rsidR="0058306A" w:rsidRPr="0058306A" w:rsidRDefault="0058306A" w:rsidP="0058306A">
            <w:pPr>
              <w:tabs>
                <w:tab w:val="left" w:pos="10155"/>
              </w:tabs>
              <w:rPr>
                <w:rFonts w:asciiTheme="majorHAnsi" w:hAnsiTheme="majorHAnsi" w:cstheme="majorHAnsi"/>
                <w:b/>
                <w:sz w:val="24"/>
                <w:szCs w:val="24"/>
              </w:rPr>
            </w:pPr>
            <w:r w:rsidRPr="0058306A">
              <w:rPr>
                <w:rFonts w:asciiTheme="majorHAnsi" w:hAnsiTheme="majorHAnsi" w:cstheme="majorHAnsi"/>
                <w:b/>
                <w:sz w:val="24"/>
                <w:szCs w:val="24"/>
              </w:rPr>
              <w:t>Các nội dung khác của Thông tư 07</w:t>
            </w:r>
          </w:p>
          <w:p w:rsidR="0058306A" w:rsidRPr="0058306A" w:rsidRDefault="0058306A" w:rsidP="0058306A">
            <w:pPr>
              <w:tabs>
                <w:tab w:val="left" w:pos="10155"/>
              </w:tabs>
              <w:spacing w:after="120"/>
              <w:rPr>
                <w:rFonts w:asciiTheme="majorHAnsi" w:hAnsiTheme="majorHAnsi" w:cstheme="majorHAnsi"/>
                <w:sz w:val="24"/>
                <w:szCs w:val="24"/>
              </w:rPr>
            </w:pPr>
          </w:p>
        </w:tc>
      </w:tr>
      <w:tr w:rsidR="001F769A" w:rsidTr="007C33DD">
        <w:tc>
          <w:tcPr>
            <w:tcW w:w="670" w:type="dxa"/>
            <w:vAlign w:val="center"/>
          </w:tcPr>
          <w:p w:rsidR="001F769A" w:rsidRPr="00411CE2" w:rsidRDefault="00EB7A78" w:rsidP="00893160">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8</w:t>
            </w:r>
          </w:p>
        </w:tc>
        <w:tc>
          <w:tcPr>
            <w:tcW w:w="1741" w:type="dxa"/>
            <w:vAlign w:val="center"/>
          </w:tcPr>
          <w:p w:rsidR="001F769A" w:rsidRPr="00C370B0" w:rsidRDefault="001F769A" w:rsidP="00C370B0">
            <w:pPr>
              <w:tabs>
                <w:tab w:val="left" w:pos="10155"/>
              </w:tabs>
              <w:rPr>
                <w:rFonts w:asciiTheme="majorHAnsi" w:hAnsiTheme="majorHAnsi" w:cstheme="majorHAnsi"/>
                <w:b/>
                <w:sz w:val="24"/>
                <w:szCs w:val="24"/>
                <w:lang w:val="en-US"/>
              </w:rPr>
            </w:pPr>
            <w:r w:rsidRPr="00C370B0">
              <w:rPr>
                <w:rFonts w:asciiTheme="majorHAnsi" w:hAnsiTheme="majorHAnsi" w:cstheme="majorHAnsi"/>
                <w:b/>
                <w:sz w:val="24"/>
                <w:szCs w:val="24"/>
                <w:lang w:val="en-US"/>
              </w:rPr>
              <w:t xml:space="preserve">Về quy định bảo lãnh cho khách hàng là người không cư trú </w:t>
            </w:r>
          </w:p>
          <w:p w:rsidR="001F769A" w:rsidRPr="00D76E9D" w:rsidRDefault="001F769A" w:rsidP="00C370B0">
            <w:pPr>
              <w:tabs>
                <w:tab w:val="left" w:pos="10155"/>
              </w:tabs>
              <w:rPr>
                <w:rFonts w:asciiTheme="majorHAnsi" w:hAnsiTheme="majorHAnsi" w:cstheme="majorHAnsi"/>
                <w:sz w:val="24"/>
                <w:szCs w:val="24"/>
                <w:lang w:val="en-US"/>
              </w:rPr>
            </w:pPr>
          </w:p>
        </w:tc>
        <w:tc>
          <w:tcPr>
            <w:tcW w:w="5103" w:type="dxa"/>
          </w:tcPr>
          <w:p w:rsidR="001F769A" w:rsidRDefault="00EB7A78" w:rsidP="00CA3E43">
            <w:pPr>
              <w:spacing w:after="120"/>
              <w:jc w:val="both"/>
              <w:rPr>
                <w:rFonts w:asciiTheme="majorHAnsi" w:eastAsia="Times New Roman" w:hAnsiTheme="majorHAnsi" w:cstheme="majorHAnsi"/>
                <w:i/>
                <w:color w:val="000000"/>
                <w:sz w:val="24"/>
                <w:szCs w:val="24"/>
                <w:lang w:val="en-US" w:eastAsia="vi-VN"/>
              </w:rPr>
            </w:pPr>
            <w:r>
              <w:rPr>
                <w:rFonts w:asciiTheme="majorHAnsi" w:hAnsiTheme="majorHAnsi" w:cstheme="majorHAnsi"/>
                <w:sz w:val="24"/>
                <w:szCs w:val="24"/>
                <w:lang w:val="en-US"/>
              </w:rPr>
              <w:t xml:space="preserve">- </w:t>
            </w:r>
            <w:r w:rsidR="001F769A" w:rsidRPr="00CA3E43">
              <w:rPr>
                <w:rFonts w:asciiTheme="majorHAnsi" w:hAnsiTheme="majorHAnsi" w:cstheme="majorHAnsi"/>
                <w:sz w:val="24"/>
                <w:szCs w:val="24"/>
              </w:rPr>
              <w:t xml:space="preserve">Sửa đổi các cụm từ tại khoản 3, 4 Điều 11 Thông tư 07 </w:t>
            </w:r>
            <w:r w:rsidR="001F769A">
              <w:rPr>
                <w:rFonts w:asciiTheme="majorHAnsi" w:hAnsiTheme="majorHAnsi" w:cstheme="majorHAnsi"/>
                <w:sz w:val="24"/>
                <w:szCs w:val="24"/>
                <w:lang w:val="en-US"/>
              </w:rPr>
              <w:t>về“</w:t>
            </w:r>
            <w:r w:rsidR="001F769A" w:rsidRPr="00CA3E43">
              <w:rPr>
                <w:rFonts w:asciiTheme="majorHAnsi" w:eastAsia="Times New Roman" w:hAnsiTheme="majorHAnsi" w:cstheme="majorHAnsi"/>
                <w:i/>
                <w:color w:val="000000"/>
                <w:sz w:val="24"/>
                <w:szCs w:val="24"/>
                <w:lang w:eastAsia="vi-VN"/>
              </w:rPr>
              <w:t>người không cư trú tại VN</w:t>
            </w:r>
            <w:r w:rsidR="001F769A">
              <w:rPr>
                <w:rFonts w:asciiTheme="majorHAnsi" w:eastAsia="Times New Roman" w:hAnsiTheme="majorHAnsi" w:cstheme="majorHAnsi"/>
                <w:i/>
                <w:color w:val="000000"/>
                <w:sz w:val="24"/>
                <w:szCs w:val="24"/>
                <w:lang w:val="en-US" w:eastAsia="vi-VN"/>
              </w:rPr>
              <w:t>”</w:t>
            </w:r>
            <w:r w:rsidR="001F769A" w:rsidRPr="00CA3E43">
              <w:rPr>
                <w:rFonts w:asciiTheme="majorHAnsi" w:eastAsia="Times New Roman" w:hAnsiTheme="majorHAnsi" w:cstheme="majorHAnsi"/>
                <w:i/>
                <w:color w:val="000000"/>
                <w:sz w:val="24"/>
                <w:szCs w:val="24"/>
                <w:lang w:eastAsia="vi-VN"/>
              </w:rPr>
              <w:t xml:space="preserve">, </w:t>
            </w:r>
            <w:r w:rsidR="001F769A">
              <w:rPr>
                <w:rFonts w:asciiTheme="majorHAnsi" w:eastAsia="Times New Roman" w:hAnsiTheme="majorHAnsi" w:cstheme="majorHAnsi"/>
                <w:i/>
                <w:color w:val="000000"/>
                <w:sz w:val="24"/>
                <w:szCs w:val="24"/>
                <w:lang w:val="en-US" w:eastAsia="vi-VN"/>
              </w:rPr>
              <w:t>“</w:t>
            </w:r>
            <w:r w:rsidR="001F769A" w:rsidRPr="00CA3E43">
              <w:rPr>
                <w:rFonts w:asciiTheme="majorHAnsi" w:eastAsia="Times New Roman" w:hAnsiTheme="majorHAnsi" w:cstheme="majorHAnsi"/>
                <w:i/>
                <w:color w:val="000000"/>
                <w:sz w:val="24"/>
                <w:szCs w:val="24"/>
                <w:lang w:eastAsia="vi-VN"/>
              </w:rPr>
              <w:t>người không cư trú tại nước ngoài</w:t>
            </w:r>
            <w:r w:rsidR="001F769A">
              <w:rPr>
                <w:rFonts w:asciiTheme="majorHAnsi" w:eastAsia="Times New Roman" w:hAnsiTheme="majorHAnsi" w:cstheme="majorHAnsi"/>
                <w:i/>
                <w:color w:val="000000"/>
                <w:sz w:val="24"/>
                <w:szCs w:val="24"/>
                <w:lang w:val="en-US" w:eastAsia="vi-VN"/>
              </w:rPr>
              <w:t>”</w:t>
            </w:r>
            <w:r w:rsidR="001F769A" w:rsidRPr="00CA3E43">
              <w:rPr>
                <w:rFonts w:asciiTheme="majorHAnsi" w:eastAsia="Times New Roman" w:hAnsiTheme="majorHAnsi" w:cstheme="majorHAnsi"/>
                <w:i/>
                <w:color w:val="000000"/>
                <w:sz w:val="24"/>
                <w:szCs w:val="24"/>
                <w:lang w:eastAsia="vi-VN"/>
              </w:rPr>
              <w:t xml:space="preserve">, </w:t>
            </w:r>
            <w:r w:rsidR="001F769A">
              <w:rPr>
                <w:rFonts w:asciiTheme="majorHAnsi" w:eastAsia="Times New Roman" w:hAnsiTheme="majorHAnsi" w:cstheme="majorHAnsi"/>
                <w:i/>
                <w:color w:val="000000"/>
                <w:sz w:val="24"/>
                <w:szCs w:val="24"/>
                <w:lang w:val="en-US" w:eastAsia="vi-VN"/>
              </w:rPr>
              <w:t>“</w:t>
            </w:r>
            <w:r w:rsidR="001F769A" w:rsidRPr="00CA3E43">
              <w:rPr>
                <w:rFonts w:asciiTheme="majorHAnsi" w:eastAsia="Times New Roman" w:hAnsiTheme="majorHAnsi" w:cstheme="majorHAnsi"/>
                <w:i/>
                <w:color w:val="000000"/>
                <w:sz w:val="24"/>
                <w:szCs w:val="24"/>
                <w:lang w:eastAsia="vi-VN"/>
              </w:rPr>
              <w:t>bên được bảo lãnh tại VN</w:t>
            </w:r>
            <w:r w:rsidR="001F769A">
              <w:rPr>
                <w:rFonts w:asciiTheme="majorHAnsi" w:eastAsia="Times New Roman" w:hAnsiTheme="majorHAnsi" w:cstheme="majorHAnsi"/>
                <w:i/>
                <w:color w:val="000000"/>
                <w:sz w:val="24"/>
                <w:szCs w:val="24"/>
                <w:lang w:val="en-US" w:eastAsia="vi-VN"/>
              </w:rPr>
              <w:t>”</w:t>
            </w:r>
            <w:r w:rsidR="001F769A">
              <w:rPr>
                <w:rFonts w:asciiTheme="majorHAnsi" w:eastAsia="Times New Roman" w:hAnsiTheme="majorHAnsi" w:cstheme="majorHAnsi"/>
                <w:color w:val="000000"/>
                <w:sz w:val="24"/>
                <w:szCs w:val="24"/>
                <w:lang w:val="en-US" w:eastAsia="vi-VN"/>
              </w:rPr>
              <w:t xml:space="preserve"> vì chưa</w:t>
            </w:r>
            <w:r w:rsidR="001F769A" w:rsidRPr="00CA3E43">
              <w:rPr>
                <w:rFonts w:asciiTheme="majorHAnsi" w:eastAsia="Times New Roman" w:hAnsiTheme="majorHAnsi" w:cstheme="majorHAnsi"/>
                <w:color w:val="000000"/>
                <w:sz w:val="24"/>
                <w:szCs w:val="24"/>
                <w:lang w:val="en-US" w:eastAsia="vi-VN"/>
              </w:rPr>
              <w:t xml:space="preserve"> có định nghĩa rõ ràng</w:t>
            </w:r>
            <w:r w:rsidR="001F769A" w:rsidRPr="00CA3E43">
              <w:rPr>
                <w:rFonts w:asciiTheme="majorHAnsi" w:eastAsia="Times New Roman" w:hAnsiTheme="majorHAnsi" w:cstheme="majorHAnsi"/>
                <w:i/>
                <w:color w:val="000000"/>
                <w:sz w:val="24"/>
                <w:szCs w:val="24"/>
                <w:lang w:val="en-US" w:eastAsia="vi-VN"/>
              </w:rPr>
              <w:t>.</w:t>
            </w:r>
          </w:p>
          <w:p w:rsidR="00EB7A78" w:rsidRPr="00EB7A78" w:rsidRDefault="00EB7A78" w:rsidP="00CA3E43">
            <w:pPr>
              <w:spacing w:after="120"/>
              <w:jc w:val="both"/>
              <w:rPr>
                <w:rFonts w:asciiTheme="majorHAnsi" w:eastAsia="Times New Roman" w:hAnsiTheme="majorHAnsi" w:cstheme="majorHAnsi"/>
                <w:color w:val="000000"/>
                <w:sz w:val="24"/>
                <w:szCs w:val="24"/>
                <w:lang w:val="en-US" w:eastAsia="vi-VN"/>
              </w:rPr>
            </w:pPr>
            <w:r w:rsidRPr="00EB7A78">
              <w:rPr>
                <w:rFonts w:asciiTheme="majorHAnsi" w:eastAsia="Times New Roman" w:hAnsiTheme="majorHAnsi" w:cstheme="majorHAnsi"/>
                <w:color w:val="000000"/>
                <w:sz w:val="24"/>
                <w:szCs w:val="24"/>
                <w:lang w:val="en-US" w:eastAsia="vi-VN"/>
              </w:rPr>
              <w:t>- Ngoài ra, dự thảo Th</w:t>
            </w:r>
            <w:r>
              <w:rPr>
                <w:rFonts w:asciiTheme="majorHAnsi" w:eastAsia="Times New Roman" w:hAnsiTheme="majorHAnsi" w:cstheme="majorHAnsi"/>
                <w:color w:val="000000"/>
                <w:sz w:val="24"/>
                <w:szCs w:val="24"/>
                <w:lang w:val="en-US" w:eastAsia="vi-VN"/>
              </w:rPr>
              <w:t>ông tư đã thiết kế lại Điều 11 theo hướng tách riêng quy định về bảo lãnh cho khách hàng là người không cư trú của TCTD và chi nhánh ngân hàng nước ngoài để rõ ràng trong quá trình tham chiếu</w:t>
            </w:r>
            <w:r w:rsidR="006E6A06">
              <w:rPr>
                <w:rFonts w:asciiTheme="majorHAnsi" w:eastAsia="Times New Roman" w:hAnsiTheme="majorHAnsi" w:cstheme="majorHAnsi"/>
                <w:color w:val="000000"/>
                <w:sz w:val="24"/>
                <w:szCs w:val="24"/>
                <w:lang w:val="en-US" w:eastAsia="vi-VN"/>
              </w:rPr>
              <w:t>, thực hiện</w:t>
            </w:r>
            <w:r>
              <w:rPr>
                <w:rFonts w:asciiTheme="majorHAnsi" w:eastAsia="Times New Roman" w:hAnsiTheme="majorHAnsi" w:cstheme="majorHAnsi"/>
                <w:color w:val="000000"/>
                <w:sz w:val="24"/>
                <w:szCs w:val="24"/>
                <w:lang w:val="en-US" w:eastAsia="vi-VN"/>
              </w:rPr>
              <w:t>.</w:t>
            </w:r>
          </w:p>
          <w:p w:rsidR="001F769A" w:rsidRPr="00CA3E43" w:rsidRDefault="001F769A" w:rsidP="00B66D24">
            <w:pPr>
              <w:spacing w:after="120"/>
              <w:jc w:val="both"/>
              <w:rPr>
                <w:rFonts w:asciiTheme="majorHAnsi" w:hAnsiTheme="majorHAnsi" w:cstheme="majorHAnsi"/>
                <w:sz w:val="24"/>
                <w:szCs w:val="24"/>
              </w:rPr>
            </w:pPr>
          </w:p>
        </w:tc>
        <w:tc>
          <w:tcPr>
            <w:tcW w:w="7371" w:type="dxa"/>
          </w:tcPr>
          <w:p w:rsidR="001F769A" w:rsidRPr="00001315" w:rsidRDefault="001F769A" w:rsidP="004F47AF">
            <w:pPr>
              <w:tabs>
                <w:tab w:val="left" w:pos="10155"/>
              </w:tabs>
              <w:jc w:val="both"/>
              <w:rPr>
                <w:rFonts w:asciiTheme="majorHAnsi" w:hAnsiTheme="majorHAnsi" w:cstheme="majorHAnsi"/>
                <w:sz w:val="24"/>
                <w:szCs w:val="24"/>
              </w:rPr>
            </w:pPr>
            <w:r w:rsidRPr="00CA3E43">
              <w:rPr>
                <w:rFonts w:asciiTheme="majorHAnsi" w:hAnsiTheme="majorHAnsi" w:cstheme="majorHAnsi"/>
                <w:sz w:val="24"/>
                <w:szCs w:val="24"/>
              </w:rPr>
              <w:t>Vấn đề này đã được giải đáp tại mục VI.3 Bảng giải đáp Thông tư 07 đăng tải trên Website NHNN. Để thuận tiện cho các TCTD tham chiếu trong quá trình thực hiện, cần sửa đổi các cụm từ này tạ</w:t>
            </w:r>
            <w:r>
              <w:rPr>
                <w:rFonts w:asciiTheme="majorHAnsi" w:hAnsiTheme="majorHAnsi" w:cstheme="majorHAnsi"/>
                <w:sz w:val="24"/>
                <w:szCs w:val="24"/>
              </w:rPr>
              <w:t>i Thông tư 07</w:t>
            </w:r>
            <w:r w:rsidRPr="00001315">
              <w:rPr>
                <w:rFonts w:asciiTheme="majorHAnsi" w:hAnsiTheme="majorHAnsi" w:cstheme="majorHAnsi"/>
                <w:sz w:val="24"/>
                <w:szCs w:val="24"/>
              </w:rPr>
              <w:t xml:space="preserve"> theo hướng:</w:t>
            </w:r>
          </w:p>
          <w:p w:rsidR="001F769A" w:rsidRPr="00CA3E43" w:rsidRDefault="001F769A" w:rsidP="004F47AF">
            <w:pPr>
              <w:tabs>
                <w:tab w:val="left" w:pos="10155"/>
              </w:tabs>
              <w:jc w:val="both"/>
              <w:rPr>
                <w:rFonts w:asciiTheme="majorHAnsi" w:hAnsiTheme="majorHAnsi" w:cstheme="majorHAnsi"/>
                <w:sz w:val="24"/>
                <w:szCs w:val="24"/>
              </w:rPr>
            </w:pPr>
            <w:r w:rsidRPr="00001315">
              <w:rPr>
                <w:rFonts w:asciiTheme="majorHAnsi" w:hAnsiTheme="majorHAnsi" w:cstheme="majorHAnsi"/>
                <w:sz w:val="24"/>
                <w:szCs w:val="24"/>
              </w:rPr>
              <w:t>- S</w:t>
            </w:r>
            <w:r w:rsidRPr="00CA3E43">
              <w:rPr>
                <w:rFonts w:asciiTheme="majorHAnsi" w:hAnsiTheme="majorHAnsi" w:cstheme="majorHAnsi"/>
                <w:sz w:val="24"/>
                <w:szCs w:val="24"/>
              </w:rPr>
              <w:t>ửa cụm từ “Người không cư trú tại nước ngoài” thành “Người không cư trú hoạt động kinh doanh tại nước ngoài”;</w:t>
            </w:r>
          </w:p>
          <w:p w:rsidR="001F769A" w:rsidRPr="00CA3E43" w:rsidRDefault="001F769A" w:rsidP="004F47AF">
            <w:pPr>
              <w:tabs>
                <w:tab w:val="left" w:pos="10155"/>
              </w:tabs>
              <w:jc w:val="both"/>
              <w:rPr>
                <w:rFonts w:asciiTheme="majorHAnsi" w:hAnsiTheme="majorHAnsi" w:cstheme="majorHAnsi"/>
                <w:sz w:val="24"/>
                <w:szCs w:val="24"/>
              </w:rPr>
            </w:pPr>
            <w:r w:rsidRPr="00CA3E43">
              <w:rPr>
                <w:rFonts w:asciiTheme="majorHAnsi" w:hAnsiTheme="majorHAnsi" w:cstheme="majorHAnsi"/>
                <w:sz w:val="24"/>
                <w:szCs w:val="24"/>
              </w:rPr>
              <w:t>- Sửa cụm từ “Người không cư trú tại Việt Nam” thành “Người không cư trú hoạt động kinh doanh tại Việt Nam”;</w:t>
            </w:r>
          </w:p>
          <w:p w:rsidR="001F769A" w:rsidRPr="000674AD" w:rsidRDefault="001F769A" w:rsidP="004F47AF">
            <w:pPr>
              <w:tabs>
                <w:tab w:val="left" w:pos="10155"/>
              </w:tabs>
              <w:jc w:val="both"/>
              <w:rPr>
                <w:rFonts w:asciiTheme="majorHAnsi" w:hAnsiTheme="majorHAnsi" w:cstheme="majorHAnsi"/>
                <w:sz w:val="24"/>
                <w:szCs w:val="24"/>
              </w:rPr>
            </w:pPr>
            <w:r w:rsidRPr="00CA3E43">
              <w:rPr>
                <w:rFonts w:asciiTheme="majorHAnsi" w:hAnsiTheme="majorHAnsi" w:cstheme="majorHAnsi"/>
                <w:sz w:val="24"/>
                <w:szCs w:val="24"/>
              </w:rPr>
              <w:t xml:space="preserve">- </w:t>
            </w:r>
            <w:r w:rsidRPr="00B66D24">
              <w:rPr>
                <w:rFonts w:asciiTheme="majorHAnsi" w:hAnsiTheme="majorHAnsi" w:cstheme="majorHAnsi"/>
                <w:spacing w:val="-10"/>
                <w:sz w:val="24"/>
                <w:szCs w:val="24"/>
              </w:rPr>
              <w:t>Sửa cụm từ “Bên được bảo lãnh tại Việt Nam” thành “Bên được bảo lãnh hoạt động kinh doanh tại Việt Nam”</w:t>
            </w:r>
            <w:r w:rsidRPr="00411CE2">
              <w:rPr>
                <w:rFonts w:asciiTheme="majorHAnsi" w:hAnsiTheme="majorHAnsi" w:cstheme="majorHAnsi"/>
                <w:spacing w:val="-10"/>
                <w:sz w:val="24"/>
                <w:szCs w:val="24"/>
              </w:rPr>
              <w:t>.</w:t>
            </w:r>
          </w:p>
        </w:tc>
      </w:tr>
      <w:tr w:rsidR="001F769A" w:rsidTr="007C33DD">
        <w:tc>
          <w:tcPr>
            <w:tcW w:w="670" w:type="dxa"/>
            <w:vAlign w:val="center"/>
          </w:tcPr>
          <w:p w:rsidR="001F769A" w:rsidRPr="00B61FFD" w:rsidRDefault="00EB7A78" w:rsidP="00EB7A78">
            <w:pPr>
              <w:tabs>
                <w:tab w:val="left" w:pos="10155"/>
              </w:tabs>
              <w:jc w:val="center"/>
              <w:rPr>
                <w:rFonts w:asciiTheme="majorHAnsi" w:hAnsiTheme="majorHAnsi" w:cstheme="majorHAnsi"/>
                <w:b/>
                <w:sz w:val="24"/>
                <w:szCs w:val="24"/>
                <w:lang w:val="en-US"/>
              </w:rPr>
            </w:pPr>
            <w:r>
              <w:rPr>
                <w:rFonts w:asciiTheme="majorHAnsi" w:hAnsiTheme="majorHAnsi" w:cstheme="majorHAnsi"/>
                <w:b/>
                <w:sz w:val="24"/>
                <w:szCs w:val="24"/>
                <w:lang w:val="en-US"/>
              </w:rPr>
              <w:t>9</w:t>
            </w:r>
          </w:p>
        </w:tc>
        <w:tc>
          <w:tcPr>
            <w:tcW w:w="1741" w:type="dxa"/>
            <w:vAlign w:val="center"/>
          </w:tcPr>
          <w:p w:rsidR="001F769A" w:rsidRPr="00B61FFD" w:rsidRDefault="001F769A" w:rsidP="00B61FFD">
            <w:pPr>
              <w:tabs>
                <w:tab w:val="left" w:pos="10155"/>
              </w:tabs>
              <w:rPr>
                <w:rFonts w:asciiTheme="majorHAnsi" w:hAnsiTheme="majorHAnsi" w:cstheme="majorHAnsi"/>
                <w:b/>
                <w:sz w:val="24"/>
                <w:szCs w:val="24"/>
                <w:lang w:val="en-US"/>
              </w:rPr>
            </w:pPr>
            <w:r w:rsidRPr="00B61FFD">
              <w:rPr>
                <w:rFonts w:asciiTheme="majorHAnsi" w:hAnsiTheme="majorHAnsi" w:cstheme="majorHAnsi"/>
                <w:b/>
                <w:sz w:val="24"/>
                <w:szCs w:val="24"/>
                <w:lang w:val="en-US"/>
              </w:rPr>
              <w:t>Quy định về trả thay và hạch toán cho vay bắt buộc</w:t>
            </w:r>
          </w:p>
        </w:tc>
        <w:tc>
          <w:tcPr>
            <w:tcW w:w="5103" w:type="dxa"/>
          </w:tcPr>
          <w:p w:rsidR="001F769A" w:rsidRPr="00CA3E43" w:rsidRDefault="00E5176E" w:rsidP="00E5176E">
            <w:pPr>
              <w:spacing w:after="120"/>
              <w:jc w:val="both"/>
              <w:rPr>
                <w:rFonts w:asciiTheme="majorHAnsi" w:eastAsia="Times New Roman" w:hAnsiTheme="majorHAnsi" w:cstheme="majorHAnsi"/>
                <w:color w:val="000000"/>
                <w:sz w:val="24"/>
                <w:szCs w:val="24"/>
                <w:lang w:val="en-US" w:eastAsia="vi-VN"/>
              </w:rPr>
            </w:pPr>
            <w:r>
              <w:rPr>
                <w:rFonts w:asciiTheme="majorHAnsi" w:hAnsiTheme="majorHAnsi" w:cstheme="majorHAnsi"/>
                <w:sz w:val="24"/>
                <w:szCs w:val="24"/>
                <w:lang w:val="en-US"/>
              </w:rPr>
              <w:t>S</w:t>
            </w:r>
            <w:r w:rsidRPr="00CA3E43">
              <w:rPr>
                <w:rFonts w:asciiTheme="majorHAnsi" w:hAnsiTheme="majorHAnsi" w:cstheme="majorHAnsi"/>
                <w:sz w:val="24"/>
                <w:szCs w:val="24"/>
                <w:lang w:val="en-US"/>
              </w:rPr>
              <w:t>ửa đổi khoản 9 Điều 27 như sau: “</w:t>
            </w:r>
            <w:r w:rsidRPr="00CA3E43">
              <w:rPr>
                <w:rFonts w:asciiTheme="majorHAnsi" w:hAnsiTheme="majorHAnsi" w:cstheme="majorHAnsi"/>
                <w:i/>
                <w:color w:val="000000"/>
                <w:sz w:val="24"/>
                <w:szCs w:val="24"/>
                <w:shd w:val="clear" w:color="auto" w:fill="FFFFFF"/>
              </w:rPr>
              <w:t>Hạch toán ghi nợ cho bên được bảo lãnh (trong trường hợp bảo lãnh ngân hàng)ngay khi thực hiện nghĩa vụ bảo lãnh</w:t>
            </w:r>
            <w:r w:rsidRPr="00CA3E43">
              <w:rPr>
                <w:rFonts w:asciiTheme="majorHAnsi" w:hAnsiTheme="majorHAnsi" w:cstheme="majorHAnsi"/>
                <w:i/>
                <w:color w:val="000000"/>
                <w:sz w:val="24"/>
                <w:szCs w:val="24"/>
                <w:shd w:val="clear" w:color="auto" w:fill="FFFFFF"/>
                <w:lang w:val="en-US"/>
              </w:rPr>
              <w:t xml:space="preserve">; hoặc </w:t>
            </w:r>
            <w:r w:rsidRPr="00CA3E43">
              <w:rPr>
                <w:rFonts w:asciiTheme="majorHAnsi" w:hAnsiTheme="majorHAnsi" w:cstheme="majorHAnsi"/>
                <w:i/>
                <w:color w:val="000000"/>
                <w:sz w:val="24"/>
                <w:szCs w:val="24"/>
                <w:shd w:val="clear" w:color="auto" w:fill="FFFFFF"/>
              </w:rPr>
              <w:t>bên bảo lãnh đối ứng (trong trường hợp bảo lãnh trên cơ sở bảo lãnh đối ứng) ngay khi</w:t>
            </w:r>
            <w:r>
              <w:rPr>
                <w:rFonts w:asciiTheme="majorHAnsi" w:hAnsiTheme="majorHAnsi" w:cstheme="majorHAnsi"/>
                <w:i/>
                <w:color w:val="000000"/>
                <w:sz w:val="24"/>
                <w:szCs w:val="24"/>
                <w:shd w:val="clear" w:color="auto" w:fill="FFFFFF"/>
                <w:lang w:val="en-US"/>
              </w:rPr>
              <w:t xml:space="preserve"> </w:t>
            </w:r>
            <w:r w:rsidRPr="00CA3E43">
              <w:rPr>
                <w:rFonts w:asciiTheme="majorHAnsi" w:hAnsiTheme="majorHAnsi" w:cstheme="majorHAnsi"/>
                <w:i/>
                <w:color w:val="000000"/>
                <w:sz w:val="24"/>
                <w:szCs w:val="24"/>
                <w:shd w:val="clear" w:color="auto" w:fill="FFFFFF"/>
              </w:rPr>
              <w:t>bên bảo lãnh đối ứng không thực hiện hoặc thực hiện không đầy đủ nghĩa vụ đã cam kết</w:t>
            </w:r>
            <w:r w:rsidRPr="00CA3E43">
              <w:rPr>
                <w:rFonts w:asciiTheme="majorHAnsi" w:hAnsiTheme="majorHAnsi" w:cstheme="majorHAnsi"/>
                <w:i/>
                <w:color w:val="000000"/>
                <w:sz w:val="24"/>
                <w:szCs w:val="24"/>
                <w:shd w:val="clear" w:color="auto" w:fill="FFFFFF"/>
                <w:lang w:val="en-US"/>
              </w:rPr>
              <w:t>;</w:t>
            </w:r>
            <w:r w:rsidRPr="00CA3E43">
              <w:rPr>
                <w:rFonts w:asciiTheme="majorHAnsi" w:hAnsiTheme="majorHAnsi" w:cstheme="majorHAnsi"/>
                <w:i/>
                <w:color w:val="000000"/>
                <w:sz w:val="24"/>
                <w:szCs w:val="24"/>
                <w:shd w:val="clear" w:color="auto" w:fill="FFFFFF"/>
              </w:rPr>
              <w:t xml:space="preserve"> yêu cầu bên được bảo lãnh hoặc bên bảo lãnh đối ứng hoàn trả số tiền mà bên bảo lãnh đã trả thay theo cam kết</w:t>
            </w:r>
            <w:r w:rsidRPr="00CA3E43">
              <w:rPr>
                <w:rFonts w:asciiTheme="majorHAnsi" w:hAnsiTheme="majorHAnsi" w:cstheme="majorHAnsi"/>
                <w:i/>
                <w:color w:val="000000"/>
                <w:sz w:val="24"/>
                <w:szCs w:val="24"/>
                <w:shd w:val="clear" w:color="auto" w:fill="FFFFFF"/>
                <w:lang w:val="en-US"/>
              </w:rPr>
              <w:t>”.</w:t>
            </w:r>
          </w:p>
        </w:tc>
        <w:tc>
          <w:tcPr>
            <w:tcW w:w="7371" w:type="dxa"/>
          </w:tcPr>
          <w:p w:rsidR="00E5176E" w:rsidRDefault="001F769A" w:rsidP="004F47AF">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 xml:space="preserve">Quy định Bên bảo lãnh trả thay và hạch toán cho vay bắt buộc đối với bên bảo lãnh đối ứng quy định tại điểm b khoản 2 Điều 21 và khoản 9 Điều 27 không thống nhất. </w:t>
            </w:r>
          </w:p>
          <w:p w:rsidR="00E5176E" w:rsidRDefault="00E5176E" w:rsidP="004F47AF">
            <w:pPr>
              <w:tabs>
                <w:tab w:val="left" w:pos="10155"/>
              </w:tabs>
              <w:jc w:val="both"/>
              <w:rPr>
                <w:rFonts w:asciiTheme="majorHAnsi" w:hAnsiTheme="majorHAnsi" w:cstheme="majorHAnsi"/>
                <w:sz w:val="24"/>
                <w:szCs w:val="24"/>
                <w:lang w:val="en-US"/>
              </w:rPr>
            </w:pPr>
            <w:r w:rsidRPr="00CA3E43">
              <w:rPr>
                <w:rFonts w:asciiTheme="majorHAnsi" w:hAnsiTheme="majorHAnsi" w:cstheme="majorHAnsi"/>
                <w:sz w:val="24"/>
                <w:szCs w:val="24"/>
                <w:lang w:val="en-US"/>
              </w:rPr>
              <w:t>Quy định tại điểm b khoản 2 Điều 21 là phù hợp với bản chất và trình tự của hoạt động bảo lãnh trên cơ sở bảo lãnh đối ứng. Do đó, cần sửa đổi quy định tại khoản 9 Điều 27 cho phù hợp với điểm b khoản 2 Điều 21.</w:t>
            </w:r>
          </w:p>
          <w:p w:rsidR="001F769A" w:rsidRDefault="001F769A" w:rsidP="00E5176E">
            <w:pPr>
              <w:tabs>
                <w:tab w:val="left" w:pos="10155"/>
              </w:tabs>
              <w:jc w:val="both"/>
              <w:rPr>
                <w:rFonts w:asciiTheme="majorHAnsi" w:hAnsiTheme="majorHAnsi" w:cstheme="majorHAnsi"/>
                <w:sz w:val="24"/>
                <w:szCs w:val="24"/>
                <w:lang w:val="en-US"/>
              </w:rPr>
            </w:pPr>
          </w:p>
        </w:tc>
      </w:tr>
    </w:tbl>
    <w:p w:rsidR="009F59BD" w:rsidRPr="00E5176E" w:rsidRDefault="00AC73FB" w:rsidP="007B3B2D">
      <w:pPr>
        <w:tabs>
          <w:tab w:val="left" w:pos="9278"/>
        </w:tabs>
        <w:spacing w:before="60" w:after="0" w:line="360" w:lineRule="exact"/>
        <w:ind w:hanging="142"/>
        <w:rPr>
          <w:rFonts w:asciiTheme="majorHAnsi" w:hAnsiTheme="majorHAnsi" w:cstheme="majorHAnsi"/>
          <w:b/>
          <w:i/>
          <w:sz w:val="24"/>
          <w:szCs w:val="24"/>
        </w:rPr>
      </w:pPr>
      <w:r>
        <w:rPr>
          <w:rFonts w:asciiTheme="majorHAnsi" w:hAnsiTheme="majorHAnsi" w:cstheme="majorHAnsi"/>
          <w:sz w:val="24"/>
          <w:szCs w:val="24"/>
        </w:rPr>
        <w:tab/>
      </w:r>
      <w:r w:rsidR="007B3B2D">
        <w:rPr>
          <w:rFonts w:asciiTheme="majorHAnsi" w:hAnsiTheme="majorHAnsi" w:cstheme="majorHAnsi"/>
          <w:sz w:val="24"/>
          <w:szCs w:val="24"/>
        </w:rPr>
        <w:tab/>
      </w:r>
      <w:r w:rsidR="00001315" w:rsidRPr="00E5176E">
        <w:rPr>
          <w:rFonts w:asciiTheme="majorHAnsi" w:hAnsiTheme="majorHAnsi" w:cstheme="majorHAnsi"/>
          <w:sz w:val="24"/>
          <w:szCs w:val="24"/>
        </w:rPr>
        <w:t xml:space="preserve">               </w:t>
      </w:r>
      <w:r w:rsidR="007B3B2D" w:rsidRPr="00E5176E">
        <w:rPr>
          <w:rFonts w:asciiTheme="majorHAnsi" w:hAnsiTheme="majorHAnsi" w:cstheme="majorHAnsi"/>
          <w:i/>
          <w:sz w:val="24"/>
          <w:szCs w:val="24"/>
        </w:rPr>
        <w:t xml:space="preserve">Vụ </w:t>
      </w:r>
      <w:r w:rsidR="00E5176E" w:rsidRPr="00E5176E">
        <w:rPr>
          <w:rFonts w:asciiTheme="majorHAnsi" w:hAnsiTheme="majorHAnsi" w:cstheme="majorHAnsi"/>
          <w:i/>
          <w:sz w:val="24"/>
          <w:szCs w:val="24"/>
        </w:rPr>
        <w:t>Tín dụng các ngành kinh tế</w:t>
      </w:r>
      <w:r w:rsidR="007B3B2D" w:rsidRPr="00E5176E">
        <w:rPr>
          <w:rFonts w:asciiTheme="majorHAnsi" w:hAnsiTheme="majorHAnsi" w:cstheme="majorHAnsi"/>
          <w:i/>
          <w:sz w:val="24"/>
          <w:szCs w:val="24"/>
        </w:rPr>
        <w:t xml:space="preserve"> - NHNN</w:t>
      </w:r>
    </w:p>
    <w:sectPr w:rsidR="009F59BD" w:rsidRPr="00E5176E" w:rsidSect="00E174A3">
      <w:footerReference w:type="default" r:id="rId9"/>
      <w:pgSz w:w="16838" w:h="11906" w:orient="landscape" w:code="9"/>
      <w:pgMar w:top="851" w:right="851" w:bottom="397" w:left="1701" w:header="709"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E2" w:rsidRDefault="004E72E2" w:rsidP="00E174A3">
      <w:pPr>
        <w:spacing w:after="0" w:line="240" w:lineRule="auto"/>
      </w:pPr>
      <w:r>
        <w:separator/>
      </w:r>
    </w:p>
  </w:endnote>
  <w:endnote w:type="continuationSeparator" w:id="0">
    <w:p w:rsidR="004E72E2" w:rsidRDefault="004E72E2" w:rsidP="00E1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07391"/>
      <w:docPartObj>
        <w:docPartGallery w:val="Page Numbers (Bottom of Page)"/>
        <w:docPartUnique/>
      </w:docPartObj>
    </w:sdtPr>
    <w:sdtEndPr>
      <w:rPr>
        <w:noProof/>
      </w:rPr>
    </w:sdtEndPr>
    <w:sdtContent>
      <w:p w:rsidR="00EB7A78" w:rsidRDefault="00EB7A78">
        <w:pPr>
          <w:pStyle w:val="Footer"/>
          <w:jc w:val="right"/>
        </w:pPr>
        <w:r>
          <w:fldChar w:fldCharType="begin"/>
        </w:r>
        <w:r>
          <w:instrText xml:space="preserve"> PAGE   \* MERGEFORMAT </w:instrText>
        </w:r>
        <w:r>
          <w:fldChar w:fldCharType="separate"/>
        </w:r>
        <w:r w:rsidR="00B47E14">
          <w:rPr>
            <w:noProof/>
          </w:rPr>
          <w:t>3</w:t>
        </w:r>
        <w:r>
          <w:rPr>
            <w:noProof/>
          </w:rPr>
          <w:fldChar w:fldCharType="end"/>
        </w:r>
      </w:p>
    </w:sdtContent>
  </w:sdt>
  <w:p w:rsidR="00EB7A78" w:rsidRDefault="00EB7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E2" w:rsidRDefault="004E72E2" w:rsidP="00E174A3">
      <w:pPr>
        <w:spacing w:after="0" w:line="240" w:lineRule="auto"/>
      </w:pPr>
      <w:r>
        <w:separator/>
      </w:r>
    </w:p>
  </w:footnote>
  <w:footnote w:type="continuationSeparator" w:id="0">
    <w:p w:rsidR="004E72E2" w:rsidRDefault="004E72E2" w:rsidP="00E17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FD6"/>
    <w:multiLevelType w:val="hybridMultilevel"/>
    <w:tmpl w:val="F69ECBE0"/>
    <w:lvl w:ilvl="0" w:tplc="AA7E0E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6C215C1"/>
    <w:multiLevelType w:val="hybridMultilevel"/>
    <w:tmpl w:val="758C1220"/>
    <w:lvl w:ilvl="0" w:tplc="4532EA4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F4655BA"/>
    <w:multiLevelType w:val="hybridMultilevel"/>
    <w:tmpl w:val="B004FFD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3F77CB"/>
    <w:multiLevelType w:val="hybridMultilevel"/>
    <w:tmpl w:val="F87C4674"/>
    <w:lvl w:ilvl="0" w:tplc="F0E0837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604F79"/>
    <w:multiLevelType w:val="hybridMultilevel"/>
    <w:tmpl w:val="E7207966"/>
    <w:lvl w:ilvl="0" w:tplc="A37C575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B0F27AF"/>
    <w:multiLevelType w:val="hybridMultilevel"/>
    <w:tmpl w:val="BF92F29C"/>
    <w:lvl w:ilvl="0" w:tplc="0EDC56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0EA2B68"/>
    <w:multiLevelType w:val="hybridMultilevel"/>
    <w:tmpl w:val="BFAA653C"/>
    <w:lvl w:ilvl="0" w:tplc="116CA0D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38637BE"/>
    <w:multiLevelType w:val="hybridMultilevel"/>
    <w:tmpl w:val="48D22472"/>
    <w:lvl w:ilvl="0" w:tplc="19A04D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85643F9"/>
    <w:multiLevelType w:val="hybridMultilevel"/>
    <w:tmpl w:val="EF88FBBC"/>
    <w:lvl w:ilvl="0" w:tplc="4C386F8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8B80686"/>
    <w:multiLevelType w:val="hybridMultilevel"/>
    <w:tmpl w:val="D1D6A068"/>
    <w:lvl w:ilvl="0" w:tplc="5108311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1"/>
  </w:num>
  <w:num w:numId="6">
    <w:abstractNumId w:val="0"/>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C1"/>
    <w:rsid w:val="00001315"/>
    <w:rsid w:val="000023B7"/>
    <w:rsid w:val="00011CCE"/>
    <w:rsid w:val="00012F66"/>
    <w:rsid w:val="00022053"/>
    <w:rsid w:val="0002575C"/>
    <w:rsid w:val="000313E2"/>
    <w:rsid w:val="00034E61"/>
    <w:rsid w:val="00042DB6"/>
    <w:rsid w:val="00042F8E"/>
    <w:rsid w:val="00051A3C"/>
    <w:rsid w:val="00054327"/>
    <w:rsid w:val="00056EFD"/>
    <w:rsid w:val="00057CF4"/>
    <w:rsid w:val="0006485C"/>
    <w:rsid w:val="00064BAB"/>
    <w:rsid w:val="000674AD"/>
    <w:rsid w:val="00070961"/>
    <w:rsid w:val="0007288C"/>
    <w:rsid w:val="0007420D"/>
    <w:rsid w:val="000834BA"/>
    <w:rsid w:val="0008618C"/>
    <w:rsid w:val="00087183"/>
    <w:rsid w:val="0009133F"/>
    <w:rsid w:val="00092061"/>
    <w:rsid w:val="000947A9"/>
    <w:rsid w:val="00097488"/>
    <w:rsid w:val="000A5BE1"/>
    <w:rsid w:val="000C4CD0"/>
    <w:rsid w:val="000D438C"/>
    <w:rsid w:val="000D78FC"/>
    <w:rsid w:val="000E6B5E"/>
    <w:rsid w:val="000E6C4A"/>
    <w:rsid w:val="000F0D22"/>
    <w:rsid w:val="000F3015"/>
    <w:rsid w:val="00101BC1"/>
    <w:rsid w:val="00103BD9"/>
    <w:rsid w:val="00104C6C"/>
    <w:rsid w:val="00105769"/>
    <w:rsid w:val="001103B1"/>
    <w:rsid w:val="00116214"/>
    <w:rsid w:val="001170E9"/>
    <w:rsid w:val="001241D5"/>
    <w:rsid w:val="001246E2"/>
    <w:rsid w:val="00135064"/>
    <w:rsid w:val="001365D6"/>
    <w:rsid w:val="001370A3"/>
    <w:rsid w:val="001445A8"/>
    <w:rsid w:val="0014683A"/>
    <w:rsid w:val="00172FF2"/>
    <w:rsid w:val="00181B39"/>
    <w:rsid w:val="00190B8F"/>
    <w:rsid w:val="00194B77"/>
    <w:rsid w:val="001A6FA3"/>
    <w:rsid w:val="001B10DC"/>
    <w:rsid w:val="001B42A0"/>
    <w:rsid w:val="001C2470"/>
    <w:rsid w:val="001D207C"/>
    <w:rsid w:val="001E1AD0"/>
    <w:rsid w:val="001E2BBC"/>
    <w:rsid w:val="001E7DCC"/>
    <w:rsid w:val="001F00EE"/>
    <w:rsid w:val="001F3125"/>
    <w:rsid w:val="001F50BF"/>
    <w:rsid w:val="001F5FAF"/>
    <w:rsid w:val="001F769A"/>
    <w:rsid w:val="0021425C"/>
    <w:rsid w:val="00214395"/>
    <w:rsid w:val="00215112"/>
    <w:rsid w:val="00220733"/>
    <w:rsid w:val="00220BFE"/>
    <w:rsid w:val="00222997"/>
    <w:rsid w:val="00222D80"/>
    <w:rsid w:val="00223C4D"/>
    <w:rsid w:val="00223EBD"/>
    <w:rsid w:val="002304FD"/>
    <w:rsid w:val="0023085F"/>
    <w:rsid w:val="00250DBE"/>
    <w:rsid w:val="00252E4F"/>
    <w:rsid w:val="00262DA8"/>
    <w:rsid w:val="00267A78"/>
    <w:rsid w:val="00267C6B"/>
    <w:rsid w:val="0027168C"/>
    <w:rsid w:val="00272518"/>
    <w:rsid w:val="00272B88"/>
    <w:rsid w:val="00282CDE"/>
    <w:rsid w:val="002862B5"/>
    <w:rsid w:val="002928EE"/>
    <w:rsid w:val="002C2BBE"/>
    <w:rsid w:val="002C66F5"/>
    <w:rsid w:val="002C78C9"/>
    <w:rsid w:val="002D11D5"/>
    <w:rsid w:val="002D28CE"/>
    <w:rsid w:val="002D2EB2"/>
    <w:rsid w:val="002D7F4F"/>
    <w:rsid w:val="002E6131"/>
    <w:rsid w:val="002E6911"/>
    <w:rsid w:val="003015F9"/>
    <w:rsid w:val="00301D87"/>
    <w:rsid w:val="00302D90"/>
    <w:rsid w:val="00312C88"/>
    <w:rsid w:val="00314270"/>
    <w:rsid w:val="00322C11"/>
    <w:rsid w:val="00323749"/>
    <w:rsid w:val="00326EA5"/>
    <w:rsid w:val="003312C6"/>
    <w:rsid w:val="0033435A"/>
    <w:rsid w:val="00346D92"/>
    <w:rsid w:val="0035175E"/>
    <w:rsid w:val="003545DD"/>
    <w:rsid w:val="00354909"/>
    <w:rsid w:val="00360A8D"/>
    <w:rsid w:val="00363A9D"/>
    <w:rsid w:val="0036445D"/>
    <w:rsid w:val="003670F8"/>
    <w:rsid w:val="003720A2"/>
    <w:rsid w:val="003900C1"/>
    <w:rsid w:val="00393146"/>
    <w:rsid w:val="003B1797"/>
    <w:rsid w:val="003B1843"/>
    <w:rsid w:val="003B4A27"/>
    <w:rsid w:val="003E1B65"/>
    <w:rsid w:val="003E5429"/>
    <w:rsid w:val="003E6A0B"/>
    <w:rsid w:val="003F31CD"/>
    <w:rsid w:val="00411CE2"/>
    <w:rsid w:val="0041445B"/>
    <w:rsid w:val="0041575A"/>
    <w:rsid w:val="00420E4B"/>
    <w:rsid w:val="00425326"/>
    <w:rsid w:val="0042710E"/>
    <w:rsid w:val="00430530"/>
    <w:rsid w:val="00434134"/>
    <w:rsid w:val="004432C5"/>
    <w:rsid w:val="00446AFE"/>
    <w:rsid w:val="00452DF6"/>
    <w:rsid w:val="0046507C"/>
    <w:rsid w:val="004659F3"/>
    <w:rsid w:val="00466E56"/>
    <w:rsid w:val="0048134C"/>
    <w:rsid w:val="0048168E"/>
    <w:rsid w:val="004909F3"/>
    <w:rsid w:val="00490EAE"/>
    <w:rsid w:val="00494CF1"/>
    <w:rsid w:val="004A4E32"/>
    <w:rsid w:val="004A58FA"/>
    <w:rsid w:val="004B311C"/>
    <w:rsid w:val="004B69D4"/>
    <w:rsid w:val="004B69F7"/>
    <w:rsid w:val="004C099A"/>
    <w:rsid w:val="004C21A5"/>
    <w:rsid w:val="004C6D0A"/>
    <w:rsid w:val="004D52C7"/>
    <w:rsid w:val="004E0B2B"/>
    <w:rsid w:val="004E47ED"/>
    <w:rsid w:val="004E55E0"/>
    <w:rsid w:val="004E72E2"/>
    <w:rsid w:val="004F3C6C"/>
    <w:rsid w:val="004F414C"/>
    <w:rsid w:val="004F47AF"/>
    <w:rsid w:val="00500A66"/>
    <w:rsid w:val="00501AD0"/>
    <w:rsid w:val="00504ABE"/>
    <w:rsid w:val="00506FC1"/>
    <w:rsid w:val="00507C34"/>
    <w:rsid w:val="00510E01"/>
    <w:rsid w:val="00514F0B"/>
    <w:rsid w:val="00524B4E"/>
    <w:rsid w:val="00537F53"/>
    <w:rsid w:val="005452FA"/>
    <w:rsid w:val="005532E7"/>
    <w:rsid w:val="005577F8"/>
    <w:rsid w:val="00563876"/>
    <w:rsid w:val="00571438"/>
    <w:rsid w:val="0057176D"/>
    <w:rsid w:val="0058306A"/>
    <w:rsid w:val="005865CD"/>
    <w:rsid w:val="00590D38"/>
    <w:rsid w:val="005936EF"/>
    <w:rsid w:val="005A0A73"/>
    <w:rsid w:val="005B3809"/>
    <w:rsid w:val="005B4BCE"/>
    <w:rsid w:val="005D277D"/>
    <w:rsid w:val="005D7CEF"/>
    <w:rsid w:val="005E1E7D"/>
    <w:rsid w:val="005E2EDA"/>
    <w:rsid w:val="005E786A"/>
    <w:rsid w:val="00617E91"/>
    <w:rsid w:val="00623F58"/>
    <w:rsid w:val="00634AB1"/>
    <w:rsid w:val="00636B51"/>
    <w:rsid w:val="006378CC"/>
    <w:rsid w:val="0064227A"/>
    <w:rsid w:val="00643AD1"/>
    <w:rsid w:val="00645786"/>
    <w:rsid w:val="0065076E"/>
    <w:rsid w:val="00652F90"/>
    <w:rsid w:val="00661D99"/>
    <w:rsid w:val="00672ABC"/>
    <w:rsid w:val="0068056D"/>
    <w:rsid w:val="0068265E"/>
    <w:rsid w:val="006833C4"/>
    <w:rsid w:val="00685440"/>
    <w:rsid w:val="006923F8"/>
    <w:rsid w:val="006C7FE4"/>
    <w:rsid w:val="006E41C9"/>
    <w:rsid w:val="006E6A06"/>
    <w:rsid w:val="006F0F77"/>
    <w:rsid w:val="006F3CA9"/>
    <w:rsid w:val="006F454E"/>
    <w:rsid w:val="006F4BA3"/>
    <w:rsid w:val="0070255C"/>
    <w:rsid w:val="00705272"/>
    <w:rsid w:val="007150CD"/>
    <w:rsid w:val="00717390"/>
    <w:rsid w:val="007243D8"/>
    <w:rsid w:val="0072507D"/>
    <w:rsid w:val="00725CD5"/>
    <w:rsid w:val="0073227C"/>
    <w:rsid w:val="00732ABB"/>
    <w:rsid w:val="00732C53"/>
    <w:rsid w:val="007351EF"/>
    <w:rsid w:val="00747152"/>
    <w:rsid w:val="007531AF"/>
    <w:rsid w:val="007634F2"/>
    <w:rsid w:val="00770EB5"/>
    <w:rsid w:val="00774668"/>
    <w:rsid w:val="00774670"/>
    <w:rsid w:val="00774F1E"/>
    <w:rsid w:val="00782FAD"/>
    <w:rsid w:val="00784D15"/>
    <w:rsid w:val="00785183"/>
    <w:rsid w:val="00787813"/>
    <w:rsid w:val="007A17E5"/>
    <w:rsid w:val="007A2634"/>
    <w:rsid w:val="007A2F3C"/>
    <w:rsid w:val="007A3629"/>
    <w:rsid w:val="007A54E1"/>
    <w:rsid w:val="007A5A6F"/>
    <w:rsid w:val="007A6D68"/>
    <w:rsid w:val="007B3B2D"/>
    <w:rsid w:val="007B51DF"/>
    <w:rsid w:val="007B5E38"/>
    <w:rsid w:val="007B5EEB"/>
    <w:rsid w:val="007C33DD"/>
    <w:rsid w:val="007C50C7"/>
    <w:rsid w:val="007E24ED"/>
    <w:rsid w:val="007F11A9"/>
    <w:rsid w:val="007F1371"/>
    <w:rsid w:val="007F3ED2"/>
    <w:rsid w:val="00801AB4"/>
    <w:rsid w:val="0080218D"/>
    <w:rsid w:val="00804F02"/>
    <w:rsid w:val="008061A9"/>
    <w:rsid w:val="008125CA"/>
    <w:rsid w:val="00817285"/>
    <w:rsid w:val="00821473"/>
    <w:rsid w:val="008242D7"/>
    <w:rsid w:val="0083189C"/>
    <w:rsid w:val="008331D1"/>
    <w:rsid w:val="008351FD"/>
    <w:rsid w:val="00842DE4"/>
    <w:rsid w:val="00845B49"/>
    <w:rsid w:val="00860A1B"/>
    <w:rsid w:val="00875CBC"/>
    <w:rsid w:val="008919A9"/>
    <w:rsid w:val="00892AED"/>
    <w:rsid w:val="00893160"/>
    <w:rsid w:val="00897098"/>
    <w:rsid w:val="008B62CA"/>
    <w:rsid w:val="008B663D"/>
    <w:rsid w:val="008C0B50"/>
    <w:rsid w:val="008C3571"/>
    <w:rsid w:val="008C795B"/>
    <w:rsid w:val="008D5600"/>
    <w:rsid w:val="008E3A5F"/>
    <w:rsid w:val="008E6AD5"/>
    <w:rsid w:val="008F27F6"/>
    <w:rsid w:val="008F2B2A"/>
    <w:rsid w:val="008F6083"/>
    <w:rsid w:val="00900A64"/>
    <w:rsid w:val="009023D6"/>
    <w:rsid w:val="00914B82"/>
    <w:rsid w:val="009211B3"/>
    <w:rsid w:val="00922DDA"/>
    <w:rsid w:val="009363B1"/>
    <w:rsid w:val="009419F9"/>
    <w:rsid w:val="00941EEA"/>
    <w:rsid w:val="00947F0A"/>
    <w:rsid w:val="009523C7"/>
    <w:rsid w:val="00956F8C"/>
    <w:rsid w:val="009616CD"/>
    <w:rsid w:val="00965D29"/>
    <w:rsid w:val="00967205"/>
    <w:rsid w:val="00981F9C"/>
    <w:rsid w:val="00982925"/>
    <w:rsid w:val="00984C32"/>
    <w:rsid w:val="0098531C"/>
    <w:rsid w:val="009853D6"/>
    <w:rsid w:val="009861D5"/>
    <w:rsid w:val="00986CBB"/>
    <w:rsid w:val="00991826"/>
    <w:rsid w:val="0099414F"/>
    <w:rsid w:val="00996971"/>
    <w:rsid w:val="00996B47"/>
    <w:rsid w:val="00997409"/>
    <w:rsid w:val="009976CD"/>
    <w:rsid w:val="009A2592"/>
    <w:rsid w:val="009A2867"/>
    <w:rsid w:val="009A3EFA"/>
    <w:rsid w:val="009B26DC"/>
    <w:rsid w:val="009B5B85"/>
    <w:rsid w:val="009C0745"/>
    <w:rsid w:val="009D7E13"/>
    <w:rsid w:val="009F1523"/>
    <w:rsid w:val="009F193C"/>
    <w:rsid w:val="009F1BAE"/>
    <w:rsid w:val="009F3033"/>
    <w:rsid w:val="009F4F4F"/>
    <w:rsid w:val="009F59BD"/>
    <w:rsid w:val="009F6151"/>
    <w:rsid w:val="009F7FC8"/>
    <w:rsid w:val="00A06C5C"/>
    <w:rsid w:val="00A10BC4"/>
    <w:rsid w:val="00A12121"/>
    <w:rsid w:val="00A13E87"/>
    <w:rsid w:val="00A26078"/>
    <w:rsid w:val="00A26260"/>
    <w:rsid w:val="00A3461F"/>
    <w:rsid w:val="00A3614E"/>
    <w:rsid w:val="00A37AF9"/>
    <w:rsid w:val="00A42CD5"/>
    <w:rsid w:val="00A518B7"/>
    <w:rsid w:val="00A5306B"/>
    <w:rsid w:val="00A60A36"/>
    <w:rsid w:val="00A66DC8"/>
    <w:rsid w:val="00A7388B"/>
    <w:rsid w:val="00A81CFB"/>
    <w:rsid w:val="00A90564"/>
    <w:rsid w:val="00AA3474"/>
    <w:rsid w:val="00AA3C53"/>
    <w:rsid w:val="00AA61B6"/>
    <w:rsid w:val="00AB0144"/>
    <w:rsid w:val="00AB585B"/>
    <w:rsid w:val="00AC6444"/>
    <w:rsid w:val="00AC73FB"/>
    <w:rsid w:val="00AD7327"/>
    <w:rsid w:val="00AD7F7C"/>
    <w:rsid w:val="00AF1653"/>
    <w:rsid w:val="00B04C64"/>
    <w:rsid w:val="00B13AE1"/>
    <w:rsid w:val="00B17248"/>
    <w:rsid w:val="00B175B4"/>
    <w:rsid w:val="00B22831"/>
    <w:rsid w:val="00B274E3"/>
    <w:rsid w:val="00B356B9"/>
    <w:rsid w:val="00B37664"/>
    <w:rsid w:val="00B412A2"/>
    <w:rsid w:val="00B4153C"/>
    <w:rsid w:val="00B47E14"/>
    <w:rsid w:val="00B61FFD"/>
    <w:rsid w:val="00B635BF"/>
    <w:rsid w:val="00B66D24"/>
    <w:rsid w:val="00B727E0"/>
    <w:rsid w:val="00B77A81"/>
    <w:rsid w:val="00B8049D"/>
    <w:rsid w:val="00B82354"/>
    <w:rsid w:val="00B84239"/>
    <w:rsid w:val="00B84F43"/>
    <w:rsid w:val="00B87B0E"/>
    <w:rsid w:val="00B901BD"/>
    <w:rsid w:val="00BA4A9B"/>
    <w:rsid w:val="00BB4A13"/>
    <w:rsid w:val="00BC62C9"/>
    <w:rsid w:val="00BE48E8"/>
    <w:rsid w:val="00BF226A"/>
    <w:rsid w:val="00C028B5"/>
    <w:rsid w:val="00C0762C"/>
    <w:rsid w:val="00C10DDA"/>
    <w:rsid w:val="00C11FD0"/>
    <w:rsid w:val="00C12BF5"/>
    <w:rsid w:val="00C20C94"/>
    <w:rsid w:val="00C3070D"/>
    <w:rsid w:val="00C370B0"/>
    <w:rsid w:val="00C41B02"/>
    <w:rsid w:val="00C47CC5"/>
    <w:rsid w:val="00C51040"/>
    <w:rsid w:val="00C606CA"/>
    <w:rsid w:val="00C61B38"/>
    <w:rsid w:val="00C62D19"/>
    <w:rsid w:val="00C64E6B"/>
    <w:rsid w:val="00C70249"/>
    <w:rsid w:val="00C728AF"/>
    <w:rsid w:val="00C72BA8"/>
    <w:rsid w:val="00C77D3C"/>
    <w:rsid w:val="00C83CE3"/>
    <w:rsid w:val="00C8586E"/>
    <w:rsid w:val="00C93DD4"/>
    <w:rsid w:val="00C94EA3"/>
    <w:rsid w:val="00C95A0B"/>
    <w:rsid w:val="00C96774"/>
    <w:rsid w:val="00CA2580"/>
    <w:rsid w:val="00CA3E43"/>
    <w:rsid w:val="00CA4B78"/>
    <w:rsid w:val="00CA6469"/>
    <w:rsid w:val="00CA67AC"/>
    <w:rsid w:val="00CB12D2"/>
    <w:rsid w:val="00CB2D70"/>
    <w:rsid w:val="00CC1839"/>
    <w:rsid w:val="00CC2F31"/>
    <w:rsid w:val="00CC4C44"/>
    <w:rsid w:val="00CD0D8C"/>
    <w:rsid w:val="00CE0D14"/>
    <w:rsid w:val="00CE57DA"/>
    <w:rsid w:val="00CE7F7D"/>
    <w:rsid w:val="00CF1428"/>
    <w:rsid w:val="00D079CF"/>
    <w:rsid w:val="00D109BA"/>
    <w:rsid w:val="00D11B29"/>
    <w:rsid w:val="00D1528A"/>
    <w:rsid w:val="00D15FBF"/>
    <w:rsid w:val="00D20839"/>
    <w:rsid w:val="00D2755B"/>
    <w:rsid w:val="00D3215E"/>
    <w:rsid w:val="00D3314A"/>
    <w:rsid w:val="00D433D4"/>
    <w:rsid w:val="00D472AC"/>
    <w:rsid w:val="00D50CB8"/>
    <w:rsid w:val="00D64836"/>
    <w:rsid w:val="00D64D0F"/>
    <w:rsid w:val="00D75F72"/>
    <w:rsid w:val="00D76E9D"/>
    <w:rsid w:val="00D833E3"/>
    <w:rsid w:val="00D83634"/>
    <w:rsid w:val="00D84B28"/>
    <w:rsid w:val="00DA6DB9"/>
    <w:rsid w:val="00DB36A8"/>
    <w:rsid w:val="00DB5158"/>
    <w:rsid w:val="00DC0B93"/>
    <w:rsid w:val="00DC0E15"/>
    <w:rsid w:val="00DC5322"/>
    <w:rsid w:val="00DC7973"/>
    <w:rsid w:val="00DD0E3D"/>
    <w:rsid w:val="00DD48EC"/>
    <w:rsid w:val="00DD569C"/>
    <w:rsid w:val="00DE0FE9"/>
    <w:rsid w:val="00DE3647"/>
    <w:rsid w:val="00DF2537"/>
    <w:rsid w:val="00DF3949"/>
    <w:rsid w:val="00E00186"/>
    <w:rsid w:val="00E02238"/>
    <w:rsid w:val="00E0302A"/>
    <w:rsid w:val="00E03915"/>
    <w:rsid w:val="00E03A67"/>
    <w:rsid w:val="00E05C69"/>
    <w:rsid w:val="00E11BD1"/>
    <w:rsid w:val="00E14770"/>
    <w:rsid w:val="00E15F58"/>
    <w:rsid w:val="00E174A3"/>
    <w:rsid w:val="00E207B5"/>
    <w:rsid w:val="00E22D85"/>
    <w:rsid w:val="00E22F84"/>
    <w:rsid w:val="00E254C1"/>
    <w:rsid w:val="00E27C8F"/>
    <w:rsid w:val="00E334C0"/>
    <w:rsid w:val="00E34FF8"/>
    <w:rsid w:val="00E362BD"/>
    <w:rsid w:val="00E41820"/>
    <w:rsid w:val="00E442CD"/>
    <w:rsid w:val="00E447B3"/>
    <w:rsid w:val="00E5176E"/>
    <w:rsid w:val="00E5317D"/>
    <w:rsid w:val="00E642B6"/>
    <w:rsid w:val="00E65AE3"/>
    <w:rsid w:val="00E72C24"/>
    <w:rsid w:val="00E72F39"/>
    <w:rsid w:val="00E75608"/>
    <w:rsid w:val="00E75E75"/>
    <w:rsid w:val="00E77028"/>
    <w:rsid w:val="00E84E6D"/>
    <w:rsid w:val="00E86658"/>
    <w:rsid w:val="00E872E1"/>
    <w:rsid w:val="00E917A2"/>
    <w:rsid w:val="00E92F73"/>
    <w:rsid w:val="00E956A3"/>
    <w:rsid w:val="00EA7610"/>
    <w:rsid w:val="00EB1D03"/>
    <w:rsid w:val="00EB3C41"/>
    <w:rsid w:val="00EB7A78"/>
    <w:rsid w:val="00EC3DD7"/>
    <w:rsid w:val="00EC52FE"/>
    <w:rsid w:val="00ED1889"/>
    <w:rsid w:val="00ED439A"/>
    <w:rsid w:val="00ED4653"/>
    <w:rsid w:val="00EE26CA"/>
    <w:rsid w:val="00EE4C4F"/>
    <w:rsid w:val="00EF01BA"/>
    <w:rsid w:val="00EF50F5"/>
    <w:rsid w:val="00F02B54"/>
    <w:rsid w:val="00F06EC2"/>
    <w:rsid w:val="00F12A1F"/>
    <w:rsid w:val="00F212EB"/>
    <w:rsid w:val="00F231BD"/>
    <w:rsid w:val="00F242F9"/>
    <w:rsid w:val="00F26930"/>
    <w:rsid w:val="00F35391"/>
    <w:rsid w:val="00F42BDC"/>
    <w:rsid w:val="00F5409E"/>
    <w:rsid w:val="00F604B9"/>
    <w:rsid w:val="00F71D2F"/>
    <w:rsid w:val="00F80E62"/>
    <w:rsid w:val="00F821D0"/>
    <w:rsid w:val="00F91B2C"/>
    <w:rsid w:val="00F946E2"/>
    <w:rsid w:val="00F9729F"/>
    <w:rsid w:val="00F973B7"/>
    <w:rsid w:val="00F97994"/>
    <w:rsid w:val="00FA1872"/>
    <w:rsid w:val="00FA55F0"/>
    <w:rsid w:val="00FB4DCD"/>
    <w:rsid w:val="00FC6FA3"/>
    <w:rsid w:val="00FC79C7"/>
    <w:rsid w:val="00FE6FF4"/>
    <w:rsid w:val="00FF40A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427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965D29"/>
    <w:pPr>
      <w:ind w:left="720"/>
      <w:contextualSpacing/>
    </w:pPr>
  </w:style>
  <w:style w:type="paragraph" w:styleId="PlainText">
    <w:name w:val="Plain Text"/>
    <w:basedOn w:val="Normal"/>
    <w:link w:val="PlainTextChar"/>
    <w:uiPriority w:val="99"/>
    <w:unhideWhenUsed/>
    <w:rsid w:val="00267A78"/>
    <w:pPr>
      <w:spacing w:after="0" w:line="240" w:lineRule="auto"/>
    </w:pPr>
    <w:rPr>
      <w:rFonts w:ascii="Arial" w:eastAsia="Calibri" w:hAnsi="Arial" w:cs="Arial"/>
      <w:sz w:val="21"/>
      <w:szCs w:val="21"/>
      <w:lang w:val="en-US"/>
    </w:rPr>
  </w:style>
  <w:style w:type="character" w:customStyle="1" w:styleId="PlainTextChar">
    <w:name w:val="Plain Text Char"/>
    <w:basedOn w:val="DefaultParagraphFont"/>
    <w:link w:val="PlainText"/>
    <w:uiPriority w:val="99"/>
    <w:rsid w:val="00267A78"/>
    <w:rPr>
      <w:rFonts w:ascii="Arial" w:eastAsia="Calibri" w:hAnsi="Arial" w:cs="Arial"/>
      <w:sz w:val="21"/>
      <w:szCs w:val="21"/>
      <w:lang w:val="en-US"/>
    </w:rPr>
  </w:style>
  <w:style w:type="paragraph" w:styleId="BalloonText">
    <w:name w:val="Balloon Text"/>
    <w:basedOn w:val="Normal"/>
    <w:link w:val="BalloonTextChar"/>
    <w:uiPriority w:val="99"/>
    <w:semiHidden/>
    <w:unhideWhenUsed/>
    <w:rsid w:val="00683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C4"/>
    <w:rPr>
      <w:rFonts w:ascii="Tahoma" w:hAnsi="Tahoma" w:cs="Tahoma"/>
      <w:sz w:val="16"/>
      <w:szCs w:val="16"/>
    </w:rPr>
  </w:style>
  <w:style w:type="character" w:customStyle="1" w:styleId="apple-converted-space">
    <w:name w:val="apple-converted-space"/>
    <w:basedOn w:val="DefaultParagraphFont"/>
    <w:rsid w:val="00DC0E15"/>
  </w:style>
  <w:style w:type="paragraph" w:styleId="Header">
    <w:name w:val="header"/>
    <w:basedOn w:val="Normal"/>
    <w:link w:val="HeaderChar"/>
    <w:uiPriority w:val="99"/>
    <w:unhideWhenUsed/>
    <w:rsid w:val="00E1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4A3"/>
  </w:style>
  <w:style w:type="paragraph" w:styleId="Footer">
    <w:name w:val="footer"/>
    <w:basedOn w:val="Normal"/>
    <w:link w:val="FooterChar"/>
    <w:uiPriority w:val="99"/>
    <w:unhideWhenUsed/>
    <w:rsid w:val="00E17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427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965D29"/>
    <w:pPr>
      <w:ind w:left="720"/>
      <w:contextualSpacing/>
    </w:pPr>
  </w:style>
  <w:style w:type="paragraph" w:styleId="PlainText">
    <w:name w:val="Plain Text"/>
    <w:basedOn w:val="Normal"/>
    <w:link w:val="PlainTextChar"/>
    <w:uiPriority w:val="99"/>
    <w:unhideWhenUsed/>
    <w:rsid w:val="00267A78"/>
    <w:pPr>
      <w:spacing w:after="0" w:line="240" w:lineRule="auto"/>
    </w:pPr>
    <w:rPr>
      <w:rFonts w:ascii="Arial" w:eastAsia="Calibri" w:hAnsi="Arial" w:cs="Arial"/>
      <w:sz w:val="21"/>
      <w:szCs w:val="21"/>
      <w:lang w:val="en-US"/>
    </w:rPr>
  </w:style>
  <w:style w:type="character" w:customStyle="1" w:styleId="PlainTextChar">
    <w:name w:val="Plain Text Char"/>
    <w:basedOn w:val="DefaultParagraphFont"/>
    <w:link w:val="PlainText"/>
    <w:uiPriority w:val="99"/>
    <w:rsid w:val="00267A78"/>
    <w:rPr>
      <w:rFonts w:ascii="Arial" w:eastAsia="Calibri" w:hAnsi="Arial" w:cs="Arial"/>
      <w:sz w:val="21"/>
      <w:szCs w:val="21"/>
      <w:lang w:val="en-US"/>
    </w:rPr>
  </w:style>
  <w:style w:type="paragraph" w:styleId="BalloonText">
    <w:name w:val="Balloon Text"/>
    <w:basedOn w:val="Normal"/>
    <w:link w:val="BalloonTextChar"/>
    <w:uiPriority w:val="99"/>
    <w:semiHidden/>
    <w:unhideWhenUsed/>
    <w:rsid w:val="00683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C4"/>
    <w:rPr>
      <w:rFonts w:ascii="Tahoma" w:hAnsi="Tahoma" w:cs="Tahoma"/>
      <w:sz w:val="16"/>
      <w:szCs w:val="16"/>
    </w:rPr>
  </w:style>
  <w:style w:type="character" w:customStyle="1" w:styleId="apple-converted-space">
    <w:name w:val="apple-converted-space"/>
    <w:basedOn w:val="DefaultParagraphFont"/>
    <w:rsid w:val="00DC0E15"/>
  </w:style>
  <w:style w:type="paragraph" w:styleId="Header">
    <w:name w:val="header"/>
    <w:basedOn w:val="Normal"/>
    <w:link w:val="HeaderChar"/>
    <w:uiPriority w:val="99"/>
    <w:unhideWhenUsed/>
    <w:rsid w:val="00E1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4A3"/>
  </w:style>
  <w:style w:type="paragraph" w:styleId="Footer">
    <w:name w:val="footer"/>
    <w:basedOn w:val="Normal"/>
    <w:link w:val="FooterChar"/>
    <w:uiPriority w:val="99"/>
    <w:unhideWhenUsed/>
    <w:rsid w:val="00E17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0504">
      <w:bodyDiv w:val="1"/>
      <w:marLeft w:val="0"/>
      <w:marRight w:val="0"/>
      <w:marTop w:val="0"/>
      <w:marBottom w:val="0"/>
      <w:divBdr>
        <w:top w:val="none" w:sz="0" w:space="0" w:color="auto"/>
        <w:left w:val="none" w:sz="0" w:space="0" w:color="auto"/>
        <w:bottom w:val="none" w:sz="0" w:space="0" w:color="auto"/>
        <w:right w:val="none" w:sz="0" w:space="0" w:color="auto"/>
      </w:divBdr>
    </w:div>
    <w:div w:id="189177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309A-C589-48F9-B8BA-13A8AEFC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2016-11-29T02:44:00Z</cp:lastPrinted>
  <dcterms:created xsi:type="dcterms:W3CDTF">2016-11-29T08:49:00Z</dcterms:created>
  <dcterms:modified xsi:type="dcterms:W3CDTF">2016-12-01T11:19:00Z</dcterms:modified>
</cp:coreProperties>
</file>