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22" w:type="dxa"/>
        <w:tblLook w:val="01E0" w:firstRow="1" w:lastRow="1" w:firstColumn="1" w:lastColumn="1" w:noHBand="0" w:noVBand="0"/>
      </w:tblPr>
      <w:tblGrid>
        <w:gridCol w:w="3348"/>
        <w:gridCol w:w="5974"/>
      </w:tblGrid>
      <w:tr w:rsidR="00B36257" w:rsidRPr="00996C50" w:rsidTr="00754782">
        <w:tc>
          <w:tcPr>
            <w:tcW w:w="3348" w:type="dxa"/>
          </w:tcPr>
          <w:p w:rsidR="00B36257" w:rsidRPr="00996C50" w:rsidRDefault="00B36257" w:rsidP="00754782">
            <w:pPr>
              <w:jc w:val="center"/>
              <w:rPr>
                <w:rFonts w:ascii="Times New Roman" w:eastAsia="Times New Roman" w:hAnsi="Times New Roman" w:cs="Times New Roman"/>
                <w:b/>
                <w:lang w:val="en-US"/>
              </w:rPr>
            </w:pPr>
            <w:r w:rsidRPr="00996C50">
              <w:rPr>
                <w:rFonts w:ascii="Times New Roman" w:eastAsia="Times New Roman" w:hAnsi="Times New Roman" w:cs="Times New Roman"/>
                <w:b/>
              </w:rPr>
              <w:t>NGÂN HÀNG NHÀ NƯỚC</w:t>
            </w:r>
          </w:p>
          <w:p w:rsidR="00B36257" w:rsidRPr="00996C50" w:rsidRDefault="00A83FE2" w:rsidP="00754782">
            <w:pPr>
              <w:rPr>
                <w:rFonts w:ascii="Times New Roman" w:eastAsia="Times New Roman" w:hAnsi="Times New Roman" w:cs="Times New Roman"/>
                <w:b/>
                <w:sz w:val="28"/>
                <w:szCs w:val="28"/>
              </w:rPr>
            </w:pPr>
            <w:r w:rsidRPr="00996C50">
              <w:rPr>
                <w:rFonts w:ascii="Times New Roman" w:eastAsia="Times New Roman" w:hAnsi="Times New Roman" w:cs="Times New Roman"/>
                <w:b/>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611505</wp:posOffset>
                      </wp:positionH>
                      <wp:positionV relativeFrom="paragraph">
                        <wp:posOffset>307340</wp:posOffset>
                      </wp:positionV>
                      <wp:extent cx="683260" cy="0"/>
                      <wp:effectExtent l="11430" t="12065" r="10160" b="698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1A1FF5" id="_x0000_t32" coordsize="21600,21600" o:spt="32" o:oned="t" path="m,l21600,21600e" filled="f">
                      <v:path arrowok="t" fillok="f" o:connecttype="none"/>
                      <o:lock v:ext="edit" shapetype="t"/>
                    </v:shapetype>
                    <v:shape id="AutoShape 2" o:spid="_x0000_s1026" type="#_x0000_t32" style="position:absolute;margin-left:48.15pt;margin-top:24.2pt;width:53.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ILHQIAADo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"/>
                  </w:pict>
                </mc:Fallback>
              </mc:AlternateContent>
            </w:r>
            <w:r w:rsidR="006926A8" w:rsidRPr="00996C50">
              <w:rPr>
                <w:rFonts w:ascii="Times New Roman" w:eastAsia="Times New Roman" w:hAnsi="Times New Roman" w:cs="Times New Roman"/>
                <w:b/>
                <w:lang w:val="en-US"/>
              </w:rPr>
              <w:t xml:space="preserve">                </w:t>
            </w:r>
            <w:r w:rsidR="00B36257" w:rsidRPr="00996C50">
              <w:rPr>
                <w:rFonts w:ascii="Times New Roman" w:eastAsia="Times New Roman" w:hAnsi="Times New Roman" w:cs="Times New Roman"/>
                <w:b/>
              </w:rPr>
              <w:t>VIỆT NAM</w:t>
            </w:r>
            <w:r w:rsidR="00B36257" w:rsidRPr="00996C50">
              <w:rPr>
                <w:rFonts w:ascii="Times New Roman" w:eastAsia="Times New Roman" w:hAnsi="Times New Roman" w:cs="Times New Roman"/>
                <w:b/>
              </w:rPr>
              <w:br/>
            </w:r>
          </w:p>
        </w:tc>
        <w:tc>
          <w:tcPr>
            <w:tcW w:w="5974" w:type="dxa"/>
          </w:tcPr>
          <w:p w:rsidR="00B36257" w:rsidRPr="00996C50" w:rsidRDefault="00A83FE2" w:rsidP="00754782">
            <w:pPr>
              <w:jc w:val="center"/>
              <w:rPr>
                <w:rFonts w:ascii="Times New Roman" w:eastAsia="Times New Roman" w:hAnsi="Times New Roman" w:cs="Times New Roman"/>
                <w:sz w:val="28"/>
                <w:szCs w:val="28"/>
              </w:rPr>
            </w:pPr>
            <w:r w:rsidRPr="00996C50">
              <w:rPr>
                <w:rFonts w:ascii="Times New Roman" w:eastAsia="Times New Roman" w:hAnsi="Times New Roman" w:cs="Times New Roman"/>
                <w:b/>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1247140</wp:posOffset>
                      </wp:positionH>
                      <wp:positionV relativeFrom="paragraph">
                        <wp:posOffset>517525</wp:posOffset>
                      </wp:positionV>
                      <wp:extent cx="1714500" cy="0"/>
                      <wp:effectExtent l="8890" t="12700" r="10160" b="63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0251A" id="AutoShape 3" o:spid="_x0000_s1026" type="#_x0000_t32" style="position:absolute;margin-left:98.2pt;margin-top:40.75pt;width:1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ZI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"/>
                  </w:pict>
                </mc:Fallback>
              </mc:AlternateContent>
            </w:r>
            <w:r w:rsidR="00B36257" w:rsidRPr="00996C50">
              <w:rPr>
                <w:rFonts w:ascii="Times New Roman" w:eastAsia="Times New Roman" w:hAnsi="Times New Roman" w:cs="Times New Roman"/>
                <w:b/>
              </w:rPr>
              <w:t xml:space="preserve">            CỘNG HÒA XÃ HỘI CHỦ NGHĨA VIỆT NAM</w:t>
            </w:r>
            <w:r w:rsidR="00B36257" w:rsidRPr="00996C50">
              <w:rPr>
                <w:rFonts w:ascii="Times New Roman" w:eastAsia="Times New Roman" w:hAnsi="Times New Roman" w:cs="Times New Roman"/>
                <w:b/>
              </w:rPr>
              <w:br/>
            </w:r>
            <w:r w:rsidR="00B36257" w:rsidRPr="00996C50">
              <w:rPr>
                <w:rFonts w:ascii="Times New Roman" w:eastAsia="Times New Roman" w:hAnsi="Times New Roman" w:cs="Times New Roman"/>
                <w:b/>
                <w:sz w:val="28"/>
                <w:szCs w:val="28"/>
              </w:rPr>
              <w:t xml:space="preserve">            Độc lập - Tự do - Hạnh phúc </w:t>
            </w:r>
            <w:r w:rsidR="00B36257" w:rsidRPr="00996C50">
              <w:rPr>
                <w:rFonts w:ascii="Times New Roman" w:eastAsia="Times New Roman" w:hAnsi="Times New Roman" w:cs="Times New Roman"/>
                <w:b/>
                <w:sz w:val="28"/>
                <w:szCs w:val="28"/>
              </w:rPr>
              <w:br/>
            </w:r>
          </w:p>
        </w:tc>
      </w:tr>
      <w:tr w:rsidR="00B36257" w:rsidRPr="00996C50" w:rsidTr="00754782">
        <w:tc>
          <w:tcPr>
            <w:tcW w:w="3348" w:type="dxa"/>
          </w:tcPr>
          <w:p w:rsidR="00B36257" w:rsidRPr="00996C50" w:rsidRDefault="00956C18" w:rsidP="00956C18">
            <w:pPr>
              <w:rPr>
                <w:rFonts w:ascii="Times New Roman" w:eastAsia="Times New Roman" w:hAnsi="Times New Roman" w:cs="Times New Roman"/>
                <w:sz w:val="28"/>
                <w:szCs w:val="28"/>
              </w:rPr>
            </w:pPr>
            <w:r w:rsidRPr="00996C50">
              <w:rPr>
                <w:rFonts w:ascii="Times New Roman" w:eastAsia="Times New Roman" w:hAnsi="Times New Roman" w:cs="Times New Roman"/>
                <w:sz w:val="28"/>
                <w:szCs w:val="28"/>
                <w:lang w:val="en-US"/>
              </w:rPr>
              <w:t xml:space="preserve">  </w:t>
            </w:r>
            <w:r w:rsidR="00B36257" w:rsidRPr="00996C50">
              <w:rPr>
                <w:rFonts w:ascii="Times New Roman" w:eastAsia="Times New Roman" w:hAnsi="Times New Roman" w:cs="Times New Roman"/>
                <w:sz w:val="28"/>
                <w:szCs w:val="28"/>
              </w:rPr>
              <w:t xml:space="preserve">Số: </w:t>
            </w:r>
            <w:r w:rsidRPr="00996C50">
              <w:rPr>
                <w:rFonts w:ascii="Times New Roman" w:eastAsia="Times New Roman" w:hAnsi="Times New Roman" w:cs="Times New Roman"/>
                <w:sz w:val="28"/>
                <w:szCs w:val="28"/>
                <w:lang w:val="en-US"/>
              </w:rPr>
              <w:t xml:space="preserve">        </w:t>
            </w:r>
            <w:r w:rsidR="00B36257" w:rsidRPr="00996C50">
              <w:rPr>
                <w:rFonts w:ascii="Times New Roman" w:eastAsia="Times New Roman" w:hAnsi="Times New Roman" w:cs="Times New Roman"/>
                <w:sz w:val="28"/>
                <w:szCs w:val="28"/>
              </w:rPr>
              <w:t>/TT-NHNN</w:t>
            </w:r>
          </w:p>
        </w:tc>
        <w:tc>
          <w:tcPr>
            <w:tcW w:w="5974" w:type="dxa"/>
          </w:tcPr>
          <w:p w:rsidR="00B36257" w:rsidRPr="00996C50" w:rsidRDefault="00956C18" w:rsidP="00956C18">
            <w:pPr>
              <w:rPr>
                <w:rFonts w:ascii="Times New Roman" w:eastAsia="Times New Roman" w:hAnsi="Times New Roman" w:cs="Times New Roman"/>
                <w:i/>
                <w:sz w:val="28"/>
                <w:szCs w:val="28"/>
              </w:rPr>
            </w:pPr>
            <w:r w:rsidRPr="00996C50">
              <w:rPr>
                <w:rFonts w:ascii="Times New Roman" w:eastAsia="Times New Roman" w:hAnsi="Times New Roman" w:cs="Times New Roman"/>
                <w:i/>
                <w:sz w:val="28"/>
                <w:szCs w:val="28"/>
                <w:lang w:val="en-US"/>
              </w:rPr>
              <w:t xml:space="preserve">                 </w:t>
            </w:r>
            <w:r w:rsidR="00B36257" w:rsidRPr="00996C50">
              <w:rPr>
                <w:rFonts w:ascii="Times New Roman" w:eastAsia="Times New Roman" w:hAnsi="Times New Roman" w:cs="Times New Roman"/>
                <w:i/>
                <w:sz w:val="28"/>
                <w:szCs w:val="28"/>
              </w:rPr>
              <w:t>Hà Nội, ngày       tháng      năm 2018</w:t>
            </w:r>
          </w:p>
        </w:tc>
      </w:tr>
    </w:tbl>
    <w:p w:rsidR="00B36257" w:rsidRPr="00996C50" w:rsidRDefault="00A83FE2" w:rsidP="00B36257">
      <w:pPr>
        <w:spacing w:before="120"/>
        <w:rPr>
          <w:rFonts w:ascii="Times New Roman" w:hAnsi="Times New Roman" w:cs="Times New Roman"/>
          <w:sz w:val="28"/>
          <w:szCs w:val="28"/>
        </w:rPr>
      </w:pPr>
      <w:r w:rsidRPr="00996C50">
        <w:rPr>
          <w:rFonts w:ascii="Times New Roman" w:hAnsi="Times New Roman" w:cs="Times New Roman"/>
          <w:b/>
          <w:noProof/>
          <w:sz w:val="28"/>
          <w:szCs w:val="28"/>
          <w:lang w:val="en-US" w:eastAsia="en-US"/>
        </w:rPr>
        <mc:AlternateContent>
          <mc:Choice Requires="wps">
            <w:drawing>
              <wp:anchor distT="0" distB="0" distL="114300" distR="114300" simplePos="0" relativeHeight="251662336" behindDoc="0" locked="0" layoutInCell="1" allowOverlap="1">
                <wp:simplePos x="0" y="0"/>
                <wp:positionH relativeFrom="column">
                  <wp:posOffset>-661670</wp:posOffset>
                </wp:positionH>
                <wp:positionV relativeFrom="paragraph">
                  <wp:posOffset>142875</wp:posOffset>
                </wp:positionV>
                <wp:extent cx="1448435" cy="402590"/>
                <wp:effectExtent l="14605" t="9525" r="13335"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02590"/>
                        </a:xfrm>
                        <a:prstGeom prst="rect">
                          <a:avLst/>
                        </a:prstGeom>
                        <a:solidFill>
                          <a:srgbClr val="FFFFFF"/>
                        </a:solidFill>
                        <a:ln w="19050">
                          <a:solidFill>
                            <a:srgbClr val="000000"/>
                          </a:solidFill>
                          <a:miter lim="800000"/>
                          <a:headEnd/>
                          <a:tailEnd/>
                        </a:ln>
                      </wps:spPr>
                      <wps:txbx>
                        <w:txbxContent>
                          <w:p w:rsidR="00B36257" w:rsidRPr="00831277" w:rsidRDefault="00B36257" w:rsidP="00B36257">
                            <w:pPr>
                              <w:jc w:val="center"/>
                              <w:rPr>
                                <w:rFonts w:asciiTheme="majorHAnsi" w:hAnsiTheme="majorHAnsi" w:cstheme="majorHAnsi"/>
                                <w:b/>
                                <w:sz w:val="20"/>
                                <w:szCs w:val="20"/>
                                <w:lang w:val="en-US"/>
                              </w:rPr>
                            </w:pPr>
                            <w:r w:rsidRPr="00831277">
                              <w:rPr>
                                <w:rFonts w:asciiTheme="majorHAnsi" w:hAnsiTheme="majorHAnsi" w:cstheme="majorHAnsi"/>
                                <w:b/>
                                <w:sz w:val="20"/>
                                <w:szCs w:val="20"/>
                                <w:lang w:val="en-US"/>
                              </w:rPr>
                              <w:t>DỰ THẢO</w:t>
                            </w:r>
                          </w:p>
                          <w:p w:rsidR="00B36257" w:rsidRPr="00831277" w:rsidRDefault="00A87354" w:rsidP="00B36257">
                            <w:pPr>
                              <w:jc w:val="center"/>
                              <w:rPr>
                                <w:rFonts w:asciiTheme="majorHAnsi" w:hAnsiTheme="majorHAnsi" w:cstheme="majorHAnsi"/>
                                <w:b/>
                                <w:sz w:val="20"/>
                                <w:szCs w:val="20"/>
                                <w:lang w:val="en-US"/>
                              </w:rPr>
                            </w:pPr>
                            <w:r w:rsidRPr="00831277">
                              <w:rPr>
                                <w:rFonts w:asciiTheme="majorHAnsi" w:hAnsiTheme="majorHAnsi" w:cstheme="majorHAnsi"/>
                                <w:b/>
                                <w:sz w:val="20"/>
                                <w:szCs w:val="20"/>
                                <w:lang w:val="en-US"/>
                              </w:rPr>
                              <w:t>N</w:t>
                            </w:r>
                            <w:r w:rsidR="00B36257" w:rsidRPr="00831277">
                              <w:rPr>
                                <w:rFonts w:asciiTheme="majorHAnsi" w:hAnsiTheme="majorHAnsi" w:cstheme="majorHAnsi"/>
                                <w:b/>
                                <w:sz w:val="20"/>
                                <w:szCs w:val="20"/>
                                <w:lang w:val="en-US"/>
                              </w:rPr>
                              <w:t>gày</w:t>
                            </w:r>
                            <w:r>
                              <w:rPr>
                                <w:rFonts w:asciiTheme="majorHAnsi" w:hAnsiTheme="majorHAnsi" w:cstheme="majorHAnsi"/>
                                <w:b/>
                                <w:sz w:val="20"/>
                                <w:szCs w:val="20"/>
                                <w:lang w:val="en-US"/>
                              </w:rPr>
                              <w:t xml:space="preserve"> </w:t>
                            </w:r>
                            <w:r w:rsidR="00370D75">
                              <w:rPr>
                                <w:rFonts w:asciiTheme="majorHAnsi" w:hAnsiTheme="majorHAnsi" w:cstheme="majorHAnsi"/>
                                <w:b/>
                                <w:sz w:val="20"/>
                                <w:szCs w:val="20"/>
                                <w:lang w:val="en-US"/>
                              </w:rPr>
                              <w:t>1</w:t>
                            </w:r>
                            <w:r w:rsidR="0001000F">
                              <w:rPr>
                                <w:rFonts w:asciiTheme="majorHAnsi" w:hAnsiTheme="majorHAnsi" w:cstheme="majorHAnsi"/>
                                <w:b/>
                                <w:sz w:val="20"/>
                                <w:szCs w:val="20"/>
                              </w:rPr>
                              <w:t>0</w:t>
                            </w:r>
                            <w:r w:rsidR="0001000F">
                              <w:rPr>
                                <w:rFonts w:asciiTheme="majorHAnsi" w:hAnsiTheme="majorHAnsi" w:cstheme="majorHAnsi"/>
                                <w:b/>
                                <w:sz w:val="20"/>
                                <w:szCs w:val="20"/>
                                <w:lang w:val="en-US"/>
                              </w:rPr>
                              <w:t>.04</w:t>
                            </w:r>
                            <w:bookmarkStart w:id="0" w:name="_GoBack"/>
                            <w:bookmarkEnd w:id="0"/>
                            <w:r w:rsidR="00BE7B8A">
                              <w:rPr>
                                <w:rFonts w:asciiTheme="majorHAnsi" w:hAnsiTheme="majorHAnsi" w:cstheme="majorHAnsi"/>
                                <w:b/>
                                <w:sz w:val="20"/>
                                <w:szCs w:val="20"/>
                                <w:lang w:val="en-US"/>
                              </w:rPr>
                              <w:t>.</w:t>
                            </w:r>
                            <w:r w:rsidR="00B36257" w:rsidRPr="00831277">
                              <w:rPr>
                                <w:rFonts w:asciiTheme="majorHAnsi" w:hAnsiTheme="majorHAnsi" w:cstheme="majorHAnsi"/>
                                <w:b/>
                                <w:sz w:val="20"/>
                                <w:szCs w:val="20"/>
                                <w:lang w:val="en-US"/>
                              </w:rPr>
                              <w:t>2018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2.1pt;margin-top:11.25pt;width:114.05pt;height:31.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" strokeweight="1.5pt">
                <v:textbox style="mso-fit-shape-to-text:t">
                  <w:txbxContent>
                    <w:p w:rsidR="00B36257" w:rsidRPr="00831277" w:rsidRDefault="00B36257" w:rsidP="00B36257">
                      <w:pPr>
                        <w:jc w:val="center"/>
                        <w:rPr>
                          <w:rFonts w:asciiTheme="majorHAnsi" w:hAnsiTheme="majorHAnsi" w:cstheme="majorHAnsi"/>
                          <w:b/>
                          <w:sz w:val="20"/>
                          <w:szCs w:val="20"/>
                          <w:lang w:val="en-US"/>
                        </w:rPr>
                      </w:pPr>
                      <w:r w:rsidRPr="00831277">
                        <w:rPr>
                          <w:rFonts w:asciiTheme="majorHAnsi" w:hAnsiTheme="majorHAnsi" w:cstheme="majorHAnsi"/>
                          <w:b/>
                          <w:sz w:val="20"/>
                          <w:szCs w:val="20"/>
                          <w:lang w:val="en-US"/>
                        </w:rPr>
                        <w:t>DỰ THẢO</w:t>
                      </w:r>
                    </w:p>
                    <w:p w:rsidR="00B36257" w:rsidRPr="00831277" w:rsidRDefault="00A87354" w:rsidP="00B36257">
                      <w:pPr>
                        <w:jc w:val="center"/>
                        <w:rPr>
                          <w:rFonts w:asciiTheme="majorHAnsi" w:hAnsiTheme="majorHAnsi" w:cstheme="majorHAnsi"/>
                          <w:b/>
                          <w:sz w:val="20"/>
                          <w:szCs w:val="20"/>
                          <w:lang w:val="en-US"/>
                        </w:rPr>
                      </w:pPr>
                      <w:r w:rsidRPr="00831277">
                        <w:rPr>
                          <w:rFonts w:asciiTheme="majorHAnsi" w:hAnsiTheme="majorHAnsi" w:cstheme="majorHAnsi"/>
                          <w:b/>
                          <w:sz w:val="20"/>
                          <w:szCs w:val="20"/>
                          <w:lang w:val="en-US"/>
                        </w:rPr>
                        <w:t>N</w:t>
                      </w:r>
                      <w:r w:rsidR="00B36257" w:rsidRPr="00831277">
                        <w:rPr>
                          <w:rFonts w:asciiTheme="majorHAnsi" w:hAnsiTheme="majorHAnsi" w:cstheme="majorHAnsi"/>
                          <w:b/>
                          <w:sz w:val="20"/>
                          <w:szCs w:val="20"/>
                          <w:lang w:val="en-US"/>
                        </w:rPr>
                        <w:t>gày</w:t>
                      </w:r>
                      <w:r>
                        <w:rPr>
                          <w:rFonts w:asciiTheme="majorHAnsi" w:hAnsiTheme="majorHAnsi" w:cstheme="majorHAnsi"/>
                          <w:b/>
                          <w:sz w:val="20"/>
                          <w:szCs w:val="20"/>
                          <w:lang w:val="en-US"/>
                        </w:rPr>
                        <w:t xml:space="preserve"> </w:t>
                      </w:r>
                      <w:r w:rsidR="00370D75">
                        <w:rPr>
                          <w:rFonts w:asciiTheme="majorHAnsi" w:hAnsiTheme="majorHAnsi" w:cstheme="majorHAnsi"/>
                          <w:b/>
                          <w:sz w:val="20"/>
                          <w:szCs w:val="20"/>
                          <w:lang w:val="en-US"/>
                        </w:rPr>
                        <w:t>1</w:t>
                      </w:r>
                      <w:r w:rsidR="0001000F">
                        <w:rPr>
                          <w:rFonts w:asciiTheme="majorHAnsi" w:hAnsiTheme="majorHAnsi" w:cstheme="majorHAnsi"/>
                          <w:b/>
                          <w:sz w:val="20"/>
                          <w:szCs w:val="20"/>
                        </w:rPr>
                        <w:t>0</w:t>
                      </w:r>
                      <w:r w:rsidR="0001000F">
                        <w:rPr>
                          <w:rFonts w:asciiTheme="majorHAnsi" w:hAnsiTheme="majorHAnsi" w:cstheme="majorHAnsi"/>
                          <w:b/>
                          <w:sz w:val="20"/>
                          <w:szCs w:val="20"/>
                          <w:lang w:val="en-US"/>
                        </w:rPr>
                        <w:t>.04</w:t>
                      </w:r>
                      <w:bookmarkStart w:id="1" w:name="_GoBack"/>
                      <w:bookmarkEnd w:id="1"/>
                      <w:r w:rsidR="00BE7B8A">
                        <w:rPr>
                          <w:rFonts w:asciiTheme="majorHAnsi" w:hAnsiTheme="majorHAnsi" w:cstheme="majorHAnsi"/>
                          <w:b/>
                          <w:sz w:val="20"/>
                          <w:szCs w:val="20"/>
                          <w:lang w:val="en-US"/>
                        </w:rPr>
                        <w:t>.</w:t>
                      </w:r>
                      <w:r w:rsidR="00B36257" w:rsidRPr="00831277">
                        <w:rPr>
                          <w:rFonts w:asciiTheme="majorHAnsi" w:hAnsiTheme="majorHAnsi" w:cstheme="majorHAnsi"/>
                          <w:b/>
                          <w:sz w:val="20"/>
                          <w:szCs w:val="20"/>
                          <w:lang w:val="en-US"/>
                        </w:rPr>
                        <w:t>2018</w:t>
                      </w:r>
                    </w:p>
                  </w:txbxContent>
                </v:textbox>
              </v:shape>
            </w:pict>
          </mc:Fallback>
        </mc:AlternateContent>
      </w:r>
    </w:p>
    <w:p w:rsidR="00B36257" w:rsidRPr="00996C50" w:rsidRDefault="00B36257" w:rsidP="00B36257">
      <w:pPr>
        <w:tabs>
          <w:tab w:val="center" w:pos="4535"/>
        </w:tabs>
        <w:spacing w:before="120"/>
        <w:jc w:val="center"/>
        <w:rPr>
          <w:rFonts w:ascii="Times New Roman" w:hAnsi="Times New Roman" w:cs="Times New Roman"/>
          <w:b/>
          <w:sz w:val="28"/>
          <w:szCs w:val="28"/>
        </w:rPr>
      </w:pPr>
    </w:p>
    <w:p w:rsidR="00B36257" w:rsidRPr="00996C50" w:rsidRDefault="00B36257" w:rsidP="00B36257">
      <w:pPr>
        <w:tabs>
          <w:tab w:val="center" w:pos="4535"/>
        </w:tabs>
        <w:spacing w:before="120" w:after="120"/>
        <w:jc w:val="center"/>
        <w:rPr>
          <w:rFonts w:ascii="Times New Roman" w:hAnsi="Times New Roman" w:cs="Times New Roman"/>
          <w:b/>
          <w:sz w:val="28"/>
          <w:szCs w:val="28"/>
        </w:rPr>
      </w:pPr>
      <w:r w:rsidRPr="00996C50">
        <w:rPr>
          <w:rFonts w:ascii="Times New Roman" w:hAnsi="Times New Roman" w:cs="Times New Roman"/>
          <w:b/>
          <w:sz w:val="28"/>
          <w:szCs w:val="28"/>
        </w:rPr>
        <w:t>THÔNG TƯ</w:t>
      </w:r>
    </w:p>
    <w:p w:rsidR="00B36257" w:rsidRPr="00996C50" w:rsidRDefault="00B36257" w:rsidP="00B36257">
      <w:pPr>
        <w:jc w:val="center"/>
        <w:rPr>
          <w:rFonts w:ascii="Times New Roman" w:hAnsi="Times New Roman" w:cs="Times New Roman"/>
          <w:b/>
          <w:sz w:val="28"/>
          <w:szCs w:val="28"/>
        </w:rPr>
      </w:pPr>
      <w:r w:rsidRPr="00996C50">
        <w:rPr>
          <w:rFonts w:ascii="Times New Roman" w:hAnsi="Times New Roman" w:cs="Times New Roman"/>
          <w:b/>
          <w:sz w:val="28"/>
          <w:szCs w:val="28"/>
        </w:rPr>
        <w:t xml:space="preserve">Hướng dẫn về quản lý ngoại hối đối với đầu tư ra nước ngoài </w:t>
      </w:r>
    </w:p>
    <w:p w:rsidR="00B36257" w:rsidRPr="00996C50" w:rsidRDefault="00B36257" w:rsidP="00B36257">
      <w:pPr>
        <w:jc w:val="center"/>
        <w:rPr>
          <w:rFonts w:ascii="Times New Roman" w:hAnsi="Times New Roman" w:cs="Times New Roman"/>
          <w:b/>
          <w:sz w:val="28"/>
          <w:szCs w:val="28"/>
        </w:rPr>
      </w:pPr>
      <w:r w:rsidRPr="00996C50">
        <w:rPr>
          <w:rFonts w:ascii="Times New Roman" w:hAnsi="Times New Roman" w:cs="Times New Roman"/>
          <w:b/>
          <w:sz w:val="28"/>
          <w:szCs w:val="28"/>
        </w:rPr>
        <w:t>trong hoạt động dầu khí</w:t>
      </w:r>
    </w:p>
    <w:p w:rsidR="00B36257" w:rsidRPr="00996C50" w:rsidRDefault="00A83FE2" w:rsidP="00B36257">
      <w:pPr>
        <w:jc w:val="center"/>
        <w:rPr>
          <w:b/>
          <w:sz w:val="28"/>
          <w:szCs w:val="28"/>
        </w:rPr>
      </w:pPr>
      <w:r w:rsidRPr="00996C50">
        <w:rPr>
          <w:b/>
          <w:bCs/>
          <w:noProof/>
          <w:sz w:val="28"/>
          <w:szCs w:val="28"/>
          <w:lang w:val="en-US" w:eastAsia="en-US"/>
        </w:rPr>
        <mc:AlternateContent>
          <mc:Choice Requires="wps">
            <w:drawing>
              <wp:anchor distT="0" distB="0" distL="114300" distR="114300" simplePos="0" relativeHeight="251663360" behindDoc="0" locked="0" layoutInCell="1" allowOverlap="1">
                <wp:simplePos x="0" y="0"/>
                <wp:positionH relativeFrom="column">
                  <wp:posOffset>2171700</wp:posOffset>
                </wp:positionH>
                <wp:positionV relativeFrom="paragraph">
                  <wp:posOffset>153670</wp:posOffset>
                </wp:positionV>
                <wp:extent cx="1371600" cy="0"/>
                <wp:effectExtent l="9525" t="10795" r="9525" b="82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EE47F"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1pt" to="27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6nn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" strokeweight="1.2pt"/>
            </w:pict>
          </mc:Fallback>
        </mc:AlternateContent>
      </w:r>
    </w:p>
    <w:p w:rsidR="00B36257" w:rsidRPr="00996C50" w:rsidRDefault="00B36257" w:rsidP="00B36257">
      <w:pPr>
        <w:spacing w:before="120"/>
        <w:jc w:val="center"/>
        <w:rPr>
          <w:rFonts w:ascii="Times New Roman" w:hAnsi="Times New Roman" w:cs="Times New Roman"/>
          <w:sz w:val="28"/>
          <w:szCs w:val="28"/>
        </w:rPr>
      </w:pP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Căn cứ Luật Ngân hàng Nhà nước Việt Nam số 46/2010/QH12 ngày 16 tháng 6 năm 2010;</w:t>
      </w: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 xml:space="preserve">Căn cứ Luật các tổ chức tín dụng số 47/2016/QH12 ngày 16 tháng 6 năm </w:t>
      </w:r>
      <w:bookmarkStart w:id="2" w:name="bookmark0"/>
      <w:r w:rsidRPr="00996C50">
        <w:rPr>
          <w:rFonts w:ascii="Times New Roman" w:eastAsia="Times New Roman" w:hAnsi="Times New Roman" w:cs="Times New Roman"/>
          <w:i/>
          <w:iCs/>
          <w:color w:val="auto"/>
          <w:sz w:val="28"/>
          <w:szCs w:val="28"/>
          <w:lang w:eastAsia="en-US"/>
        </w:rPr>
        <w:t>201</w:t>
      </w:r>
      <w:bookmarkEnd w:id="2"/>
      <w:r w:rsidRPr="00996C50">
        <w:rPr>
          <w:rFonts w:ascii="Times New Roman" w:eastAsia="Times New Roman" w:hAnsi="Times New Roman" w:cs="Times New Roman"/>
          <w:i/>
          <w:iCs/>
          <w:color w:val="auto"/>
          <w:sz w:val="28"/>
          <w:szCs w:val="28"/>
          <w:lang w:eastAsia="en-US"/>
        </w:rPr>
        <w:t xml:space="preserve">0 và Luật sửa đổi, bổ sung một số điều của Luật các tổ chức tín dụng; </w:t>
      </w: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Căn cứ Luật Đầu tư số 67/2014/QH13 ngày 26 tháng 11 năm 2014;</w:t>
      </w: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Căn cứ Pháp lệnh Ngoại hối số 28/2005/PL-UBTVQH11 ngày 13 tháng 12 năm 2005 và Pháp lệnh số 06/2013/PL-UBTVQH13 ngày 18 tháng 3 năm 2013 sửa đổi, bổ sung một số điều của Pháp lệnh Ngoại hối số 28/2005/PL-UBTVQH11 ngày 13 tháng 12 năm 2005;</w:t>
      </w:r>
    </w:p>
    <w:p w:rsidR="00B36257" w:rsidRPr="00996C50" w:rsidRDefault="00B36257" w:rsidP="00B36257">
      <w:pPr>
        <w:widowControl/>
        <w:spacing w:before="120" w:after="10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Căn cứ Nghị định số 124/2017/NĐ-CP ngày 15 tháng 11 năm 2017 của Chính phủ quy định về đầu tư ra nước ngoài trong hoạt động dầu khí;</w:t>
      </w: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Căn cứ Nghị định số 16/2017/NĐ-CP ngày 17 tháng 02 năm 2017 của Chính phủ quy định chức năng, nhiệm vụ, quyền hạn và cơ cấu tổ chức của Ngân hàng Nhà nước Việt Nam;</w:t>
      </w:r>
    </w:p>
    <w:p w:rsidR="00B36257" w:rsidRPr="00996C50" w:rsidRDefault="00B36257" w:rsidP="00B36257">
      <w:pPr>
        <w:widowControl/>
        <w:spacing w:before="120" w:after="280" w:afterAutospacing="1"/>
        <w:ind w:firstLine="567"/>
        <w:jc w:val="both"/>
        <w:rPr>
          <w:rFonts w:ascii="Times New Roman" w:eastAsia="Times New Roman" w:hAnsi="Times New Roman" w:cs="Times New Roman"/>
          <w:i/>
          <w:iCs/>
          <w:color w:val="auto"/>
          <w:sz w:val="28"/>
          <w:szCs w:val="28"/>
          <w:lang w:eastAsia="en-US"/>
        </w:rPr>
      </w:pPr>
      <w:r w:rsidRPr="00996C50">
        <w:rPr>
          <w:rFonts w:ascii="Times New Roman" w:eastAsia="Times New Roman" w:hAnsi="Times New Roman" w:cs="Times New Roman"/>
          <w:i/>
          <w:iCs/>
          <w:color w:val="auto"/>
          <w:sz w:val="28"/>
          <w:szCs w:val="28"/>
          <w:lang w:eastAsia="en-US"/>
        </w:rPr>
        <w:t xml:space="preserve">Theo đề nghị của Vụ trưởng Vụ Quản lý </w:t>
      </w:r>
      <w:r w:rsidR="00A87354" w:rsidRPr="00996C50">
        <w:rPr>
          <w:rFonts w:ascii="Times New Roman" w:eastAsia="Times New Roman" w:hAnsi="Times New Roman" w:cs="Times New Roman"/>
          <w:i/>
          <w:iCs/>
          <w:color w:val="auto"/>
          <w:sz w:val="28"/>
          <w:szCs w:val="28"/>
          <w:lang w:val="en-US" w:eastAsia="en-US"/>
        </w:rPr>
        <w:t>n</w:t>
      </w:r>
      <w:r w:rsidRPr="00996C50">
        <w:rPr>
          <w:rFonts w:ascii="Times New Roman" w:eastAsia="Times New Roman" w:hAnsi="Times New Roman" w:cs="Times New Roman"/>
          <w:i/>
          <w:iCs/>
          <w:color w:val="auto"/>
          <w:sz w:val="28"/>
          <w:szCs w:val="28"/>
          <w:lang w:eastAsia="en-US"/>
        </w:rPr>
        <w:t>goại hối;</w:t>
      </w:r>
    </w:p>
    <w:p w:rsidR="00B36257" w:rsidRPr="00996C50" w:rsidRDefault="00B36257" w:rsidP="00B36257">
      <w:pPr>
        <w:widowControl/>
        <w:spacing w:before="120" w:after="280" w:afterAutospacing="1"/>
        <w:ind w:firstLine="567"/>
        <w:jc w:val="both"/>
        <w:rPr>
          <w:rFonts w:ascii="Times New Roman" w:hAnsi="Times New Roman" w:cs="Times New Roman"/>
          <w:b/>
          <w:sz w:val="28"/>
          <w:szCs w:val="28"/>
        </w:rPr>
      </w:pPr>
      <w:r w:rsidRPr="00996C50">
        <w:rPr>
          <w:rFonts w:ascii="Times New Roman" w:eastAsia="Times New Roman" w:hAnsi="Times New Roman" w:cs="Times New Roman"/>
          <w:i/>
          <w:iCs/>
          <w:color w:val="auto"/>
          <w:sz w:val="28"/>
          <w:szCs w:val="28"/>
          <w:lang w:eastAsia="en-US"/>
        </w:rPr>
        <w:t>Thống đốc Ngân hàng Nhà nước Việt Nam ban hành Thông tư hướng dẫn về quản lý ngoại hối đối với đầu tư ra nước ngoài trong hoạt động dầu khí.</w:t>
      </w:r>
    </w:p>
    <w:p w:rsidR="00B36257" w:rsidRPr="00996C50" w:rsidRDefault="00B36257" w:rsidP="00B36257">
      <w:pPr>
        <w:spacing w:after="120"/>
        <w:ind w:firstLine="567"/>
        <w:jc w:val="center"/>
        <w:rPr>
          <w:rFonts w:ascii="Times New Roman" w:hAnsi="Times New Roman" w:cs="Times New Roman"/>
          <w:b/>
          <w:sz w:val="28"/>
          <w:szCs w:val="28"/>
          <w:lang w:val="en-US"/>
        </w:rPr>
      </w:pPr>
      <w:r w:rsidRPr="00996C50">
        <w:rPr>
          <w:rFonts w:ascii="Times New Roman" w:hAnsi="Times New Roman" w:cs="Times New Roman"/>
          <w:b/>
          <w:sz w:val="28"/>
          <w:szCs w:val="28"/>
        </w:rPr>
        <w:t xml:space="preserve">Chương </w:t>
      </w:r>
      <w:r w:rsidRPr="00996C50">
        <w:rPr>
          <w:rFonts w:ascii="Times New Roman" w:hAnsi="Times New Roman" w:cs="Times New Roman"/>
          <w:b/>
          <w:sz w:val="28"/>
          <w:szCs w:val="28"/>
          <w:lang w:val="en-US"/>
        </w:rPr>
        <w:t>I</w:t>
      </w:r>
    </w:p>
    <w:p w:rsidR="00B36257" w:rsidRPr="00996C50" w:rsidRDefault="00B36257" w:rsidP="00B36257">
      <w:pPr>
        <w:ind w:firstLine="567"/>
        <w:jc w:val="center"/>
        <w:rPr>
          <w:rFonts w:ascii="Times New Roman" w:hAnsi="Times New Roman" w:cs="Times New Roman"/>
          <w:b/>
          <w:sz w:val="26"/>
          <w:szCs w:val="26"/>
          <w:lang w:val="en-US"/>
        </w:rPr>
      </w:pPr>
      <w:r w:rsidRPr="00996C50">
        <w:rPr>
          <w:rFonts w:ascii="Times New Roman" w:hAnsi="Times New Roman" w:cs="Times New Roman"/>
          <w:b/>
          <w:sz w:val="26"/>
          <w:szCs w:val="26"/>
        </w:rPr>
        <w:t>QUY ĐỊNH CHUNG</w:t>
      </w:r>
    </w:p>
    <w:p w:rsidR="00B36257" w:rsidRPr="00996C50" w:rsidRDefault="00B36257" w:rsidP="00B36257">
      <w:pPr>
        <w:widowControl/>
        <w:spacing w:before="240" w:after="120" w:line="340" w:lineRule="exact"/>
        <w:ind w:firstLine="539"/>
        <w:jc w:val="both"/>
        <w:rPr>
          <w:rFonts w:ascii="Times New Roman" w:eastAsia="Times New Roman" w:hAnsi="Times New Roman" w:cs="Times New Roman"/>
          <w:b/>
          <w:bCs/>
          <w:color w:val="auto"/>
          <w:sz w:val="28"/>
          <w:szCs w:val="28"/>
          <w:lang w:val="pt-BR" w:eastAsia="en-US"/>
        </w:rPr>
      </w:pPr>
      <w:r w:rsidRPr="00996C50">
        <w:rPr>
          <w:rFonts w:ascii="Times New Roman" w:eastAsia="Times New Roman" w:hAnsi="Times New Roman" w:cs="Times New Roman"/>
          <w:b/>
          <w:bCs/>
          <w:color w:val="auto"/>
          <w:sz w:val="28"/>
          <w:szCs w:val="28"/>
          <w:lang w:val="pt-BR" w:eastAsia="en-US"/>
        </w:rPr>
        <w:t>Điều 1. Phạm vi điều chỉnh</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Thông tư này quy định về việc</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chuyển ngoại tệ ra nước ngoài trước khi được cấp Giấy chứng nhận đăng ký đầu tư ra nước ngoài của nhà đầu tư; việc  mở và sử dụng tài khoản vốn đầu tư bằng ngoại tệ và bằng đồng Việt Nam;</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 xml:space="preserve">đăng </w:t>
      </w:r>
      <w:r w:rsidRPr="00996C50">
        <w:rPr>
          <w:rFonts w:ascii="Times New Roman" w:eastAsia="Times New Roman" w:hAnsi="Times New Roman" w:cs="Times New Roman"/>
          <w:color w:val="auto"/>
          <w:sz w:val="28"/>
          <w:szCs w:val="28"/>
          <w:lang w:val="pt-BR" w:eastAsia="en-US"/>
        </w:rPr>
        <w:lastRenderedPageBreak/>
        <w:t>ký, đăng ký thay đổi giao dịch ngoại hối của các nhà đầu tư sau khi được cấp Giấy chứng nhận đăng ký đầu tư ra nước ngoài; chuyển vốn đầu tư, lợi nhuận, thu nhập hợp pháp ở nước ngoài về Việt Nam</w:t>
      </w:r>
      <w:r w:rsidR="005A5F92" w:rsidRPr="00996C50">
        <w:rPr>
          <w:rFonts w:ascii="Times New Roman" w:eastAsia="Times New Roman" w:hAnsi="Times New Roman" w:cs="Times New Roman"/>
          <w:color w:val="auto"/>
          <w:sz w:val="28"/>
          <w:szCs w:val="28"/>
          <w:lang w:val="pt-BR" w:eastAsia="en-US"/>
        </w:rPr>
        <w:t xml:space="preserve"> trong hoạt động dầu khí</w:t>
      </w:r>
      <w:r w:rsidRPr="00996C50">
        <w:rPr>
          <w:rFonts w:ascii="Times New Roman" w:eastAsia="Times New Roman" w:hAnsi="Times New Roman" w:cs="Times New Roman"/>
          <w:color w:val="auto"/>
          <w:sz w:val="28"/>
          <w:szCs w:val="28"/>
          <w:lang w:val="pt-BR" w:eastAsia="en-US"/>
        </w:rPr>
        <w:t>.</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2. Các quy định về quản lý ngoại hối đối với đầu tư dự án dầu khí ra nước ngoài theo hình thức quy định tại </w:t>
      </w:r>
      <w:bookmarkStart w:id="3" w:name="dc_62"/>
      <w:r w:rsidR="00A83FE2" w:rsidRPr="00996C50">
        <w:rPr>
          <w:rFonts w:ascii="Times New Roman" w:eastAsia="Times New Roman" w:hAnsi="Times New Roman" w:cs="Times New Roman"/>
          <w:color w:val="auto"/>
          <w:sz w:val="28"/>
          <w:szCs w:val="28"/>
          <w:lang w:val="pt-BR" w:eastAsia="en-US"/>
        </w:rPr>
        <w:t>điểm d k</w:t>
      </w:r>
      <w:r w:rsidRPr="00996C50">
        <w:rPr>
          <w:rFonts w:ascii="Times New Roman" w:eastAsia="Times New Roman" w:hAnsi="Times New Roman" w:cs="Times New Roman"/>
          <w:color w:val="auto"/>
          <w:sz w:val="28"/>
          <w:szCs w:val="28"/>
          <w:lang w:val="pt-BR" w:eastAsia="en-US"/>
        </w:rPr>
        <w:t>hoản 1 Điều 52 của Luật Đầu tư</w:t>
      </w:r>
      <w:bookmarkEnd w:id="3"/>
      <w:r w:rsidRPr="00996C50">
        <w:rPr>
          <w:rFonts w:ascii="Times New Roman" w:eastAsia="Times New Roman" w:hAnsi="Times New Roman" w:cs="Times New Roman"/>
          <w:color w:val="auto"/>
          <w:sz w:val="28"/>
          <w:szCs w:val="28"/>
          <w:lang w:val="pt-BR" w:eastAsia="en-US"/>
        </w:rPr>
        <w:t xml:space="preserve"> không thuộc phạm vi điều chỉnh của Thông tư này.</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b/>
          <w:color w:val="auto"/>
          <w:sz w:val="28"/>
          <w:szCs w:val="28"/>
          <w:lang w:val="pt-BR" w:eastAsia="en-US"/>
        </w:rPr>
      </w:pPr>
      <w:r w:rsidRPr="00996C50">
        <w:rPr>
          <w:rFonts w:ascii="Times New Roman" w:eastAsia="Times New Roman" w:hAnsi="Times New Roman" w:cs="Times New Roman"/>
          <w:b/>
          <w:color w:val="auto"/>
          <w:sz w:val="28"/>
          <w:szCs w:val="28"/>
          <w:lang w:val="pt-BR" w:eastAsia="en-US"/>
        </w:rPr>
        <w:t>Điều 2. Đối tượng áp dụng</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1. Các nhà đầu tư Việt Nam (sau đây gọi là “nhà đầu tư”) gồm người cư trú là tổ chức (không </w:t>
      </w:r>
      <w:r w:rsidR="00CF5C1B" w:rsidRPr="00996C50">
        <w:rPr>
          <w:rFonts w:ascii="Times New Roman" w:eastAsia="Times New Roman" w:hAnsi="Times New Roman" w:cs="Times New Roman"/>
          <w:color w:val="auto"/>
          <w:sz w:val="28"/>
          <w:szCs w:val="28"/>
          <w:lang w:val="pt-BR" w:eastAsia="en-US"/>
        </w:rPr>
        <w:t xml:space="preserve">bao </w:t>
      </w:r>
      <w:r w:rsidRPr="00996C50">
        <w:rPr>
          <w:rFonts w:ascii="Times New Roman" w:eastAsia="Times New Roman" w:hAnsi="Times New Roman" w:cs="Times New Roman"/>
          <w:color w:val="auto"/>
          <w:sz w:val="28"/>
          <w:szCs w:val="28"/>
          <w:lang w:val="pt-BR" w:eastAsia="en-US"/>
        </w:rPr>
        <w:t>gồm tổ chức tín dụng) và</w:t>
      </w:r>
      <w:r w:rsidR="00CF5C1B" w:rsidRPr="00996C50">
        <w:rPr>
          <w:rFonts w:ascii="Times New Roman" w:eastAsia="Times New Roman" w:hAnsi="Times New Roman" w:cs="Times New Roman"/>
          <w:color w:val="auto"/>
          <w:sz w:val="28"/>
          <w:szCs w:val="28"/>
          <w:lang w:val="pt-BR" w:eastAsia="en-US"/>
        </w:rPr>
        <w:t xml:space="preserve"> người cư trú là</w:t>
      </w:r>
      <w:r w:rsidRPr="00996C50">
        <w:rPr>
          <w:rFonts w:ascii="Times New Roman" w:eastAsia="Times New Roman" w:hAnsi="Times New Roman" w:cs="Times New Roman"/>
          <w:color w:val="auto"/>
          <w:sz w:val="28"/>
          <w:szCs w:val="28"/>
          <w:lang w:val="pt-BR" w:eastAsia="en-US"/>
        </w:rPr>
        <w:t xml:space="preserve"> cá nhân thực hiện đầu tư ra nước ngoài trong hoạt động dầu khí theo</w:t>
      </w:r>
      <w:r w:rsidR="00CF5C1B" w:rsidRPr="00996C50">
        <w:rPr>
          <w:rFonts w:ascii="Times New Roman" w:eastAsia="Times New Roman" w:hAnsi="Times New Roman" w:cs="Times New Roman"/>
          <w:color w:val="auto"/>
          <w:sz w:val="28"/>
          <w:szCs w:val="28"/>
          <w:lang w:val="pt-BR" w:eastAsia="en-US"/>
        </w:rPr>
        <w:t xml:space="preserve"> các hình thức</w:t>
      </w:r>
      <w:r w:rsidRPr="00996C50">
        <w:rPr>
          <w:rFonts w:ascii="Times New Roman" w:eastAsia="Times New Roman" w:hAnsi="Times New Roman" w:cs="Times New Roman"/>
          <w:color w:val="auto"/>
          <w:sz w:val="28"/>
          <w:szCs w:val="28"/>
          <w:lang w:val="pt-BR" w:eastAsia="en-US"/>
        </w:rPr>
        <w:t xml:space="preserve"> quy định </w:t>
      </w:r>
      <w:r w:rsidR="00A83FE2" w:rsidRPr="00996C50">
        <w:rPr>
          <w:rFonts w:ascii="Times New Roman" w:eastAsia="Times New Roman" w:hAnsi="Times New Roman" w:cs="Times New Roman"/>
          <w:color w:val="auto"/>
          <w:sz w:val="28"/>
          <w:szCs w:val="28"/>
          <w:lang w:val="pt-BR" w:eastAsia="en-US"/>
        </w:rPr>
        <w:t xml:space="preserve">tại khoản </w:t>
      </w:r>
      <w:r w:rsidR="00CF5C1B" w:rsidRPr="00996C50">
        <w:rPr>
          <w:rFonts w:ascii="Times New Roman" w:eastAsia="Times New Roman" w:hAnsi="Times New Roman" w:cs="Times New Roman"/>
          <w:color w:val="auto"/>
          <w:sz w:val="28"/>
          <w:szCs w:val="28"/>
          <w:lang w:val="pt-BR" w:eastAsia="en-US"/>
        </w:rPr>
        <w:t xml:space="preserve">1 Điều 52 (trừ hình thức quy định tại điểm d khoản 1 Điều 52) </w:t>
      </w:r>
      <w:r w:rsidR="00956C18" w:rsidRPr="00996C50">
        <w:rPr>
          <w:rFonts w:ascii="Times New Roman" w:eastAsia="Times New Roman" w:hAnsi="Times New Roman" w:cs="Times New Roman"/>
          <w:color w:val="auto"/>
          <w:sz w:val="28"/>
          <w:szCs w:val="28"/>
          <w:lang w:val="pt-BR" w:eastAsia="en-US"/>
        </w:rPr>
        <w:t xml:space="preserve">của </w:t>
      </w:r>
      <w:r w:rsidR="00CF5C1B" w:rsidRPr="00996C50">
        <w:rPr>
          <w:rFonts w:ascii="Times New Roman" w:eastAsia="Times New Roman" w:hAnsi="Times New Roman" w:cs="Times New Roman"/>
          <w:color w:val="auto"/>
          <w:sz w:val="28"/>
          <w:szCs w:val="28"/>
          <w:lang w:val="pt-BR" w:eastAsia="en-US"/>
        </w:rPr>
        <w:t>Luật Đầu tư</w:t>
      </w:r>
      <w:r w:rsidRPr="00996C50">
        <w:rPr>
          <w:rFonts w:ascii="Times New Roman" w:eastAsia="Times New Roman" w:hAnsi="Times New Roman" w:cs="Times New Roman"/>
          <w:color w:val="auto"/>
          <w:sz w:val="28"/>
          <w:szCs w:val="28"/>
          <w:lang w:val="pt-BR" w:eastAsia="en-US"/>
        </w:rPr>
        <w:t>.</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Các tổ chức, cá nhân khác có liên quan đến đầu tư ra nước ngoài trong hoạt động dầu khí.</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b/>
          <w:color w:val="auto"/>
          <w:sz w:val="28"/>
          <w:szCs w:val="28"/>
          <w:lang w:val="pt-BR" w:eastAsia="en-US"/>
        </w:rPr>
      </w:pPr>
      <w:r w:rsidRPr="00996C50">
        <w:rPr>
          <w:rFonts w:ascii="Times New Roman" w:eastAsia="Times New Roman" w:hAnsi="Times New Roman" w:cs="Times New Roman"/>
          <w:b/>
          <w:color w:val="auto"/>
          <w:sz w:val="28"/>
          <w:szCs w:val="28"/>
          <w:lang w:val="pt-BR" w:eastAsia="en-US"/>
        </w:rPr>
        <w:t>Điều 3. Giải thích từ ngữ</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Trong Thông tư này, các từ ngữ dưới đây được hiểu như sau:</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Tổ chức tín dụng được phép là các tổ chức tín dụng, chi nhánh ngân hàng nước ngoài được phép kinh doanh, cung ứng dịch vụ ngoại hối theo quy định của Ngân hàng Nhà nước Việt Nam (sau đây gọi là Ngân hàng Nhà nước).</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Tài khoản vốn đầu tư ra nước ngoài (sau đây gọi là tài khoản vốn đầu tư) là tài khoản thanh toán bằng ngoại tệ hoặc tài khoản thanh toán bằng đồng Việt Nam của nhà đầu tư mở tại tổ chức tín dụng được phép tại Việt Nam để thực hiện các giao dịch thu, chi theo quy định tại Thông tư này.</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3. Tài khoản ngoại tệ trước khi được cấp Giấy chứng nhận đăng ký đầu tư ra nước ngoài (sau đây gọi là tài khoản ngoại tệ trước đầu tư) là tài khoản thanh toán bằng ngoại tệ của nhà đầu tư mở tại tổ chức tín dụng được phép tại Việt Nam để chuyển ngoại tệ ra nước ngoài trước khi được cấp Giấy chứng nhận đăng ký đầu tư ra nước ngoài để đáp ứng các chi phí cho hoạt động hình thành dự án đầu tư ở nước ngoài trong lĩnh vực dầu khí quy định tại</w:t>
      </w:r>
      <w:bookmarkStart w:id="4" w:name="dc_63"/>
      <w:r w:rsidR="006926A8" w:rsidRPr="00996C50">
        <w:rPr>
          <w:rFonts w:ascii="Times New Roman" w:eastAsia="Times New Roman" w:hAnsi="Times New Roman" w:cs="Times New Roman"/>
          <w:color w:val="auto"/>
          <w:sz w:val="28"/>
          <w:szCs w:val="28"/>
          <w:lang w:val="pt-BR" w:eastAsia="en-US"/>
        </w:rPr>
        <w:t xml:space="preserve"> </w:t>
      </w:r>
      <w:r w:rsidR="00A83FE2"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1, </w:t>
      </w:r>
      <w:r w:rsidR="00A83FE2"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4 Điều 5 Nghị định 124/2017/NĐ-CP</w:t>
      </w:r>
      <w:bookmarkEnd w:id="4"/>
      <w:r w:rsidRPr="00996C50">
        <w:rPr>
          <w:rFonts w:ascii="Times New Roman" w:eastAsia="Times New Roman" w:hAnsi="Times New Roman" w:cs="Times New Roman"/>
          <w:color w:val="auto"/>
          <w:sz w:val="28"/>
          <w:szCs w:val="28"/>
          <w:lang w:val="pt-BR" w:eastAsia="en-US"/>
        </w:rPr>
        <w:t xml:space="preserve"> ngày 15/11/2017 của Chính phủ quy định về đầu tư ra nước ngoài trong hoạt động dầu khí (sau đây gọi là Nghị định 124/2017/NĐ-CP).</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4. Đăng ký giao dịch ngoại hối liên quan đến đầu tư ra nước ngoài trong hoạt động dầu khí là việc nhà đầu tư thực hiện đăng ký với Ngân hàng Nhà nước các thông tin về nhà đầu tư, vốn đầu tư, tài khoản vốn đầu tư mở tại tổ chức tín dụng được phép để thực hiện hoạt động đầu tư tại nước ngoài và tiến độ chuyển vốn đầu tư bằng tiền ra nước ngoài theo quy định tại Thông tư này.</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strike/>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5. Đăng ký thay đổi giao dịch ngoại hối liên quan đến đầu tư ra nước ngoài trong hoạt động dầu khí là việc nhà đầu tư thực hiện đăng ký thay đổi với Ngân hàng Nhà nước theo quy định tại Thông tư này </w:t>
      </w:r>
      <w:r w:rsidR="00FC0EB0" w:rsidRPr="00996C50">
        <w:rPr>
          <w:rFonts w:ascii="Times New Roman" w:eastAsia="Times New Roman" w:hAnsi="Times New Roman" w:cs="Times New Roman"/>
          <w:color w:val="auto"/>
          <w:sz w:val="28"/>
          <w:szCs w:val="28"/>
          <w:lang w:val="pt-BR" w:eastAsia="en-US"/>
        </w:rPr>
        <w:t xml:space="preserve">đối với các trường hợp quy định tại </w:t>
      </w:r>
      <w:r w:rsidR="00A83FE2" w:rsidRPr="00996C50">
        <w:rPr>
          <w:rFonts w:ascii="Times New Roman" w:eastAsia="Times New Roman" w:hAnsi="Times New Roman" w:cs="Times New Roman"/>
          <w:color w:val="auto"/>
          <w:sz w:val="28"/>
          <w:szCs w:val="28"/>
          <w:lang w:val="pt-BR" w:eastAsia="en-US"/>
        </w:rPr>
        <w:t>k</w:t>
      </w:r>
      <w:r w:rsidR="00FC0EB0" w:rsidRPr="00996C50">
        <w:rPr>
          <w:rFonts w:ascii="Times New Roman" w:eastAsia="Times New Roman" w:hAnsi="Times New Roman" w:cs="Times New Roman"/>
          <w:color w:val="auto"/>
          <w:sz w:val="28"/>
          <w:szCs w:val="28"/>
          <w:lang w:val="pt-BR" w:eastAsia="en-US"/>
        </w:rPr>
        <w:t>hoản 1 Điều 22 Nghị định 124/2017/NĐ-CP.</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6. Xác nhận đăng ký giao dịch ngoại hối liên quan đến </w:t>
      </w:r>
      <w:r w:rsidR="00A73984" w:rsidRPr="00996C50">
        <w:rPr>
          <w:rFonts w:ascii="Times New Roman" w:eastAsia="Times New Roman" w:hAnsi="Times New Roman" w:cs="Times New Roman"/>
          <w:color w:val="auto"/>
          <w:sz w:val="28"/>
          <w:szCs w:val="28"/>
          <w:lang w:val="pt-BR" w:eastAsia="en-US"/>
        </w:rPr>
        <w:t>đầu tư ra nước ngoài trong hoạt động dầu khí là việc Ngân hàng Nhà nước có văn bản xác nhận nhà đầu tư đã thực hiện đăng ký giao dịch ngoại hối liên quan đến đầu tư ra nước ngoài trong hoạt động dầu khí theo quy định tại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7. Xác nhận đăng ký thay đổi giao dịch ngoại hối liên quan đến đầu tư ra nước ngoài trong hoạt động dầu khí là việc Ngân hàng Nhà nước có văn bản xác nhận nhà đầu tư đã thực hiện đăng ký thay đổi giao dịch ngoại hối liên quan đến đầu tư ra nước ngoài trong hoạt động dầu khí theo quy định tại Thông tư này.</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rPr>
      </w:pPr>
      <w:r w:rsidRPr="00996C50">
        <w:rPr>
          <w:rFonts w:ascii="Times New Roman" w:hAnsi="Times New Roman" w:cs="Times New Roman"/>
          <w:b/>
          <w:sz w:val="28"/>
          <w:szCs w:val="28"/>
        </w:rPr>
        <w:t>Điều 4. Đồng tiền sử dụng để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Đồng tiền sử dụng để đầu tư ra nước ngoài bao gồm: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Ngoại tệ.</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Đồng Việt Nam trong trường hợp chuyển vốn đầu tư sang quốc gia, vùng lãnh thổ tiếp nhận đầu tư mà Việt Nam và quốc gia, vùng lãnh thổ đó có ký kết thỏa thuận, hiệp định song phương, đa phương quy định về việc cho phép sử dụng đồng Việt Nam trong các giao dịch thanh toán, chuyển tiền.</w:t>
      </w:r>
    </w:p>
    <w:p w:rsidR="00B36257" w:rsidRPr="00996C50" w:rsidRDefault="00B36257" w:rsidP="00B36257">
      <w:pPr>
        <w:spacing w:before="120" w:after="120"/>
        <w:ind w:firstLine="567"/>
        <w:jc w:val="both"/>
        <w:rPr>
          <w:rFonts w:ascii="Times New Roman" w:hAnsi="Times New Roman" w:cs="Times New Roman"/>
          <w:sz w:val="28"/>
          <w:szCs w:val="28"/>
        </w:rPr>
      </w:pPr>
    </w:p>
    <w:p w:rsidR="00B36257" w:rsidRPr="00996C50" w:rsidRDefault="00A73984" w:rsidP="00B36257">
      <w:pPr>
        <w:spacing w:after="120"/>
        <w:ind w:firstLine="567"/>
        <w:jc w:val="center"/>
        <w:rPr>
          <w:rFonts w:ascii="Times New Roman" w:hAnsi="Times New Roman" w:cs="Times New Roman"/>
          <w:b/>
          <w:sz w:val="28"/>
          <w:szCs w:val="28"/>
        </w:rPr>
      </w:pPr>
      <w:r w:rsidRPr="00996C50">
        <w:rPr>
          <w:rFonts w:ascii="Times New Roman" w:hAnsi="Times New Roman" w:cs="Times New Roman"/>
          <w:b/>
          <w:sz w:val="28"/>
          <w:szCs w:val="28"/>
        </w:rPr>
        <w:t>Chương II</w:t>
      </w:r>
    </w:p>
    <w:p w:rsidR="00B36257" w:rsidRPr="00996C50" w:rsidRDefault="00A73984" w:rsidP="00CE2A1C">
      <w:pPr>
        <w:jc w:val="center"/>
        <w:rPr>
          <w:rFonts w:ascii="Times New Roman" w:hAnsi="Times New Roman" w:cs="Times New Roman"/>
          <w:b/>
        </w:rPr>
      </w:pPr>
      <w:r w:rsidRPr="00996C50">
        <w:rPr>
          <w:rFonts w:ascii="Times New Roman" w:hAnsi="Times New Roman" w:cs="Times New Roman"/>
          <w:b/>
          <w:sz w:val="26"/>
          <w:szCs w:val="26"/>
          <w:lang w:val="pt-BR"/>
        </w:rPr>
        <w:t>CHUYỂN NGOẠI TỆ RA NƯỚC NGOÀI TRƯỚC KHI ĐƯỢC CẤP</w:t>
      </w:r>
      <w:r w:rsidR="00EB51F9" w:rsidRPr="00996C50">
        <w:rPr>
          <w:rFonts w:ascii="Times New Roman" w:hAnsi="Times New Roman" w:cs="Times New Roman"/>
          <w:b/>
          <w:sz w:val="26"/>
          <w:szCs w:val="26"/>
          <w:lang w:val="pt-BR"/>
        </w:rPr>
        <w:t xml:space="preserve"> </w:t>
      </w:r>
      <w:r w:rsidRPr="00996C50">
        <w:rPr>
          <w:rFonts w:ascii="Times New Roman" w:hAnsi="Times New Roman" w:cs="Times New Roman"/>
          <w:b/>
          <w:sz w:val="26"/>
          <w:szCs w:val="26"/>
          <w:lang w:val="pt-BR"/>
        </w:rPr>
        <w:t>GIẤY CHỨNG NHẬN ĐĂNG KÝ ĐẦU TƯ RA NƯỚC NGOÀI</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rPr>
      </w:pPr>
      <w:r w:rsidRPr="00996C50">
        <w:rPr>
          <w:rFonts w:ascii="Times New Roman" w:hAnsi="Times New Roman" w:cs="Times New Roman"/>
          <w:b/>
          <w:sz w:val="28"/>
          <w:szCs w:val="28"/>
        </w:rPr>
        <w:t>Điều 5. Nguyên tắc chuyển ngoại tệ ra nước ngoài trước khi được cấp Giấy chứng nhận đăng ký đầu tư ra nước ngoài</w:t>
      </w:r>
    </w:p>
    <w:p w:rsidR="00B36257" w:rsidRPr="00996C50" w:rsidRDefault="00A73984" w:rsidP="00B36257">
      <w:pPr>
        <w:widowControl/>
        <w:spacing w:before="240" w:after="120" w:line="340" w:lineRule="exact"/>
        <w:ind w:firstLine="567"/>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Nhà đầu tư được chuyển ngoại tệ ra nước ngoài trước khi được cấp Giấy chứng nhận đăng ký đầu tư ra nước ngoài</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 xml:space="preserve">để đáp ứng các chi phí cho hoạt động chuẩn bị đầu tư ở nước ngoài trong lĩnh vực dầu khí theo quy định tại </w:t>
      </w:r>
      <w:bookmarkStart w:id="5" w:name="dc_64"/>
      <w:r w:rsidR="00956C18"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1, </w:t>
      </w:r>
      <w:r w:rsidR="00956C18"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4 Điều 5 Nghị định 124/2017/NĐ-CP</w:t>
      </w:r>
      <w:bookmarkEnd w:id="5"/>
      <w:r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Việc chuyển ngoại tệ ra nước ngoài trước khi được cấp Giấy chứng nhận đăng ký đầu tư ra nước ngoài của nhà đầu tư phải được thực hiện thông qua tài khoản ngoại tệ trước đầu tư quy định tại Điều 7, Điều</w:t>
      </w:r>
      <w:r w:rsidR="006926A8" w:rsidRPr="00996C50">
        <w:rPr>
          <w:rFonts w:ascii="Times New Roman" w:eastAsia="Times New Roman" w:hAnsi="Times New Roman" w:cs="Times New Roman"/>
          <w:color w:val="auto"/>
          <w:sz w:val="28"/>
          <w:szCs w:val="28"/>
          <w:lang w:val="pt-BR" w:eastAsia="en-US"/>
        </w:rPr>
        <w:t xml:space="preserve"> </w:t>
      </w:r>
      <w:r w:rsidR="00826073" w:rsidRPr="00996C50">
        <w:rPr>
          <w:rFonts w:ascii="Times New Roman" w:eastAsia="Times New Roman" w:hAnsi="Times New Roman" w:cs="Times New Roman"/>
          <w:color w:val="auto"/>
          <w:sz w:val="28"/>
          <w:szCs w:val="28"/>
          <w:lang w:val="pt-BR" w:eastAsia="en-US"/>
        </w:rPr>
        <w:t>8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3. </w:t>
      </w:r>
      <w:r w:rsidR="00521BD8" w:rsidRPr="00521BD8">
        <w:rPr>
          <w:rFonts w:ascii="Times New Roman" w:hAnsi="Times New Roman"/>
          <w:bCs/>
          <w:sz w:val="28"/>
          <w:shd w:val="clear" w:color="auto" w:fill="FFFFFF"/>
        </w:rPr>
        <w:t>Số ngoại tệ chuyển ra nước ngoài trước khi được cấp Giấy chứng nhận đăng ký đầu tư</w:t>
      </w:r>
      <w:r w:rsidR="00521BD8" w:rsidRPr="00521BD8">
        <w:rPr>
          <w:rFonts w:ascii="Times New Roman" w:eastAsia="Times New Roman" w:hAnsi="Times New Roman" w:cs="Times New Roman"/>
          <w:color w:val="auto"/>
          <w:sz w:val="32"/>
          <w:szCs w:val="28"/>
          <w:lang w:val="pt-BR" w:eastAsia="en-US"/>
        </w:rPr>
        <w:t xml:space="preserve"> </w:t>
      </w:r>
      <w:r w:rsidR="00521BD8">
        <w:rPr>
          <w:rFonts w:ascii="Times New Roman" w:eastAsia="Times New Roman" w:hAnsi="Times New Roman" w:cs="Times New Roman"/>
          <w:color w:val="auto"/>
          <w:sz w:val="28"/>
          <w:szCs w:val="28"/>
          <w:lang w:val="pt-BR" w:eastAsia="en-US"/>
        </w:rPr>
        <w:t xml:space="preserve">ra nước ngoài </w:t>
      </w:r>
      <w:r w:rsidRPr="00996C50">
        <w:rPr>
          <w:rFonts w:ascii="Times New Roman" w:eastAsia="Times New Roman" w:hAnsi="Times New Roman" w:cs="Times New Roman"/>
          <w:color w:val="auto"/>
          <w:sz w:val="28"/>
          <w:szCs w:val="28"/>
          <w:lang w:val="pt-BR" w:eastAsia="en-US"/>
        </w:rPr>
        <w:t xml:space="preserve">và số tiền đăng ký chuyển ra nước ngoài sau khi được cấp Giấy chứng nhận đăng ký đầu tư ra nước ngoài không vượt quá tổng vốn đầu tư ra nước ngoài bằng tiền </w:t>
      </w:r>
      <w:r w:rsidR="00C85AB8" w:rsidRPr="00996C50">
        <w:rPr>
          <w:rFonts w:ascii="Times New Roman" w:eastAsia="Times New Roman" w:hAnsi="Times New Roman" w:cs="Times New Roman"/>
          <w:color w:val="auto"/>
          <w:sz w:val="28"/>
          <w:szCs w:val="28"/>
          <w:lang w:val="pt-BR" w:eastAsia="en-US"/>
        </w:rPr>
        <w:t xml:space="preserve">của nhà đầu tư </w:t>
      </w:r>
      <w:r w:rsidRPr="00996C50">
        <w:rPr>
          <w:rFonts w:ascii="Times New Roman" w:eastAsia="Times New Roman" w:hAnsi="Times New Roman" w:cs="Times New Roman"/>
          <w:color w:val="auto"/>
          <w:sz w:val="28"/>
          <w:szCs w:val="28"/>
          <w:lang w:val="pt-BR" w:eastAsia="en-US"/>
        </w:rPr>
        <w:t>theo Giấy chứng nhận đăng ký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4. Trường hợp dự án đầu tư ở nước ngoài có sự tham gia của nhiều nhà đầu tư, </w:t>
      </w:r>
      <w:r w:rsidR="00521BD8">
        <w:rPr>
          <w:rFonts w:ascii="Times New Roman" w:eastAsia="Times New Roman" w:hAnsi="Times New Roman" w:cs="Times New Roman"/>
          <w:color w:val="auto"/>
          <w:sz w:val="28"/>
          <w:szCs w:val="28"/>
          <w:lang w:val="pt-BR" w:eastAsia="en-US"/>
        </w:rPr>
        <w:t>s</w:t>
      </w:r>
      <w:r w:rsidR="00521BD8" w:rsidRPr="00521BD8">
        <w:rPr>
          <w:rFonts w:ascii="Times New Roman" w:hAnsi="Times New Roman"/>
          <w:bCs/>
          <w:sz w:val="28"/>
          <w:shd w:val="clear" w:color="auto" w:fill="FFFFFF"/>
        </w:rPr>
        <w:t>ố ngoại tệ chuyển ra nước ngoài trước khi được cấp Giấy chứng nhận đăng ký đầu tư</w:t>
      </w:r>
      <w:r w:rsidRPr="00521BD8">
        <w:rPr>
          <w:rFonts w:ascii="Times New Roman" w:eastAsia="Times New Roman" w:hAnsi="Times New Roman" w:cs="Times New Roman"/>
          <w:color w:val="auto"/>
          <w:sz w:val="32"/>
          <w:szCs w:val="28"/>
          <w:lang w:val="pt-BR" w:eastAsia="en-US"/>
        </w:rPr>
        <w:t xml:space="preserve"> </w:t>
      </w:r>
      <w:r w:rsidRPr="00996C50">
        <w:rPr>
          <w:rFonts w:ascii="Times New Roman" w:eastAsia="Times New Roman" w:hAnsi="Times New Roman" w:cs="Times New Roman"/>
          <w:color w:val="auto"/>
          <w:sz w:val="28"/>
          <w:szCs w:val="28"/>
          <w:lang w:val="pt-BR" w:eastAsia="en-US"/>
        </w:rPr>
        <w:t>ra nước ngoài và số tiền đăng ký chuyển ra nước ngoài sau khi được cấp Giấy chứng nhận đăng ký đầu tư ra nước ngoài của mỗi nhà đầu tư không vượt quá phần vốn đầu tư ra nước ngoài bằng tiền của nhà đầu tư đó theo Giấy chứng nhận đăng ký đầu tư ra nước ngoài.</w:t>
      </w:r>
    </w:p>
    <w:p w:rsidR="00331CE0"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5. Trường hợp dự án đầu tư ra nước ngoài không </w:t>
      </w:r>
      <w:r w:rsidR="00826073" w:rsidRPr="00996C50">
        <w:rPr>
          <w:rFonts w:ascii="Times New Roman" w:eastAsia="Times New Roman" w:hAnsi="Times New Roman" w:cs="Times New Roman"/>
          <w:color w:val="auto"/>
          <w:sz w:val="28"/>
          <w:szCs w:val="28"/>
          <w:lang w:val="pt-BR" w:eastAsia="en-US"/>
        </w:rPr>
        <w:t xml:space="preserve">tiếp tục triển khai hoặc không </w:t>
      </w:r>
      <w:r w:rsidRPr="00996C50">
        <w:rPr>
          <w:rFonts w:ascii="Times New Roman" w:eastAsia="Times New Roman" w:hAnsi="Times New Roman" w:cs="Times New Roman"/>
          <w:color w:val="auto"/>
          <w:sz w:val="28"/>
          <w:szCs w:val="28"/>
          <w:lang w:val="pt-BR" w:eastAsia="en-US"/>
        </w:rPr>
        <w:t>được cấp Giấy chứng nhận đăng ký đầu tư ra nước ngoài, nhà đầu tư phải thực hiện:</w:t>
      </w:r>
    </w:p>
    <w:p w:rsidR="00331CE0"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a) </w:t>
      </w:r>
      <w:r w:rsidR="000C1797" w:rsidRPr="00996C50">
        <w:rPr>
          <w:rFonts w:ascii="Times New Roman" w:eastAsia="Times New Roman" w:hAnsi="Times New Roman" w:cs="Times New Roman"/>
          <w:color w:val="auto"/>
          <w:sz w:val="28"/>
          <w:szCs w:val="28"/>
          <w:lang w:val="pt-BR" w:eastAsia="en-US"/>
        </w:rPr>
        <w:t>C</w:t>
      </w:r>
      <w:r w:rsidR="000C1797" w:rsidRPr="00996C50">
        <w:rPr>
          <w:rFonts w:ascii="Times New Roman" w:hAnsi="Times New Roman"/>
          <w:bCs/>
          <w:iCs/>
          <w:sz w:val="28"/>
          <w:szCs w:val="28"/>
        </w:rPr>
        <w:t>huyển số ngoại tệ đã chuyển ra nhưng chưa sử dụng hết về (nếu có), sau đó</w:t>
      </w:r>
      <w:r w:rsidR="000C1797" w:rsidRPr="00996C50">
        <w:rPr>
          <w:rFonts w:ascii="Times New Roman" w:hAnsi="Times New Roman"/>
          <w:iCs/>
        </w:rPr>
        <w:t xml:space="preserve"> </w:t>
      </w:r>
      <w:r w:rsidR="000C1797" w:rsidRPr="00996C50">
        <w:rPr>
          <w:rFonts w:ascii="Times New Roman" w:hAnsi="Times New Roman"/>
          <w:iCs/>
          <w:sz w:val="28"/>
          <w:lang w:val="en-US"/>
        </w:rPr>
        <w:t>đ</w:t>
      </w:r>
      <w:r w:rsidRPr="00996C50">
        <w:rPr>
          <w:rFonts w:ascii="Times New Roman" w:eastAsia="Times New Roman" w:hAnsi="Times New Roman" w:cs="Times New Roman"/>
          <w:color w:val="auto"/>
          <w:sz w:val="28"/>
          <w:szCs w:val="28"/>
          <w:lang w:val="pt-BR" w:eastAsia="en-US"/>
        </w:rPr>
        <w:t>óng tài khoản ngoại tệ trước đầu tư đã mở theo quy định tại Điều 7, Điều 8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 xml:space="preserve">Báo cáo </w:t>
      </w:r>
      <w:r w:rsidR="00584558" w:rsidRPr="00996C50">
        <w:rPr>
          <w:rFonts w:ascii="Times New Roman" w:eastAsia="Times New Roman" w:hAnsi="Times New Roman" w:cs="Times New Roman"/>
          <w:color w:val="auto"/>
          <w:sz w:val="28"/>
          <w:szCs w:val="28"/>
          <w:lang w:val="pt-BR" w:eastAsia="en-US"/>
        </w:rPr>
        <w:t>Ngân hàng Nhà nước (Vụ Quản lý n</w:t>
      </w:r>
      <w:r w:rsidRPr="00996C50">
        <w:rPr>
          <w:rFonts w:ascii="Times New Roman" w:eastAsia="Times New Roman" w:hAnsi="Times New Roman" w:cs="Times New Roman"/>
          <w:color w:val="auto"/>
          <w:sz w:val="28"/>
          <w:szCs w:val="28"/>
          <w:lang w:val="pt-BR" w:eastAsia="en-US"/>
        </w:rPr>
        <w:t xml:space="preserve">goại hối) về lý do </w:t>
      </w:r>
      <w:r w:rsidR="00826073" w:rsidRPr="00996C50">
        <w:rPr>
          <w:rFonts w:ascii="Times New Roman" w:eastAsia="Times New Roman" w:hAnsi="Times New Roman" w:cs="Times New Roman"/>
          <w:color w:val="auto"/>
          <w:sz w:val="28"/>
          <w:szCs w:val="28"/>
          <w:lang w:val="pt-BR" w:eastAsia="en-US"/>
        </w:rPr>
        <w:t xml:space="preserve">không tiếp tục triển khai dự án hoặc </w:t>
      </w:r>
      <w:r w:rsidRPr="00996C50">
        <w:rPr>
          <w:rFonts w:ascii="Times New Roman" w:eastAsia="Times New Roman" w:hAnsi="Times New Roman" w:cs="Times New Roman"/>
          <w:color w:val="auto"/>
          <w:sz w:val="28"/>
          <w:szCs w:val="28"/>
          <w:lang w:val="pt-BR" w:eastAsia="en-US"/>
        </w:rPr>
        <w:t xml:space="preserve">không được cấp Giấy chứng nhận đăng ký đầu tư ra nước ngoài (kèm ý kiến của cơ quan đại diện chủ sở hữu) và về tổng số tiền đã chuyển ra nước ngoài theo mẫu tại </w:t>
      </w:r>
      <w:r w:rsidR="00826073" w:rsidRPr="00996C50">
        <w:rPr>
          <w:rFonts w:ascii="Times New Roman" w:eastAsia="Times New Roman" w:hAnsi="Times New Roman" w:cs="Times New Roman"/>
          <w:color w:val="auto"/>
          <w:sz w:val="28"/>
          <w:szCs w:val="28"/>
          <w:lang w:val="pt-BR" w:eastAsia="en-US"/>
        </w:rPr>
        <w:t>Phụ lục số 01</w:t>
      </w:r>
      <w:r w:rsidRPr="00996C50">
        <w:rPr>
          <w:rFonts w:ascii="Times New Roman" w:eastAsia="Times New Roman" w:hAnsi="Times New Roman" w:cs="Times New Roman"/>
          <w:color w:val="auto"/>
          <w:sz w:val="28"/>
          <w:szCs w:val="28"/>
          <w:lang w:val="pt-BR" w:eastAsia="en-US"/>
        </w:rPr>
        <w:t xml:space="preserve"> ban hành kèm theo Thông tư này</w:t>
      </w:r>
      <w:r w:rsidR="00A83FE2"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 xml:space="preserve">và tự chịu trách nhiệm về chi phí trước đầu tư đã chuyển ra nước ngoài do </w:t>
      </w:r>
      <w:r w:rsidR="00826073" w:rsidRPr="00996C50">
        <w:rPr>
          <w:rFonts w:ascii="Times New Roman" w:eastAsia="Times New Roman" w:hAnsi="Times New Roman" w:cs="Times New Roman"/>
          <w:color w:val="auto"/>
          <w:sz w:val="28"/>
          <w:szCs w:val="28"/>
          <w:lang w:val="pt-BR" w:eastAsia="en-US"/>
        </w:rPr>
        <w:t>không tiếp tục triển khai dự án hoặc không được cấp Giấy chứng nhận đăng ký đầu tư ra nước ngoài</w:t>
      </w:r>
      <w:r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after="120" w:line="340" w:lineRule="exact"/>
        <w:ind w:firstLine="567"/>
        <w:jc w:val="both"/>
        <w:rPr>
          <w:rFonts w:ascii="Times New Roman" w:eastAsia="Times New Roman" w:hAnsi="Times New Roman" w:cs="Times New Roman"/>
          <w:b/>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6. Nhà đầu tư chịu trách nhiệm trước pháp luật về tính hợp pháp, mục đích và hiệu quả của số tiền ngoại tệ chuyển ra nước ngoài trước khi được cấp Giấy chứng nhận đăng ký đầu tư ra nước ngoài. </w:t>
      </w:r>
    </w:p>
    <w:p w:rsidR="00B36257" w:rsidRPr="00996C50" w:rsidRDefault="00826073" w:rsidP="00B36257">
      <w:pPr>
        <w:widowControl/>
        <w:spacing w:before="240" w:after="120" w:line="340" w:lineRule="exact"/>
        <w:ind w:firstLine="540"/>
        <w:jc w:val="both"/>
        <w:rPr>
          <w:rFonts w:ascii="Times New Roman" w:eastAsia="Times New Roman" w:hAnsi="Times New Roman" w:cs="Times New Roman"/>
          <w:b/>
          <w:color w:val="auto"/>
          <w:sz w:val="28"/>
          <w:szCs w:val="28"/>
          <w:lang w:val="pt-BR" w:eastAsia="en-US"/>
        </w:rPr>
      </w:pPr>
      <w:r w:rsidRPr="00996C50">
        <w:rPr>
          <w:rFonts w:ascii="Times New Roman" w:eastAsia="Times New Roman" w:hAnsi="Times New Roman" w:cs="Times New Roman"/>
          <w:b/>
          <w:color w:val="auto"/>
          <w:sz w:val="28"/>
          <w:szCs w:val="28"/>
          <w:lang w:val="pt-BR" w:eastAsia="en-US"/>
        </w:rPr>
        <w:t>Điều 6. Nguyên tắc chấp thuận việc</w:t>
      </w:r>
      <w:r w:rsidR="006926A8" w:rsidRPr="00996C50">
        <w:rPr>
          <w:rFonts w:ascii="Times New Roman" w:eastAsia="Times New Roman" w:hAnsi="Times New Roman" w:cs="Times New Roman"/>
          <w:b/>
          <w:color w:val="auto"/>
          <w:sz w:val="28"/>
          <w:szCs w:val="28"/>
          <w:lang w:val="pt-BR" w:eastAsia="en-US"/>
        </w:rPr>
        <w:t xml:space="preserve"> </w:t>
      </w:r>
      <w:r w:rsidRPr="00996C50">
        <w:rPr>
          <w:rFonts w:ascii="Times New Roman" w:eastAsia="Times New Roman" w:hAnsi="Times New Roman" w:cs="Times New Roman"/>
          <w:b/>
          <w:color w:val="auto"/>
          <w:sz w:val="28"/>
          <w:szCs w:val="28"/>
          <w:lang w:val="pt-BR" w:eastAsia="en-US"/>
        </w:rPr>
        <w:t>chuyển ngoại tệ ra nước ngoài trước khi được cấp Giấy chứng nhận đăng ký đầu tư ra nước ngoài</w:t>
      </w:r>
    </w:p>
    <w:p w:rsidR="00B36257" w:rsidRPr="006056AE"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eastAsia="en-US"/>
        </w:rPr>
      </w:pPr>
      <w:r w:rsidRPr="00996C50">
        <w:rPr>
          <w:rFonts w:ascii="Times New Roman" w:eastAsia="Times New Roman" w:hAnsi="Times New Roman" w:cs="Times New Roman"/>
          <w:color w:val="auto"/>
          <w:sz w:val="28"/>
          <w:szCs w:val="28"/>
          <w:lang w:val="pt-BR" w:eastAsia="en-US"/>
        </w:rPr>
        <w:t>1. Nhà đầu tư thực hiện thủ tục chấp thuận chuyển ngoại tệ ra nước ngoài trước khi được cấp Giấy chứng nhận đăng ký đầu tư ra nước ngoài với Ngân hàng Nhà nước (Vụ Quản lý ngoại hối) theo trình tự, thủ tục và hồ sơ quy định tại Điều 7 Nghị định 124/2017/NĐ-CP.</w:t>
      </w:r>
      <w:r w:rsidR="006056AE" w:rsidRPr="006056AE">
        <w:rPr>
          <w:rFonts w:ascii="Times New Roman" w:eastAsia="Times New Roman" w:hAnsi="Times New Roman" w:cs="Times New Roman"/>
          <w:color w:val="auto"/>
          <w:sz w:val="28"/>
          <w:szCs w:val="28"/>
          <w:lang w:val="pt-BR" w:eastAsia="en-US"/>
        </w:rPr>
        <w:t xml:space="preserve"> Văn bản đề nghị chuyển ngoại tệ ra nước ngoài theo mẫu tại Phụ lục số 0</w:t>
      </w:r>
      <w:r w:rsidR="006056AE">
        <w:rPr>
          <w:rFonts w:ascii="Times New Roman" w:eastAsia="Times New Roman" w:hAnsi="Times New Roman" w:cs="Times New Roman"/>
          <w:color w:val="auto"/>
          <w:sz w:val="28"/>
          <w:szCs w:val="28"/>
          <w:lang w:eastAsia="en-US"/>
        </w:rPr>
        <w:t xml:space="preserve">2 </w:t>
      </w:r>
      <w:r w:rsidR="006056AE" w:rsidRPr="006056AE">
        <w:rPr>
          <w:rFonts w:ascii="Times New Roman" w:eastAsia="Times New Roman" w:hAnsi="Times New Roman" w:cs="Times New Roman"/>
          <w:color w:val="auto"/>
          <w:sz w:val="28"/>
          <w:szCs w:val="28"/>
          <w:lang w:val="pt-BR" w:eastAsia="en-US"/>
        </w:rPr>
        <w:t xml:space="preserve">ban hành kèm theo </w:t>
      </w:r>
      <w:r w:rsidR="006056AE" w:rsidRPr="00996C50">
        <w:rPr>
          <w:rFonts w:ascii="Times New Roman" w:eastAsia="Times New Roman" w:hAnsi="Times New Roman" w:cs="Times New Roman"/>
          <w:color w:val="auto"/>
          <w:sz w:val="28"/>
          <w:szCs w:val="28"/>
          <w:lang w:val="pt-BR" w:eastAsia="en-US"/>
        </w:rPr>
        <w:t>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2. Ngân hàng Nhà nước (Vụ Quản lý </w:t>
      </w:r>
      <w:r w:rsidR="00A83FE2" w:rsidRPr="00996C50">
        <w:rPr>
          <w:rFonts w:ascii="Times New Roman" w:eastAsia="Times New Roman" w:hAnsi="Times New Roman" w:cs="Times New Roman"/>
          <w:color w:val="auto"/>
          <w:sz w:val="28"/>
          <w:szCs w:val="28"/>
          <w:lang w:val="pt-BR" w:eastAsia="en-US"/>
        </w:rPr>
        <w:t>n</w:t>
      </w:r>
      <w:r w:rsidRPr="00996C50">
        <w:rPr>
          <w:rFonts w:ascii="Times New Roman" w:eastAsia="Times New Roman" w:hAnsi="Times New Roman" w:cs="Times New Roman"/>
          <w:color w:val="auto"/>
          <w:sz w:val="28"/>
          <w:szCs w:val="28"/>
          <w:lang w:val="pt-BR" w:eastAsia="en-US"/>
        </w:rPr>
        <w:t xml:space="preserve">goại hối) xem xét, chấp thuận việc chuyển ngoại tệ ra nước ngoài trước khi được cấp Giấy chứng nhận đăng ký đầu tư ra nước ngoài cho nhà đầu tư theo </w:t>
      </w:r>
      <w:r w:rsidR="00A83FE2" w:rsidRPr="00996C50">
        <w:rPr>
          <w:rFonts w:ascii="Times New Roman" w:eastAsia="Times New Roman" w:hAnsi="Times New Roman" w:cs="Times New Roman"/>
          <w:color w:val="auto"/>
          <w:sz w:val="28"/>
          <w:szCs w:val="28"/>
          <w:lang w:val="pt-BR" w:eastAsia="en-US"/>
        </w:rPr>
        <w:t>m</w:t>
      </w:r>
      <w:r w:rsidRPr="00996C50">
        <w:rPr>
          <w:rFonts w:ascii="Times New Roman" w:eastAsia="Times New Roman" w:hAnsi="Times New Roman" w:cs="Times New Roman"/>
          <w:color w:val="auto"/>
          <w:sz w:val="28"/>
          <w:szCs w:val="28"/>
          <w:lang w:val="pt-BR" w:eastAsia="en-US"/>
        </w:rPr>
        <w:t>ẫu tại</w:t>
      </w:r>
      <w:r w:rsidR="006926A8" w:rsidRPr="00996C50">
        <w:rPr>
          <w:rFonts w:ascii="Times New Roman" w:eastAsia="Times New Roman" w:hAnsi="Times New Roman" w:cs="Times New Roman"/>
          <w:color w:val="auto"/>
          <w:sz w:val="28"/>
          <w:szCs w:val="28"/>
          <w:lang w:val="pt-BR" w:eastAsia="en-US"/>
        </w:rPr>
        <w:t xml:space="preserve"> </w:t>
      </w:r>
      <w:r w:rsidR="00826073" w:rsidRPr="00996C50">
        <w:rPr>
          <w:rFonts w:ascii="Times New Roman" w:eastAsia="Times New Roman" w:hAnsi="Times New Roman" w:cs="Times New Roman"/>
          <w:color w:val="auto"/>
          <w:sz w:val="28"/>
          <w:szCs w:val="28"/>
          <w:lang w:val="pt-BR" w:eastAsia="en-US"/>
        </w:rPr>
        <w:t>Phụ lục số 0</w:t>
      </w:r>
      <w:r w:rsidR="004E2BB8">
        <w:rPr>
          <w:rFonts w:ascii="Times New Roman" w:eastAsia="Times New Roman" w:hAnsi="Times New Roman" w:cs="Times New Roman"/>
          <w:color w:val="auto"/>
          <w:sz w:val="28"/>
          <w:szCs w:val="28"/>
          <w:lang w:eastAsia="en-US"/>
        </w:rPr>
        <w:t>3</w:t>
      </w:r>
      <w:r w:rsidRPr="00996C50">
        <w:rPr>
          <w:rFonts w:ascii="Times New Roman" w:eastAsia="Times New Roman" w:hAnsi="Times New Roman" w:cs="Times New Roman"/>
          <w:color w:val="auto"/>
          <w:sz w:val="28"/>
          <w:szCs w:val="28"/>
          <w:lang w:val="pt-BR" w:eastAsia="en-US"/>
        </w:rPr>
        <w:t xml:space="preserve"> ban hành kèm theo Thông tư này.</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rPr>
      </w:pPr>
      <w:r w:rsidRPr="00996C50">
        <w:rPr>
          <w:rFonts w:ascii="Times New Roman" w:hAnsi="Times New Roman" w:cs="Times New Roman"/>
          <w:b/>
          <w:sz w:val="28"/>
          <w:szCs w:val="28"/>
        </w:rPr>
        <w:t xml:space="preserve">Điều </w:t>
      </w:r>
      <w:r w:rsidRPr="00996C50">
        <w:rPr>
          <w:rFonts w:ascii="Times New Roman" w:hAnsi="Times New Roman" w:cs="Times New Roman"/>
          <w:b/>
          <w:sz w:val="28"/>
          <w:szCs w:val="28"/>
          <w:lang w:val="pt-BR"/>
        </w:rPr>
        <w:t>7</w:t>
      </w:r>
      <w:r w:rsidRPr="00996C50">
        <w:rPr>
          <w:rFonts w:ascii="Times New Roman" w:hAnsi="Times New Roman" w:cs="Times New Roman"/>
          <w:b/>
          <w:sz w:val="28"/>
          <w:szCs w:val="28"/>
        </w:rPr>
        <w:t>. Nguyên tắc mở và sử dụng tài khoản ngoại tệ trước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Nhà đầu tư chỉ được mở 01 (một) tài khoản ngoại tệ trước đầu tư</w:t>
      </w:r>
      <w:r w:rsidR="00212D21" w:rsidRPr="00996C50">
        <w:rPr>
          <w:rFonts w:ascii="Times New Roman" w:eastAsia="Times New Roman" w:hAnsi="Times New Roman" w:cs="Times New Roman"/>
          <w:color w:val="auto"/>
          <w:sz w:val="28"/>
          <w:szCs w:val="28"/>
          <w:lang w:val="pt-BR" w:eastAsia="en-US"/>
        </w:rPr>
        <w:t xml:space="preserve"> cho 01 (một) dự án đầu tư</w:t>
      </w:r>
      <w:r w:rsidRPr="00996C50">
        <w:rPr>
          <w:rFonts w:ascii="Times New Roman" w:eastAsia="Times New Roman" w:hAnsi="Times New Roman" w:cs="Times New Roman"/>
          <w:color w:val="auto"/>
          <w:sz w:val="28"/>
          <w:szCs w:val="28"/>
          <w:lang w:val="pt-BR" w:eastAsia="en-US"/>
        </w:rPr>
        <w:t xml:space="preserve"> tại 01 (một) tổ chức tín dụng được phép để thực hiện việc chuyển ngoại tệ ra nước ngoài trước khi được cấp Giấy chứng nhận đăng ký đầu tư ra nước ngoài</w:t>
      </w:r>
      <w:r w:rsidR="00A1129D" w:rsidRPr="00996C50">
        <w:rPr>
          <w:rFonts w:ascii="Times New Roman" w:eastAsia="Times New Roman" w:hAnsi="Times New Roman" w:cs="Times New Roman"/>
          <w:color w:val="auto"/>
          <w:sz w:val="28"/>
          <w:szCs w:val="28"/>
          <w:lang w:val="pt-BR" w:eastAsia="en-US"/>
        </w:rPr>
        <w:t xml:space="preserve"> trừ trường hợp quy định tại khoản 4 Điều này</w:t>
      </w:r>
      <w:r w:rsidRPr="00996C50">
        <w:rPr>
          <w:rFonts w:ascii="Times New Roman" w:eastAsia="Times New Roman" w:hAnsi="Times New Roman" w:cs="Times New Roman"/>
          <w:color w:val="auto"/>
          <w:sz w:val="28"/>
          <w:szCs w:val="28"/>
          <w:lang w:val="pt-BR" w:eastAsia="en-US"/>
        </w:rPr>
        <w:t>.</w:t>
      </w:r>
    </w:p>
    <w:p w:rsidR="003A2431"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eastAsia="en-US"/>
        </w:rPr>
      </w:pPr>
      <w:r w:rsidRPr="00996C50">
        <w:rPr>
          <w:rFonts w:ascii="Times New Roman" w:eastAsia="Times New Roman" w:hAnsi="Times New Roman" w:cs="Times New Roman"/>
          <w:color w:val="auto"/>
          <w:sz w:val="28"/>
          <w:szCs w:val="28"/>
          <w:lang w:val="pt-BR" w:eastAsia="en-US"/>
        </w:rPr>
        <w:t xml:space="preserve">2. Sau khi dự án được cấp Giấy chứng nhận đăng ký đầu tư ra nước ngoài, tài khoản ngoại tệ trước đầu tư quy định tại </w:t>
      </w:r>
      <w:r w:rsidR="00D42E01"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1 Điều này phải được sử dụng là tài khoản vốn đầu tư và phải được đăng ký với Ngân hàng Nhà nước theo quy định tại </w:t>
      </w:r>
      <w:r w:rsidRPr="00996C50">
        <w:rPr>
          <w:rFonts w:ascii="Times New Roman" w:hAnsi="Times New Roman" w:cs="Times New Roman"/>
          <w:sz w:val="28"/>
          <w:szCs w:val="28"/>
          <w:lang w:val="pt-BR"/>
        </w:rPr>
        <w:t xml:space="preserve">Điều 21, Điều 22 </w:t>
      </w:r>
      <w:r w:rsidRPr="00996C50">
        <w:rPr>
          <w:rFonts w:ascii="Times New Roman" w:eastAsia="Times New Roman" w:hAnsi="Times New Roman" w:cs="Times New Roman"/>
          <w:color w:val="auto"/>
          <w:sz w:val="28"/>
          <w:szCs w:val="28"/>
          <w:lang w:val="pt-BR" w:eastAsia="en-US"/>
        </w:rPr>
        <w:t xml:space="preserve">Nghị định 124/2017/NĐ-CP. </w:t>
      </w:r>
      <w:r w:rsidR="004E2BB8">
        <w:rPr>
          <w:rFonts w:ascii="Times New Roman" w:eastAsia="Times New Roman" w:hAnsi="Times New Roman" w:cs="Times New Roman"/>
          <w:color w:val="auto"/>
          <w:sz w:val="28"/>
          <w:szCs w:val="28"/>
          <w:lang w:eastAsia="en-US"/>
        </w:rPr>
        <w:t xml:space="preserve"> </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3. Nhà đầu tư có nhu cầu chuyển ngoại tệ ra nước ngoài trước khi được cấp Giấy chứng nhận đăng ký đầu tư ra nước ngoài cho nhiều dự án đầu tư ở nước ngoài phải mở tài khoản ngoại tệ trước đầu tư riêng biệt cho từng dự án.</w:t>
      </w:r>
    </w:p>
    <w:p w:rsidR="00410D60"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4. </w:t>
      </w:r>
      <w:r w:rsidR="00410D60" w:rsidRPr="00996C50">
        <w:rPr>
          <w:rFonts w:ascii="Times New Roman" w:hAnsi="Times New Roman"/>
          <w:iCs/>
          <w:sz w:val="28"/>
          <w:szCs w:val="28"/>
        </w:rPr>
        <w:t xml:space="preserve">Trường hợp thay đổi tổ chức tín dụng được phép nơi mở tài khoản ngoại tệ trước đầu tư, nhà đầu tư được phép mở tài khoản trước đầu tư mới và trong vòng 05 ngày làm việc phải chuyển toàn bộ số dư trên tài khoản trước đầu tư cũ sang tài khoản mới và phải đóng tài khoản cũ ngay sau khi chuyển. Nhà đầu tư chỉ được thực hiện các giao dịch thu, chi trên tài khoản ngoại tệ trước đầu tư mới mở sau khi đã đóng tài khoản ngoại tệ trước đầu tư đã mở trước đây (trừ giao dịch thu tại </w:t>
      </w:r>
      <w:r w:rsidR="00D114BB" w:rsidRPr="00996C50">
        <w:rPr>
          <w:rFonts w:ascii="Times New Roman" w:hAnsi="Times New Roman"/>
          <w:iCs/>
          <w:sz w:val="28"/>
          <w:szCs w:val="28"/>
          <w:lang w:val="en-US"/>
        </w:rPr>
        <w:t>k</w:t>
      </w:r>
      <w:r w:rsidR="00410D60" w:rsidRPr="00996C50">
        <w:rPr>
          <w:rFonts w:ascii="Times New Roman" w:hAnsi="Times New Roman"/>
          <w:iCs/>
          <w:sz w:val="28"/>
          <w:szCs w:val="28"/>
        </w:rPr>
        <w:t>hoản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5. Thủ tục mở, đóng tài khoản ngoại tệ trước đầu tư thực hiện theo quy định của Ngân hàng Nhà nước về việc mở và sử dụng tài khoản thanh toán tại tổ chức cung ứng dịch vụ thanh toán.</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lang w:val="pt-BR"/>
        </w:rPr>
      </w:pPr>
      <w:r w:rsidRPr="00996C50">
        <w:rPr>
          <w:rFonts w:ascii="Times New Roman" w:hAnsi="Times New Roman" w:cs="Times New Roman"/>
          <w:b/>
          <w:sz w:val="28"/>
          <w:szCs w:val="28"/>
          <w:lang w:val="pt-BR"/>
        </w:rPr>
        <w:t>Điều 8. Các giao dịch thu, chi trên tài khoản ngoại tệ trước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Các giao dịch thu:</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Thu chuyển khoản từ tài khoản ngoại tệ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Thu ngoại tệ mua từ tổ chức tín dụng được phép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c) Thu chuyển ngoại tệ về Việt Nam trong trường hợp nhà đầu tư không sử dụng hết số tiền chuyển ra nước ngoài để đáp ứng các chi phí cho hoạt động hình thành dự án đầu tư ở nước ngoài quy định tại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1,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4 Điều 5 Nghị định 124/2017/NĐ-CP hoặc được bên nước ngoài hoàn lại các khoản chi phí cho hoạt động hình thành dự án đầu tư ở nước ngoài;</w:t>
      </w:r>
    </w:p>
    <w:p w:rsidR="00B36257" w:rsidRPr="00996C50" w:rsidRDefault="00826073"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d) Các giao dịch thu ngoại tệ khác liên quan đến đầu tư ra nước ngoài trước khi được cấp Giấy chứng nhận đăng ký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Các giao dịch chi: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a) Chi chuyển ngoại tệ ra nước ngoài cho các mục đích quy định tại </w:t>
      </w:r>
      <w:bookmarkStart w:id="6" w:name="dc_7"/>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1,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4 Điều 5 Nghị định 124/2017/NĐ-CP</w:t>
      </w:r>
      <w:bookmarkEnd w:id="6"/>
      <w:r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Chi bán ngoại tệ cho tổ chức tín dụng được phép;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c) Chi chuyển khoản vào tài khoản ngoại tệ của nhà đầu tư.</w:t>
      </w:r>
    </w:p>
    <w:p w:rsidR="00B36257" w:rsidRPr="00996C50" w:rsidRDefault="00B36257" w:rsidP="00B36257">
      <w:pPr>
        <w:spacing w:before="120" w:after="120"/>
        <w:ind w:firstLine="567"/>
        <w:jc w:val="center"/>
        <w:rPr>
          <w:rFonts w:ascii="Times New Roman" w:hAnsi="Times New Roman" w:cs="Times New Roman"/>
          <w:sz w:val="28"/>
          <w:szCs w:val="28"/>
          <w:lang w:val="pt-BR"/>
        </w:rPr>
      </w:pPr>
    </w:p>
    <w:p w:rsidR="00B36257" w:rsidRPr="00996C50" w:rsidRDefault="00A73984" w:rsidP="00B36257">
      <w:pPr>
        <w:spacing w:after="120"/>
        <w:jc w:val="center"/>
        <w:rPr>
          <w:rFonts w:ascii="Times New Roman" w:hAnsi="Times New Roman" w:cs="Times New Roman"/>
          <w:b/>
          <w:sz w:val="28"/>
          <w:szCs w:val="28"/>
        </w:rPr>
      </w:pPr>
      <w:r w:rsidRPr="00996C50">
        <w:rPr>
          <w:rFonts w:ascii="Times New Roman" w:hAnsi="Times New Roman" w:cs="Times New Roman"/>
          <w:b/>
          <w:sz w:val="28"/>
          <w:szCs w:val="28"/>
        </w:rPr>
        <w:t>Chương III</w:t>
      </w:r>
    </w:p>
    <w:p w:rsidR="00B36257" w:rsidRPr="00996C50" w:rsidRDefault="00A73984" w:rsidP="00B36257">
      <w:pPr>
        <w:jc w:val="center"/>
        <w:rPr>
          <w:rFonts w:ascii="Times New Roman" w:hAnsi="Times New Roman" w:cs="Times New Roman"/>
          <w:b/>
          <w:sz w:val="26"/>
          <w:szCs w:val="26"/>
          <w:lang w:val="pt-BR"/>
        </w:rPr>
      </w:pPr>
      <w:r w:rsidRPr="00996C50">
        <w:rPr>
          <w:rFonts w:ascii="Times New Roman" w:hAnsi="Times New Roman" w:cs="Times New Roman"/>
          <w:b/>
          <w:sz w:val="26"/>
          <w:szCs w:val="26"/>
          <w:lang w:val="pt-BR"/>
        </w:rPr>
        <w:t>MỞ VÀ SỬ DỤNG TÀI KHOẢN VỐN ĐẦU TƯ</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lang w:val="pt-BR"/>
        </w:rPr>
      </w:pPr>
      <w:r w:rsidRPr="00996C50">
        <w:rPr>
          <w:rFonts w:ascii="Times New Roman" w:hAnsi="Times New Roman" w:cs="Times New Roman"/>
          <w:b/>
          <w:sz w:val="28"/>
          <w:szCs w:val="28"/>
          <w:lang w:val="pt-BR"/>
        </w:rPr>
        <w:t>Điều 9. Nguyên tắc mở và sử dụng tài khoản vốn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1. Sau khi được cấp Giấy chứng nhận đăng ký đầu tư ra nước ngoài, nhà đầu tư phải mở 01 (một) tài khoản vốn đầu tư bằng 01 (một) loại ngoại tệ </w:t>
      </w:r>
      <w:r w:rsidR="00D114BB" w:rsidRPr="00996C50">
        <w:rPr>
          <w:rFonts w:ascii="Times New Roman" w:eastAsia="Times New Roman" w:hAnsi="Times New Roman" w:cs="Times New Roman"/>
          <w:color w:val="auto"/>
          <w:sz w:val="28"/>
          <w:szCs w:val="28"/>
          <w:lang w:val="pt-BR" w:eastAsia="en-US"/>
        </w:rPr>
        <w:t xml:space="preserve">cho 01 (một) dự án đầu tư </w:t>
      </w:r>
      <w:r w:rsidRPr="00996C50">
        <w:rPr>
          <w:rFonts w:ascii="Times New Roman" w:eastAsia="Times New Roman" w:hAnsi="Times New Roman" w:cs="Times New Roman"/>
          <w:color w:val="auto"/>
          <w:sz w:val="28"/>
          <w:szCs w:val="28"/>
          <w:lang w:val="pt-BR" w:eastAsia="en-US"/>
        </w:rPr>
        <w:t>phù hợp với nhu cầu chuyển vốn đầu tư ra nước ngoài tại 01 (một) tổ chức tín dụng được phép</w:t>
      </w:r>
      <w:r w:rsidR="00584558" w:rsidRPr="00996C50">
        <w:rPr>
          <w:rFonts w:ascii="Times New Roman" w:eastAsia="Times New Roman" w:hAnsi="Times New Roman" w:cs="Times New Roman"/>
          <w:color w:val="auto"/>
          <w:sz w:val="28"/>
          <w:szCs w:val="28"/>
          <w:lang w:val="pt-BR" w:eastAsia="en-US"/>
        </w:rPr>
        <w:t xml:space="preserve"> </w:t>
      </w:r>
      <w:r w:rsidR="00584558" w:rsidRPr="00996C50">
        <w:rPr>
          <w:rFonts w:ascii="Times New Roman" w:hAnsi="Times New Roman"/>
          <w:bCs/>
          <w:iCs/>
          <w:sz w:val="28"/>
          <w:szCs w:val="28"/>
        </w:rPr>
        <w:t xml:space="preserve">(trừ trường hợp quy định tại </w:t>
      </w:r>
      <w:r w:rsidR="00584558" w:rsidRPr="00996C50">
        <w:rPr>
          <w:rFonts w:ascii="Times New Roman" w:hAnsi="Times New Roman"/>
          <w:bCs/>
          <w:iCs/>
          <w:sz w:val="28"/>
          <w:szCs w:val="28"/>
          <w:lang w:val="en-US"/>
        </w:rPr>
        <w:t>k</w:t>
      </w:r>
      <w:r w:rsidR="00584558" w:rsidRPr="00996C50">
        <w:rPr>
          <w:rFonts w:ascii="Times New Roman" w:hAnsi="Times New Roman"/>
          <w:bCs/>
          <w:iCs/>
          <w:sz w:val="28"/>
          <w:szCs w:val="28"/>
        </w:rPr>
        <w:t xml:space="preserve">hoản 2 Điều 7 </w:t>
      </w:r>
      <w:r w:rsidR="00584558" w:rsidRPr="00996C50">
        <w:rPr>
          <w:rFonts w:ascii="Times New Roman" w:hAnsi="Times New Roman"/>
          <w:bCs/>
          <w:iCs/>
          <w:sz w:val="28"/>
          <w:szCs w:val="28"/>
          <w:lang w:val="en-US"/>
        </w:rPr>
        <w:t>Thông tư này</w:t>
      </w:r>
      <w:r w:rsidR="00584558" w:rsidRPr="00996C50">
        <w:rPr>
          <w:rFonts w:ascii="Times New Roman" w:hAnsi="Times New Roman"/>
          <w:sz w:val="28"/>
          <w:szCs w:val="28"/>
        </w:rPr>
        <w:t>)</w:t>
      </w:r>
      <w:r w:rsidR="00D114BB" w:rsidRPr="00996C50">
        <w:rPr>
          <w:rFonts w:ascii="Times New Roman" w:eastAsia="Times New Roman" w:hAnsi="Times New Roman" w:cs="Times New Roman"/>
          <w:color w:val="auto"/>
          <w:sz w:val="28"/>
          <w:szCs w:val="28"/>
          <w:lang w:val="pt-BR" w:eastAsia="en-US"/>
        </w:rPr>
        <w:t>.</w:t>
      </w:r>
      <w:r w:rsidR="002A4B5F" w:rsidRPr="00996C50">
        <w:rPr>
          <w:rFonts w:ascii="Times New Roman" w:eastAsia="Times New Roman" w:hAnsi="Times New Roman" w:cs="Times New Roman"/>
          <w:color w:val="auto"/>
          <w:sz w:val="28"/>
          <w:szCs w:val="28"/>
          <w:lang w:val="pt-BR" w:eastAsia="en-US"/>
        </w:rPr>
        <w:t xml:space="preserve"> </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Trường hợp chuyển vốn đầu tư ra nước ngoài bằng đồng Việt Nam, nhà đầu tư được mở và sử dụng đồng thời 01 (một) tài khoản vốn đầu tư bằng đồng Việt Nam và 01 (một) tài khoản vốn đầu tư bằng ngoại tệ tại 01 (một) tổ chức tín dụng được phép.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3. Nhà đầu tư có nhiều dự án đầu tư ở nước ngoài phải mở tài khoản vốn đầu tư riêng biệt cho từng dự án.</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4. Trường hợp dự án đầu tư ở nước ngoài có sự tham gia của nhiều nhà đầu tư, mỗi nhà đầu tư phải mở tài khoản vốn đầu tư riêng biệt để chuyển vốn ra nước ngoài trong phạm vi tổng vốn đầu tư và tỷ lệ phần vốn góp theo Giấy chứng nhận đăng ký đầu tư ra nước ngoài do cơ quan có thẩm quyền của Việt Nam cấp.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5. Trường hợp thay đổi tài khoản vốn đầu tư bằng loại ngoại tệ khác hoặc thay đổi tổ chức tín dụng được phép nơi mở tài khoản vốn đầu tư, nhà đầu tư thực hiện các bước sau:</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Mở tài khoản vốn đầu tư bằng loại ngoại tệ khác hoặc tài khoản vốn đầu tư tại tổ chức tín dụng được phép khác;</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b) Đăng ký thay đổi giao dịch ngoại hối liên quan đến hoạt động đầu tư ra nước ngoài với Ngân hàng Nhà nước theo quy định tại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2 Điều 22 Nghị định 124/2017/NĐ-CP; </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c) Trong thời hạn 05 (năm) ngày làm việc kể từ ngày Ngân hàng Nhà nước xác nhận đăng ký thay đổi tài khoản vốn đầu tư, nhà đầu tư phải thực hiện chuyển toàn bộ số dư của tài khoản vốn đầu tư đang sử dụng sang tài khoản vốn đầu tư mới. Sau thời hạn nói trên, tổ chức tín dụng được phép nơi nhà đầu tư đang sử dụng tài khoản vốn đầu tư không cho phép nhà đầu tư sử dụng tài khoản này để thực hiện các giao dịch thu, chi quy định tại Điều 10, Điều 11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d) Tài khoản vốn đầu tư mới chỉ được sử dụng để thực hiện các giao dịch thu, chi quy định tại Điều 10, Điều 11 Thông tư này sau khi hoàn tất các thủ tục nêu tại điểm a, b, c Khoản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6. Sau khi được Ngân hàng Nhà nước xác nhận đăng ký giao dịch ngoại hối, mọi giao dịch thu, chi theo quy định tại Điều 10, Điều 11 Thông tư này phải được thực hiện thông qua tài khoản vốn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7. Thủ tục mở, đóng tài khoản vốn đầu tư thực hiện theo quy định của Ngân hàng Nhà nước về việc mở và sử dụng tài khoản thanh toán tại tổ chức cung ứng dịch vụ thanh toán.</w:t>
      </w:r>
    </w:p>
    <w:p w:rsidR="00B36257" w:rsidRPr="00996C50" w:rsidRDefault="00A73984" w:rsidP="00B36257">
      <w:pPr>
        <w:widowControl/>
        <w:spacing w:before="240" w:after="120" w:line="340" w:lineRule="exact"/>
        <w:ind w:firstLine="540"/>
        <w:jc w:val="both"/>
        <w:rPr>
          <w:rFonts w:ascii="Times New Roman" w:hAnsi="Times New Roman" w:cs="Times New Roman"/>
          <w:b/>
          <w:sz w:val="28"/>
          <w:szCs w:val="28"/>
        </w:rPr>
      </w:pPr>
      <w:r w:rsidRPr="00996C50">
        <w:rPr>
          <w:rFonts w:ascii="Times New Roman" w:hAnsi="Times New Roman" w:cs="Times New Roman"/>
          <w:b/>
          <w:sz w:val="28"/>
          <w:szCs w:val="28"/>
        </w:rPr>
        <w:t xml:space="preserve">Điều </w:t>
      </w:r>
      <w:r w:rsidRPr="00996C50">
        <w:rPr>
          <w:rFonts w:ascii="Times New Roman" w:hAnsi="Times New Roman" w:cs="Times New Roman"/>
          <w:b/>
          <w:sz w:val="28"/>
          <w:szCs w:val="28"/>
          <w:lang w:val="pt-BR"/>
        </w:rPr>
        <w:t>10</w:t>
      </w:r>
      <w:r w:rsidRPr="00996C50">
        <w:rPr>
          <w:rFonts w:ascii="Times New Roman" w:hAnsi="Times New Roman" w:cs="Times New Roman"/>
          <w:b/>
          <w:sz w:val="28"/>
          <w:szCs w:val="28"/>
        </w:rPr>
        <w:t>. Các giao dịch thu, chi trên tài khoản vốn đầu tư bằng ngoại tệ</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Các giao dịch thu:</w:t>
      </w:r>
    </w:p>
    <w:p w:rsidR="00B36257" w:rsidRPr="00996C50" w:rsidRDefault="00A73984" w:rsidP="00B36257">
      <w:pPr>
        <w:widowControl/>
        <w:spacing w:before="240" w:after="120" w:line="340" w:lineRule="exact"/>
        <w:ind w:firstLine="567"/>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Thu chuyển khoản từ tài khoản ngoại tệ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Thu ngoại tệ mua từ tổ chức tín dụng được phép phù hợp với quy định của pháp luật</w:t>
      </w:r>
      <w:r w:rsidR="00910A82" w:rsidRPr="00996C50">
        <w:rPr>
          <w:rFonts w:ascii="Times New Roman" w:eastAsia="Times New Roman" w:hAnsi="Times New Roman" w:cs="Times New Roman"/>
          <w:color w:val="auto"/>
          <w:sz w:val="28"/>
          <w:szCs w:val="28"/>
          <w:lang w:val="pt-BR" w:eastAsia="en-US"/>
        </w:rPr>
        <w:t xml:space="preserve"> để phục vụ đầu tư ra nước ngoài trong hoạt động dầu khí</w:t>
      </w:r>
      <w:r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c) Thu ngoại tệ từ các khoản thu hồi vốn (chi phí) nhà đầu tư được nhận theo quy định tại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5 Điều 3 Nghị định 124/2017/NĐ-CP;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d) Thu chuyển vốn đầu tư về Việt Nam trong trường hợp chuyển nhượng vốn đầu tư ở nước ngoài, giảm vốn đầu tư, thanh lý hoặc chấm dứt hoạt động đầu tư ở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đ) Thu lợi nhuận và các thu nhập hợp pháp chuyển về nước từ hoạt động đầu tư ra nước ngoài;</w:t>
      </w:r>
    </w:p>
    <w:p w:rsidR="00B36257" w:rsidRPr="00996C50" w:rsidRDefault="00A73984" w:rsidP="00B36257">
      <w:pPr>
        <w:widowControl/>
        <w:tabs>
          <w:tab w:val="left" w:pos="567"/>
        </w:tabs>
        <w:spacing w:before="240" w:after="120" w:line="340" w:lineRule="exact"/>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e) Thu nợ gốc và lãi của các khoản cho vay của nhà đầu tư đối với chính pháp nhân thực hiện dự án đầu tư ở nước ngoài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g) Thu hồi nợ từ bên được bảo lãnh liên quan đến các khoản bảo lãnh của nhà đầu tư cho chính pháp nhân thực hiện dự án đầu tư ở nước ngoài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h) Các giao dịch thu hợp pháp khác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Các giao dịch chi: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Chi chuyển khoản vốn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Chi cho vay đối với chính pháp nhân thực hiện dự án đầu tư ở nước ngoài phù hợp với quy định của pháp luật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c) Chi thực hiện nghĩa vụ bảo lãnh liên quan đến khoản bảo lãnh của nhà đầu tư cho chính pháp nhân thực hiện dự án đầu tư ở nước ngoài phù hợp với quy định của pháp luật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d) Chi bán ngoại tệ cho tổ chức tín dụng được phép;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đ) Chi chuyển khoản vào tài khoản ngoại tệ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e) Các giao dịch chi hợp pháp khác liên quan đến hoạt động đầu tư ra nước ngoài.</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lang w:val="pt-BR"/>
        </w:rPr>
      </w:pPr>
      <w:r w:rsidRPr="00996C50">
        <w:rPr>
          <w:rFonts w:ascii="Times New Roman" w:hAnsi="Times New Roman" w:cs="Times New Roman"/>
          <w:b/>
          <w:sz w:val="28"/>
          <w:szCs w:val="28"/>
          <w:lang w:val="pt-BR"/>
        </w:rPr>
        <w:t>Điều 11.</w:t>
      </w:r>
      <w:r w:rsidR="000C1797" w:rsidRPr="00996C50">
        <w:rPr>
          <w:rFonts w:ascii="Times New Roman" w:hAnsi="Times New Roman" w:cs="Times New Roman"/>
          <w:b/>
          <w:sz w:val="28"/>
          <w:szCs w:val="28"/>
          <w:lang w:val="pt-BR"/>
        </w:rPr>
        <w:t xml:space="preserve"> </w:t>
      </w:r>
      <w:r w:rsidRPr="00996C50">
        <w:rPr>
          <w:rFonts w:ascii="Times New Roman" w:hAnsi="Times New Roman" w:cs="Times New Roman"/>
          <w:b/>
          <w:sz w:val="28"/>
          <w:szCs w:val="28"/>
          <w:lang w:val="pt-BR"/>
        </w:rPr>
        <w:t>Các giao dịch thu, chi trên tài khoản vốn đầu tư bằng đồng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hAnsi="Times New Roman" w:cs="Times New Roman"/>
          <w:sz w:val="28"/>
          <w:szCs w:val="28"/>
        </w:rPr>
        <w:t>1</w:t>
      </w:r>
      <w:r w:rsidRPr="00996C50">
        <w:rPr>
          <w:rFonts w:ascii="Times New Roman" w:eastAsia="Times New Roman" w:hAnsi="Times New Roman" w:cs="Times New Roman"/>
          <w:color w:val="auto"/>
          <w:sz w:val="28"/>
          <w:szCs w:val="28"/>
          <w:lang w:val="pt-BR" w:eastAsia="en-US"/>
        </w:rPr>
        <w:t>. Các giao dịch thu:</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Thu chuyển khoản từ tài khoản đồng Việt Nam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Thu nợ gốc và lãi của các khoản cho vay của nhà đầu tư đối với chính pháp nhân thực hiện dự án đầu tư ở nước ngoài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c) Thu hồi nợ từ bên được bảo lãnh liên quan đến các khoản bảo lãnh của nhà đầu tư cho chính pháp nhân thực hiện dự án đầu tư ở nước ngoài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d) Thu hồi vốn bằng đồng Việt Nam (chi phí) nhà đầu tư được nhận theo quy định tại </w:t>
      </w:r>
      <w:r w:rsidR="00D114BB"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5 Điều 3 Nghị định 124/2017/NĐ-CP;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đ) Thu chuyển vốn đầu tư ở nước ngoài về Việt Nam trong trường hợp chuyển nhượng vốn đầu tư ở nước ngoài, giảm vốn, thanh lý hoặc chấm dứt hoạt động đầu tư ở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e) Thu lợi nhuận và thu nhập hợp pháp khác chuyển về nước từ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g) Các giao dịch thu hợp pháp khác bằng đồng Việt Nam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Các giao dịch chi: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Chi chuyển khoản vốn đầu tư bằng đồng Việt Nam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b) Chi chuyển vào tài khoản đồng Việt Nam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c) Chi cho vay đối với chính pháp nhân thực hiện dự án đầu tư ở nước ngoài phù hợp với quy định của pháp luật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d) Chi thực hiện nghĩa vụ bảo lãnh liên quan đến khoản bảo lãnh của nhà đầu tư cho chính pháp nhân thực hiện dự án đầu tư ở nước ngoài phù hợp với quy định của pháp luật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đ) Các giao dịch chi hợp pháp khác bằng đồng Việt Nam liên quan đến hoạt động đầu tư ra nước ngoài.</w:t>
      </w:r>
    </w:p>
    <w:p w:rsidR="00B36257" w:rsidRPr="00996C50" w:rsidRDefault="00B36257"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p>
    <w:p w:rsidR="00B36257" w:rsidRPr="00996C50" w:rsidRDefault="00A73984" w:rsidP="00B36257">
      <w:pPr>
        <w:spacing w:after="120"/>
        <w:ind w:firstLine="567"/>
        <w:jc w:val="center"/>
        <w:rPr>
          <w:rFonts w:ascii="Times New Roman" w:hAnsi="Times New Roman" w:cs="Times New Roman"/>
          <w:b/>
          <w:sz w:val="28"/>
          <w:szCs w:val="28"/>
          <w:lang w:val="pt-BR"/>
        </w:rPr>
      </w:pPr>
      <w:r w:rsidRPr="00996C50">
        <w:rPr>
          <w:rFonts w:ascii="Times New Roman" w:hAnsi="Times New Roman" w:cs="Times New Roman"/>
          <w:b/>
          <w:sz w:val="28"/>
          <w:szCs w:val="28"/>
        </w:rPr>
        <w:t>Chương I</w:t>
      </w:r>
      <w:r w:rsidRPr="00996C50">
        <w:rPr>
          <w:rFonts w:ascii="Times New Roman" w:hAnsi="Times New Roman" w:cs="Times New Roman"/>
          <w:b/>
          <w:sz w:val="28"/>
          <w:szCs w:val="28"/>
          <w:lang w:val="pt-BR"/>
        </w:rPr>
        <w:t>V</w:t>
      </w:r>
    </w:p>
    <w:p w:rsidR="00B36257" w:rsidRPr="00996C50" w:rsidRDefault="00A73984" w:rsidP="00B36257">
      <w:pPr>
        <w:jc w:val="center"/>
        <w:rPr>
          <w:rFonts w:ascii="Times New Roman" w:hAnsi="Times New Roman" w:cs="Times New Roman"/>
          <w:b/>
          <w:sz w:val="26"/>
          <w:szCs w:val="26"/>
          <w:lang w:val="pt-BR"/>
        </w:rPr>
      </w:pPr>
      <w:r w:rsidRPr="00996C50">
        <w:rPr>
          <w:rFonts w:ascii="Times New Roman" w:hAnsi="Times New Roman" w:cs="Times New Roman"/>
          <w:b/>
          <w:sz w:val="26"/>
          <w:szCs w:val="26"/>
          <w:lang w:val="pt-BR"/>
        </w:rPr>
        <w:t>ĐĂNG KÝ, ĐĂNG KÝ THAY ĐỔI GIAO DỊCH NGOẠI HỐI LIÊN QUAN ĐẾN HOẠT ĐỘNG ĐẦU TƯ RA NƯỚC NGOÀI</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lang w:val="pt-BR"/>
        </w:rPr>
      </w:pPr>
      <w:r w:rsidRPr="00996C50">
        <w:rPr>
          <w:rFonts w:ascii="Times New Roman" w:hAnsi="Times New Roman" w:cs="Times New Roman"/>
          <w:b/>
          <w:sz w:val="28"/>
          <w:szCs w:val="28"/>
          <w:lang w:val="pt-BR"/>
        </w:rPr>
        <w:t>Điều 12.</w:t>
      </w:r>
      <w:r w:rsidR="00987197" w:rsidRPr="00996C50">
        <w:rPr>
          <w:rFonts w:ascii="Times New Roman" w:hAnsi="Times New Roman" w:cs="Times New Roman"/>
          <w:b/>
          <w:sz w:val="28"/>
          <w:szCs w:val="28"/>
          <w:lang w:val="pt-BR"/>
        </w:rPr>
        <w:t xml:space="preserve"> </w:t>
      </w:r>
      <w:r w:rsidRPr="00996C50">
        <w:rPr>
          <w:rFonts w:ascii="Times New Roman" w:hAnsi="Times New Roman" w:cs="Times New Roman"/>
          <w:b/>
          <w:sz w:val="28"/>
          <w:szCs w:val="28"/>
          <w:lang w:val="pt-BR"/>
        </w:rPr>
        <w:t>Đăng ký, đăng ký thay đổi giao dịch ngoại hối</w:t>
      </w:r>
    </w:p>
    <w:p w:rsidR="00B36257" w:rsidRPr="00996C50" w:rsidRDefault="00A73984" w:rsidP="00B36257">
      <w:pPr>
        <w:widowControl/>
        <w:spacing w:before="240" w:line="340" w:lineRule="exact"/>
        <w:ind w:firstLine="539"/>
        <w:jc w:val="both"/>
        <w:rPr>
          <w:rFonts w:ascii="Times New Roman" w:hAnsi="Times New Roman" w:cs="Times New Roman"/>
          <w:sz w:val="28"/>
          <w:szCs w:val="28"/>
          <w:lang w:val="pt-BR"/>
        </w:rPr>
      </w:pPr>
      <w:r w:rsidRPr="00996C50">
        <w:rPr>
          <w:rFonts w:ascii="Times New Roman" w:hAnsi="Times New Roman" w:cs="Times New Roman"/>
          <w:sz w:val="28"/>
          <w:szCs w:val="28"/>
          <w:lang w:val="pt-BR"/>
        </w:rPr>
        <w:t xml:space="preserve">Sau khi được cấp Giấy chứng nhận đăng ký đầu tư ra nước ngoài, nhà đầu tư thực hiện đăng ký, đăng ký thay đổi </w:t>
      </w:r>
      <w:r w:rsidRPr="00996C50">
        <w:rPr>
          <w:rFonts w:ascii="Times New Roman" w:hAnsi="Times New Roman" w:cs="Times New Roman"/>
          <w:color w:val="000000" w:themeColor="text1"/>
          <w:sz w:val="28"/>
          <w:szCs w:val="28"/>
          <w:lang w:val="pt-BR"/>
        </w:rPr>
        <w:t>và thông báo khi thay đổi giao dịch</w:t>
      </w:r>
      <w:r w:rsidRPr="00996C50">
        <w:rPr>
          <w:rFonts w:ascii="Times New Roman" w:hAnsi="Times New Roman" w:cs="Times New Roman"/>
          <w:sz w:val="28"/>
          <w:szCs w:val="28"/>
          <w:lang w:val="pt-BR"/>
        </w:rPr>
        <w:t xml:space="preserve"> ngoại hối liên quan đến hoạt động đầu tư ra nước ngoài với Ngân hàng Nhà nước chi nhánh tỉnh, thành phố trên địa bàn theo trình tự, thủ tục và hồ sơ quy định tại Điều 21, Điều 22 </w:t>
      </w:r>
      <w:r w:rsidRPr="00996C50">
        <w:rPr>
          <w:rFonts w:ascii="Times New Roman" w:eastAsia="Times New Roman" w:hAnsi="Times New Roman" w:cs="Times New Roman"/>
          <w:color w:val="auto"/>
          <w:sz w:val="28"/>
          <w:szCs w:val="28"/>
          <w:lang w:val="pt-BR" w:eastAsia="en-US"/>
        </w:rPr>
        <w:t>Nghị định 124/2017/NĐ-CP. Đơn đăng ký, đăng ký thay đổi giao dịch ngoại hối liên quan đến hoạt động đầu tư ra nước ngoài theo mẫu tại Phụ lục số 0</w:t>
      </w:r>
      <w:r w:rsidR="003A2431">
        <w:rPr>
          <w:rFonts w:ascii="Times New Roman" w:eastAsia="Times New Roman" w:hAnsi="Times New Roman" w:cs="Times New Roman"/>
          <w:color w:val="auto"/>
          <w:sz w:val="28"/>
          <w:szCs w:val="28"/>
          <w:lang w:eastAsia="en-US"/>
        </w:rPr>
        <w:t>4</w:t>
      </w:r>
      <w:r w:rsidRPr="00996C50">
        <w:rPr>
          <w:rFonts w:ascii="Times New Roman" w:eastAsia="Times New Roman" w:hAnsi="Times New Roman" w:cs="Times New Roman"/>
          <w:color w:val="auto"/>
          <w:sz w:val="28"/>
          <w:szCs w:val="28"/>
          <w:lang w:val="pt-BR" w:eastAsia="en-US"/>
        </w:rPr>
        <w:t>, Phụ lục số 0</w:t>
      </w:r>
      <w:r w:rsidR="003A2431">
        <w:rPr>
          <w:rFonts w:ascii="Times New Roman" w:eastAsia="Times New Roman" w:hAnsi="Times New Roman" w:cs="Times New Roman"/>
          <w:color w:val="auto"/>
          <w:sz w:val="28"/>
          <w:szCs w:val="28"/>
          <w:lang w:eastAsia="en-US"/>
        </w:rPr>
        <w:t>5</w:t>
      </w:r>
      <w:r w:rsidRPr="00996C50">
        <w:rPr>
          <w:rFonts w:ascii="Times New Roman" w:eastAsia="Times New Roman" w:hAnsi="Times New Roman" w:cs="Times New Roman"/>
          <w:color w:val="auto"/>
          <w:sz w:val="28"/>
          <w:szCs w:val="28"/>
          <w:lang w:val="pt-BR" w:eastAsia="en-US"/>
        </w:rPr>
        <w:t xml:space="preserve"> ban hành kèm theo Thông tư này.</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lang w:val="pt-BR"/>
        </w:rPr>
      </w:pPr>
      <w:r w:rsidRPr="00996C50">
        <w:rPr>
          <w:rFonts w:ascii="Times New Roman" w:hAnsi="Times New Roman" w:cs="Times New Roman"/>
          <w:b/>
          <w:sz w:val="28"/>
          <w:szCs w:val="28"/>
        </w:rPr>
        <w:t>Điều 1</w:t>
      </w:r>
      <w:r w:rsidRPr="00996C50">
        <w:rPr>
          <w:rFonts w:ascii="Times New Roman" w:hAnsi="Times New Roman" w:cs="Times New Roman"/>
          <w:b/>
          <w:sz w:val="28"/>
          <w:szCs w:val="28"/>
          <w:lang w:val="pt-BR"/>
        </w:rPr>
        <w:t>3</w:t>
      </w:r>
      <w:r w:rsidRPr="00996C50">
        <w:rPr>
          <w:rFonts w:ascii="Times New Roman" w:hAnsi="Times New Roman" w:cs="Times New Roman"/>
          <w:b/>
          <w:sz w:val="28"/>
          <w:szCs w:val="28"/>
        </w:rPr>
        <w:t xml:space="preserve">. </w:t>
      </w:r>
      <w:r w:rsidRPr="00996C50">
        <w:rPr>
          <w:rFonts w:ascii="Times New Roman" w:hAnsi="Times New Roman" w:cs="Times New Roman"/>
          <w:b/>
          <w:sz w:val="28"/>
          <w:szCs w:val="28"/>
          <w:lang w:val="pt-BR"/>
        </w:rPr>
        <w:t>Thẩm quyền x</w:t>
      </w:r>
      <w:r w:rsidRPr="00996C50">
        <w:rPr>
          <w:rFonts w:ascii="Times New Roman" w:hAnsi="Times New Roman" w:cs="Times New Roman"/>
          <w:b/>
          <w:sz w:val="28"/>
          <w:szCs w:val="28"/>
        </w:rPr>
        <w:t xml:space="preserve">ác nhận đăng ký, đăng ký thay đổi giao dịch ngoại hối </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lang w:val="pt-BR"/>
        </w:rPr>
      </w:pPr>
      <w:r w:rsidRPr="00996C50">
        <w:rPr>
          <w:rFonts w:ascii="Times New Roman" w:hAnsi="Times New Roman" w:cs="Times New Roman"/>
          <w:sz w:val="28"/>
          <w:szCs w:val="28"/>
          <w:lang w:val="pt-BR"/>
        </w:rPr>
        <w:tab/>
      </w:r>
      <w:r w:rsidRPr="00996C50">
        <w:rPr>
          <w:rFonts w:ascii="Times New Roman" w:eastAsia="Times New Roman" w:hAnsi="Times New Roman" w:cs="Times New Roman"/>
          <w:color w:val="auto"/>
          <w:sz w:val="28"/>
          <w:szCs w:val="28"/>
          <w:lang w:val="pt-BR" w:eastAsia="en-US"/>
        </w:rPr>
        <w:t>1. Ngân hàng Nhà nước chi nhánh tỉnh, thành phố xác nhận đăng ký, xác nhận đăng ký thay đổi giao dịch ngoại hối liên quan đến hoạt động đầu tư ra nước ngoài cho nhà đầu tư là tổ chức có trụ sở chính trên cùng địa bàn, cho nhà đầu tư là cá nhân đăng ký thường trú trên cùng địa bàn (theo mẫu tại Phụ lục số 0</w:t>
      </w:r>
      <w:r w:rsidR="003A2431">
        <w:rPr>
          <w:rFonts w:ascii="Times New Roman" w:eastAsia="Times New Roman" w:hAnsi="Times New Roman" w:cs="Times New Roman"/>
          <w:color w:val="auto"/>
          <w:sz w:val="28"/>
          <w:szCs w:val="28"/>
          <w:lang w:eastAsia="en-US"/>
        </w:rPr>
        <w:t>6</w:t>
      </w:r>
      <w:r w:rsidRPr="00996C50">
        <w:rPr>
          <w:rFonts w:ascii="Times New Roman" w:eastAsia="Times New Roman" w:hAnsi="Times New Roman" w:cs="Times New Roman"/>
          <w:color w:val="auto"/>
          <w:sz w:val="28"/>
          <w:szCs w:val="28"/>
          <w:lang w:val="pt-BR" w:eastAsia="en-US"/>
        </w:rPr>
        <w:t>, Phụ lục 0</w:t>
      </w:r>
      <w:r w:rsidR="003A2431">
        <w:rPr>
          <w:rFonts w:ascii="Times New Roman" w:eastAsia="Times New Roman" w:hAnsi="Times New Roman" w:cs="Times New Roman"/>
          <w:color w:val="auto"/>
          <w:sz w:val="28"/>
          <w:szCs w:val="28"/>
          <w:lang w:eastAsia="en-US"/>
        </w:rPr>
        <w:t>7</w:t>
      </w:r>
      <w:r w:rsidRPr="00996C50">
        <w:rPr>
          <w:rFonts w:ascii="Times New Roman" w:eastAsia="Times New Roman" w:hAnsi="Times New Roman" w:cs="Times New Roman"/>
          <w:color w:val="auto"/>
          <w:sz w:val="28"/>
          <w:szCs w:val="28"/>
          <w:lang w:val="pt-BR" w:eastAsia="en-US"/>
        </w:rPr>
        <w:t xml:space="preserve"> ban hành kèm theo Thông tư này);</w:t>
      </w:r>
      <w:r w:rsidR="006926A8" w:rsidRPr="00996C50">
        <w:rPr>
          <w:rFonts w:ascii="Times New Roman" w:eastAsia="Times New Roman" w:hAnsi="Times New Roman" w:cs="Times New Roman"/>
          <w:color w:val="auto"/>
          <w:sz w:val="28"/>
          <w:szCs w:val="28"/>
          <w:lang w:val="pt-BR" w:eastAsia="en-US"/>
        </w:rPr>
        <w:t xml:space="preserve"> </w:t>
      </w:r>
      <w:r w:rsidR="00826073" w:rsidRPr="00996C50">
        <w:rPr>
          <w:rFonts w:ascii="Times New Roman" w:eastAsia="Times New Roman" w:hAnsi="Times New Roman" w:cs="Times New Roman"/>
          <w:color w:val="auto"/>
          <w:sz w:val="28"/>
          <w:szCs w:val="28"/>
          <w:lang w:val="pt-BR" w:eastAsia="en-US"/>
        </w:rPr>
        <w:t>trong đó, xác nhận số ngoại tệ đã chuyển ra nước ngoài trước khi được cấp Giấy chứng nhận đăng ký đầu tư ra nước ngoài cho nhà đầu tư</w:t>
      </w:r>
      <w:r w:rsidR="00826073" w:rsidRPr="00996C50">
        <w:rPr>
          <w:rFonts w:ascii="Times New Roman" w:hAnsi="Times New Roman" w:cs="Times New Roman"/>
          <w:sz w:val="28"/>
          <w:szCs w:val="28"/>
        </w:rPr>
        <w: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Trường hợp thay đổi liên quan đến</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nhà đầu tư thực hiện dự án dẫn đến thay đổi cơ quan có thẩm quyền xác nhận đăng ký thay đổi giao dịch ngoại hối liên quan đến hoạt động đầu tư ra nước ngoài, cơ quan xác nhận đăng ký, đăng ký thay đổi giao dịch ngoại hối ban đầu có trách nhiệm: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 Làm đầu mối tiếp nhận hồ sơ đăng ký thay đổi giao dịch ngoại hối liên quan đến hoạt động đầu tư ra nước ngoài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 xml:space="preserve">b) Trong vòng </w:t>
      </w:r>
      <w:r w:rsidR="00EC3EB7" w:rsidRPr="00996C50">
        <w:rPr>
          <w:rFonts w:ascii="Times New Roman" w:eastAsia="Times New Roman" w:hAnsi="Times New Roman" w:cs="Times New Roman"/>
          <w:color w:val="auto"/>
          <w:sz w:val="28"/>
          <w:szCs w:val="28"/>
          <w:lang w:val="pt-BR" w:eastAsia="en-US"/>
        </w:rPr>
        <w:t xml:space="preserve">03 (ba) </w:t>
      </w:r>
      <w:r w:rsidRPr="00996C50">
        <w:rPr>
          <w:rFonts w:ascii="Times New Roman" w:eastAsia="Times New Roman" w:hAnsi="Times New Roman" w:cs="Times New Roman"/>
          <w:color w:val="auto"/>
          <w:sz w:val="28"/>
          <w:szCs w:val="28"/>
          <w:lang w:val="pt-BR" w:eastAsia="en-US"/>
        </w:rPr>
        <w:t xml:space="preserve">ngày làm việc kể từ ngày nhận được hồ sơ đăng ký thay đổi giao dịch ngoại hối liên quan đến hoạt động đầu tư ra nước ngoài của nhà đầu tư, chuyển toàn bộ bản gốc hồ sơ đề nghị đăng ký thay đổi và bản sao hồ sơ đăng ký, hồ sơ đăng ký thay đổi đã thực hiện của nhà đầu tư (nếu có) cho cơ quan có thẩm quyền quy định tại </w:t>
      </w:r>
      <w:r w:rsidR="006D1A3D"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 xml:space="preserve">hoản </w:t>
      </w:r>
      <w:r w:rsidR="006926A8" w:rsidRPr="00996C50">
        <w:rPr>
          <w:rFonts w:ascii="Times New Roman" w:eastAsia="Times New Roman" w:hAnsi="Times New Roman" w:cs="Times New Roman"/>
          <w:color w:val="auto"/>
          <w:sz w:val="28"/>
          <w:szCs w:val="28"/>
          <w:lang w:val="pt-BR" w:eastAsia="en-US"/>
        </w:rPr>
        <w:t xml:space="preserve">1 </w:t>
      </w:r>
      <w:r w:rsidRPr="00996C50">
        <w:rPr>
          <w:rFonts w:ascii="Times New Roman" w:eastAsia="Times New Roman" w:hAnsi="Times New Roman" w:cs="Times New Roman"/>
          <w:color w:val="auto"/>
          <w:sz w:val="28"/>
          <w:szCs w:val="28"/>
          <w:lang w:val="pt-BR" w:eastAsia="en-US"/>
        </w:rPr>
        <w:t xml:space="preserve">Điều này để tiếp tục xử lý theo thời hạn quy định tại </w:t>
      </w:r>
      <w:r w:rsidR="00BA24E8"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2 Điều 22 Nghị định 124/2017/NĐ-CP; đồng thời, thông báo với nhà đầu tư về việc chuyển hồ sơ đăng ký thay đổi giao dịch ngoại hối liên quan đến hoạt động đầu tư ra nước ngoài của nhà đầu tư cho cơ quan có thẩm quyền mới.</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rPr>
        <w:t>Điều 1</w:t>
      </w:r>
      <w:r w:rsidRPr="00996C50">
        <w:rPr>
          <w:rFonts w:ascii="Times New Roman" w:hAnsi="Times New Roman" w:cs="Times New Roman"/>
          <w:b/>
          <w:sz w:val="28"/>
          <w:szCs w:val="28"/>
          <w:lang w:val="pt-BR"/>
        </w:rPr>
        <w:t>4</w:t>
      </w:r>
      <w:r w:rsidRPr="00996C50">
        <w:rPr>
          <w:rFonts w:ascii="Times New Roman" w:hAnsi="Times New Roman" w:cs="Times New Roman"/>
          <w:b/>
          <w:sz w:val="28"/>
          <w:szCs w:val="28"/>
        </w:rPr>
        <w:t>. Hiệu lực của văn bản xác nhận đăng ký, đăng ký thay đổi giao dịch ngoại hối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Văn bản xác nhận đăng ký, đăng ký thay đổi giao dịch ngoại hối liên quan đến hoạt động đầu tư ra nước ngoài của Ngân hàng Nhà nước đương nhiên hết hiệu lực khi có quyết định</w:t>
      </w:r>
      <w:r w:rsidR="00EA5BE3"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của cơ quan có thẩm quyền về đầu tư</w:t>
      </w:r>
      <w:r w:rsidR="00EA5BE3"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về việc chấm dứt hiệu lực của Giấy chứng nhận đăng ký đầu tư ra nước ngoài đối với nhà đầu tư. Trong trường hợp này, nhà đầu tư được tiếp tục sử dụng tài khoản vốn đầu tư để thực hiện giao dịch thu lợi nhuận, các nguồn thu hợp pháp và vốn đầu tư từ nước ngoài để chuyển về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Khi có kết luận của cơ quan có thẩm quyền về việc giả mạo hồ sơ, tài liệu đăng ký, đăng ký thay đổi giao dịch ngoại hối liên quan đến hoạt động đầu tư ra nước ngoài, cơ quan xác nhận đăng ký, đăng ký thay đổi giao dịch ngoại hối liên quan đến hoạt động đầu tư ra nước ngoài theo quy định tại Điều 13</w:t>
      </w:r>
      <w:r w:rsidR="006926A8" w:rsidRPr="00996C50">
        <w:rPr>
          <w:rFonts w:ascii="Times New Roman" w:eastAsia="Times New Roman" w:hAnsi="Times New Roman" w:cs="Times New Roman"/>
          <w:color w:val="auto"/>
          <w:sz w:val="28"/>
          <w:szCs w:val="28"/>
          <w:lang w:val="pt-BR" w:eastAsia="en-US"/>
        </w:rPr>
        <w:t xml:space="preserve"> </w:t>
      </w:r>
      <w:r w:rsidRPr="00996C50">
        <w:rPr>
          <w:rFonts w:ascii="Times New Roman" w:eastAsia="Times New Roman" w:hAnsi="Times New Roman" w:cs="Times New Roman"/>
          <w:color w:val="auto"/>
          <w:sz w:val="28"/>
          <w:szCs w:val="28"/>
          <w:lang w:val="pt-BR" w:eastAsia="en-US"/>
        </w:rPr>
        <w:t>Thông tư này có văn bản gửi nhà đầu tư và tổ chức tín dụng nơi nhà đầu tư mở tài khoản vốn đầu tư về việc chấm dứt hiệu lực và lý do chấm dứt hiệu lực văn bản xác nhận đăng ký, đăng ký thay đổi giao dịch ngoại hối liên quan đến hoạt động đầu tư ra nước ngoài.</w:t>
      </w:r>
    </w:p>
    <w:p w:rsidR="00B36257" w:rsidRPr="00996C50" w:rsidRDefault="00B36257" w:rsidP="00B36257">
      <w:pPr>
        <w:ind w:firstLine="567"/>
      </w:pPr>
    </w:p>
    <w:p w:rsidR="00B36257" w:rsidRPr="00996C50" w:rsidRDefault="00826073" w:rsidP="00B36257">
      <w:pPr>
        <w:spacing w:after="120"/>
        <w:ind w:firstLine="567"/>
        <w:jc w:val="center"/>
        <w:rPr>
          <w:rFonts w:ascii="Times New Roman" w:hAnsi="Times New Roman" w:cs="Times New Roman"/>
          <w:b/>
          <w:sz w:val="28"/>
          <w:szCs w:val="28"/>
        </w:rPr>
      </w:pPr>
      <w:r w:rsidRPr="00996C50">
        <w:rPr>
          <w:rFonts w:ascii="Times New Roman" w:hAnsi="Times New Roman" w:cs="Times New Roman"/>
          <w:b/>
          <w:sz w:val="28"/>
          <w:szCs w:val="28"/>
        </w:rPr>
        <w:t>Chương V</w:t>
      </w:r>
    </w:p>
    <w:p w:rsidR="00B36257" w:rsidRPr="00996C50" w:rsidRDefault="00A73984" w:rsidP="00B36257">
      <w:pPr>
        <w:ind w:firstLine="567"/>
        <w:jc w:val="center"/>
        <w:rPr>
          <w:rFonts w:ascii="Times New Roman" w:hAnsi="Times New Roman" w:cs="Times New Roman"/>
          <w:b/>
          <w:sz w:val="26"/>
          <w:szCs w:val="26"/>
        </w:rPr>
      </w:pPr>
      <w:r w:rsidRPr="00996C50">
        <w:rPr>
          <w:rFonts w:ascii="Times New Roman" w:hAnsi="Times New Roman" w:cs="Times New Roman"/>
          <w:b/>
          <w:sz w:val="26"/>
          <w:szCs w:val="26"/>
        </w:rPr>
        <w:t>CHUYỂN LỢI NHUẬN, THU NHẬP HỢP PHÁP VÀ CHUYỂN VỐN ĐẦU TƯ Ở NƯỚC NGOÀI VỀ VIỆT NAM</w:t>
      </w:r>
    </w:p>
    <w:p w:rsidR="00B36257" w:rsidRPr="00996C50" w:rsidRDefault="00A73984" w:rsidP="00B36257">
      <w:pPr>
        <w:widowControl/>
        <w:spacing w:before="240" w:line="340" w:lineRule="exact"/>
        <w:ind w:firstLine="540"/>
        <w:jc w:val="both"/>
        <w:rPr>
          <w:rFonts w:ascii="Times New Roman" w:hAnsi="Times New Roman" w:cs="Times New Roman"/>
          <w:b/>
          <w:sz w:val="28"/>
          <w:szCs w:val="28"/>
        </w:rPr>
      </w:pPr>
      <w:r w:rsidRPr="00996C50">
        <w:rPr>
          <w:rFonts w:ascii="Times New Roman" w:hAnsi="Times New Roman" w:cs="Times New Roman"/>
          <w:b/>
          <w:sz w:val="28"/>
          <w:szCs w:val="28"/>
        </w:rPr>
        <w:t>Điều 15. Chuyển lợi nhuận, thu nhập hợp pháp và chuyển vốn đầu tư về Việt Nam</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Nhà đầu tư có trách nhiệm chuyển lợi nhuận, thu nhập hợp pháp và chuyển vốn đầu tư về nước sau khi thanh lý, chấm dứt, giảm vốn đầu tư, chuyển nhượng dự án đầu tư theo quy định hiện hành của pháp luật về đầu tư ra nước ngoài trong hoạt động dầu khí.</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Lợi nhuận, vốn đầu tư và các khoản thu hợp pháp về nước trong trường hợp thanh lý, chấm dứt, giảm vốn đầu tư, chuyển nhượng dự án đầu tư phải được chuyển vào tài khoản vốn đầu tư của nhà đầu tư theo quy định tại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3. Đối với trường hợp chấm dứt dự án đầu tư ra nước ngoài theo quy</w:t>
      </w:r>
      <w:r w:rsidR="000A7F3B" w:rsidRPr="00996C50">
        <w:rPr>
          <w:rFonts w:ascii="Times New Roman" w:eastAsia="Times New Roman" w:hAnsi="Times New Roman" w:cs="Times New Roman"/>
          <w:color w:val="auto"/>
          <w:sz w:val="28"/>
          <w:szCs w:val="28"/>
          <w:lang w:val="pt-BR" w:eastAsia="en-US"/>
        </w:rPr>
        <w:t xml:space="preserve"> định tại điểm d k</w:t>
      </w:r>
      <w:r w:rsidRPr="00996C50">
        <w:rPr>
          <w:rFonts w:ascii="Times New Roman" w:eastAsia="Times New Roman" w:hAnsi="Times New Roman" w:cs="Times New Roman"/>
          <w:color w:val="auto"/>
          <w:sz w:val="28"/>
          <w:szCs w:val="28"/>
          <w:lang w:val="pt-BR" w:eastAsia="en-US"/>
        </w:rPr>
        <w:t>hoản 1 Điều 62 Luật Đầu tư, trước khi thực hiện việc chấm dứt dự án và chuyển toàn bộ vốn đầu tư ở nước ngoài cho nhà đầu tư nước ngoài, nhà đầu tư phải thông báo với Ngân hàng Nhà nước chi nhánh tỉnh, thành phố nơi nhà đầu tư đăng ký giao dịch ngoại hối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4. Thời hạn chuyểnvốn đầu tư, khoản thu hồi vốn (chi phí), lợi nhuận, thu nhập hợp pháp, chuyển vốn đầu tư ở nước ngoài về Việt Nam và thẩm quyền gia hạn thực hiện theo quy định tại Điều 24, Điều 30 Nghị định 124/2017/NĐ-CP.</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rPr>
        <w:t>Điều 1</w:t>
      </w:r>
      <w:r w:rsidRPr="00996C50">
        <w:rPr>
          <w:rFonts w:ascii="Times New Roman" w:hAnsi="Times New Roman" w:cs="Times New Roman"/>
          <w:b/>
          <w:sz w:val="28"/>
          <w:szCs w:val="28"/>
          <w:lang w:val="pt-BR"/>
        </w:rPr>
        <w:t>6</w:t>
      </w:r>
      <w:r w:rsidRPr="00996C50">
        <w:rPr>
          <w:rFonts w:ascii="Times New Roman" w:hAnsi="Times New Roman" w:cs="Times New Roman"/>
          <w:b/>
          <w:sz w:val="28"/>
          <w:szCs w:val="28"/>
        </w:rPr>
        <w:t>. Sử dụng lợi nhuận ở nước ngoài</w:t>
      </w:r>
    </w:p>
    <w:p w:rsidR="00402DB1" w:rsidRDefault="00402DB1" w:rsidP="00CE663C">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Pr>
          <w:rFonts w:ascii="Times New Roman" w:eastAsia="Times New Roman" w:hAnsi="Times New Roman" w:cs="Times New Roman"/>
          <w:color w:val="auto"/>
          <w:sz w:val="28"/>
          <w:szCs w:val="28"/>
          <w:lang w:val="pt-BR" w:eastAsia="en-US"/>
        </w:rPr>
        <w:t>1. Nhà đầu tư sử dụng lợi nhuận thu được từ hoạt động đầu tư ở nước ngoài để tăng vốn, mở rộng hoạt động đầu tư ở nước ngoài phải thực hiện thủ tục điều chỉnh Giấy chứng nhận đăng ký đầu tư ra nước ngoài tại cơ quan có thẩm quyền của Việt Nam theo quy định của pháp luật hiện hành về đầu tư ra nước ngoài và phải có văn bản báo cáo Ngân hàng Nhà nước trong vòng 30 (ba mươi) ngày kể từ ngày được cấp Giấy chứng nhận đăng ký đầu tư ra nước ngoài điều chỉnh.</w:t>
      </w:r>
    </w:p>
    <w:p w:rsidR="00B36257" w:rsidRPr="00996C50" w:rsidRDefault="00402DB1" w:rsidP="00CE663C">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Pr>
          <w:rFonts w:ascii="Times New Roman" w:eastAsia="Times New Roman" w:hAnsi="Times New Roman" w:cs="Times New Roman"/>
          <w:color w:val="auto"/>
          <w:sz w:val="28"/>
          <w:szCs w:val="28"/>
          <w:lang w:val="pt-BR" w:eastAsia="en-US"/>
        </w:rPr>
        <w:t xml:space="preserve">2. </w:t>
      </w:r>
      <w:r w:rsidR="00826073" w:rsidRPr="00996C50">
        <w:rPr>
          <w:rFonts w:ascii="Times New Roman" w:eastAsia="Times New Roman" w:hAnsi="Times New Roman" w:cs="Times New Roman"/>
          <w:color w:val="auto"/>
          <w:sz w:val="28"/>
          <w:szCs w:val="28"/>
          <w:lang w:val="pt-BR" w:eastAsia="en-US"/>
        </w:rPr>
        <w:t>Trường hợp sử dụng lợi nhuận thu được từ dự án đầu tư ở nước ngoài để thực hiện dự án đầu tư khác ở nước ngoài, sau khi được cấp Giấy chứng nhận đăng ký đầu tư ra nước ngoài cho dự án đầu tư mới, nhà đầu tư phải đăng ký giao dịch ngoại hối liên quan đến hoạt động đầu tư ra nước ngoài với Ngân hàng Nhà nước theo quy định tại Điều 21 Nghị định 124/2017/NĐ-CP và Chương IV Thông tư này.</w:t>
      </w:r>
    </w:p>
    <w:p w:rsidR="00B36257" w:rsidRPr="00996C50" w:rsidRDefault="00A73984" w:rsidP="00B36257">
      <w:pPr>
        <w:spacing w:before="120"/>
        <w:ind w:firstLine="567"/>
        <w:jc w:val="center"/>
        <w:rPr>
          <w:rFonts w:ascii="Times New Roman" w:hAnsi="Times New Roman" w:cs="Times New Roman"/>
          <w:b/>
          <w:sz w:val="28"/>
          <w:szCs w:val="28"/>
        </w:rPr>
      </w:pPr>
      <w:r w:rsidRPr="00996C50">
        <w:rPr>
          <w:rFonts w:ascii="Times New Roman" w:hAnsi="Times New Roman" w:cs="Times New Roman"/>
          <w:b/>
          <w:sz w:val="28"/>
          <w:szCs w:val="28"/>
        </w:rPr>
        <w:t>Chương VI</w:t>
      </w:r>
    </w:p>
    <w:p w:rsidR="00B36257" w:rsidRPr="00996C50" w:rsidRDefault="00A73984" w:rsidP="00B36257">
      <w:pPr>
        <w:spacing w:before="120"/>
        <w:ind w:firstLine="567"/>
        <w:jc w:val="center"/>
        <w:rPr>
          <w:rFonts w:ascii="Times New Roman" w:hAnsi="Times New Roman" w:cs="Times New Roman"/>
          <w:b/>
          <w:sz w:val="26"/>
          <w:szCs w:val="26"/>
        </w:rPr>
      </w:pPr>
      <w:r w:rsidRPr="00996C50">
        <w:rPr>
          <w:rFonts w:ascii="Times New Roman" w:hAnsi="Times New Roman" w:cs="Times New Roman"/>
          <w:b/>
          <w:sz w:val="26"/>
          <w:szCs w:val="26"/>
        </w:rPr>
        <w:t xml:space="preserve">TRÁCH NHIỆM CỦA CÁC BÊN LIÊN QUAN </w:t>
      </w:r>
    </w:p>
    <w:p w:rsidR="00B36257" w:rsidRPr="00996C50" w:rsidRDefault="00A73984" w:rsidP="00B36257">
      <w:pPr>
        <w:widowControl/>
        <w:spacing w:before="12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rPr>
        <w:t>Điều 17. Trách nhiệm của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1. Tuân thủ các quy định về đầu tư ra nước ngoài trong hoạt động dầu khí, thực hiện việc chuyển vốn ra, vào lãnh thổ Việt Nam và các nội dung liên quan đến đầu tư ra nước ngoài trong hoạt động dầu khí theo các quy định tại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2. Kê khai trung thực, đầy đủ nội dung thu, chi trên tài khoản ngoại tệ trước đầu tư, tài khoản vốn đầu tư; Cung cấp các tài liệu, chứng từ liên quan đến hoạt động đầu tư ra nước ngoài theo yêu cầu và hướng dẫn của tổ chức tín dụng được phép.</w:t>
      </w:r>
    </w:p>
    <w:p w:rsidR="00B36257" w:rsidRPr="00996C50" w:rsidRDefault="00826073"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3. Thực hiện việc chuyển vốn ra nước ngoài theo đúng nội dung văn bản xác nhận đăng ký</w:t>
      </w:r>
      <w:r w:rsidR="001D365A" w:rsidRPr="00996C50">
        <w:rPr>
          <w:rFonts w:ascii="Times New Roman" w:eastAsia="Times New Roman" w:hAnsi="Times New Roman" w:cs="Times New Roman"/>
          <w:color w:val="auto"/>
          <w:sz w:val="28"/>
          <w:szCs w:val="28"/>
          <w:lang w:val="pt-BR" w:eastAsia="en-US"/>
        </w:rPr>
        <w:t>, đăng ký thay đổi</w:t>
      </w:r>
      <w:r w:rsidRPr="00996C50">
        <w:rPr>
          <w:rFonts w:ascii="Times New Roman" w:eastAsia="Times New Roman" w:hAnsi="Times New Roman" w:cs="Times New Roman"/>
          <w:color w:val="auto"/>
          <w:sz w:val="28"/>
          <w:szCs w:val="28"/>
          <w:lang w:val="pt-BR" w:eastAsia="en-US"/>
        </w:rPr>
        <w:t xml:space="preserve"> giao dịch ngoại hối liên quan đến hoạt động đầu tư ra nước ngoài của Ngân hàng Nhà nước. </w:t>
      </w:r>
    </w:p>
    <w:p w:rsidR="00B36257" w:rsidRPr="00996C50" w:rsidRDefault="00826073"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4. Chỉ được chuyển ngoại tệ ra nước ngoài trước khi được cấp Giấy chứng nhận đăng ký đầu tư ra nước ngoài sau khi có văn bản chấp thuận của Ngân hàng Nhà nước (áp dụng đối với các trường hợp quy định tại điểm b, điểm d khoản 2 và điểm a, điểm c khoản 4 Điều 5 Nghị định 124/2017/NĐ-CP).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5. Chịu trách nhiệm trước pháp luật về tính chính xác, tính trung thực của tài liệu và nội dung đăng ký, đăng ký thay đổi giao dịch ngoại hối liên quan đến hoạt động đầu tư ra nước ngoài theo quy định của Thông tư này và các quy định khác của pháp luật có liên quan.</w:t>
      </w:r>
    </w:p>
    <w:p w:rsidR="00B36257" w:rsidRPr="00996C50" w:rsidRDefault="00826073"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6. Chịu trách nhiệm về việc sử dụng tiền trên tài khoản ngoại tệ trước đầu tư, tài khoản vốn đầu tư đúng với các mục đích đã thông báo với tổ chức tín dụng được phép, đã đăng ký và được Ngân hàng Nhà nước xác nhận đăng ký, xác nhận đăng ký thay đổi.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7. Tuân thủ chế độ báo cáo theo quy định tại Điều 21 Thông tư này và các quy định khác của pháp luật có liên quan.</w:t>
      </w:r>
    </w:p>
    <w:p w:rsidR="00943583" w:rsidRPr="00996C50" w:rsidRDefault="00943583"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8. Chịu sự giám sát, kiểm tra việc chấp hành các quy định pháp luật hiện hành về quản lý ngoại hối của Ngân hàng Nhà nước</w:t>
      </w:r>
      <w:r w:rsidR="000A7F3B"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rPr>
        <w:tab/>
        <w:t>Điều 18. Trách nhiệm của tổ chức tín dụng được phép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hAnsi="Times New Roman" w:cs="Times New Roman"/>
          <w:sz w:val="28"/>
          <w:szCs w:val="28"/>
        </w:rPr>
        <w:tab/>
      </w:r>
      <w:r w:rsidRPr="00996C50">
        <w:rPr>
          <w:rFonts w:ascii="Times New Roman" w:eastAsia="Times New Roman" w:hAnsi="Times New Roman" w:cs="Times New Roman"/>
          <w:color w:val="auto"/>
          <w:sz w:val="28"/>
          <w:szCs w:val="28"/>
          <w:lang w:val="pt-BR" w:eastAsia="en-US"/>
        </w:rPr>
        <w:t xml:space="preserve">1. Hướng dẫn nhà đầu tư thực hiện các thủ tục mở, đóng và sử dụng tài khoản vốn đầu tư, tài khoản ngoại tệ trước đầu tư theo quy định tại Thông tư này và </w:t>
      </w:r>
      <w:r w:rsidR="009B2069" w:rsidRPr="00996C50">
        <w:rPr>
          <w:rFonts w:ascii="Times New Roman" w:eastAsia="Times New Roman" w:hAnsi="Times New Roman" w:cs="Times New Roman"/>
          <w:color w:val="auto"/>
          <w:sz w:val="28"/>
          <w:szCs w:val="28"/>
          <w:lang w:val="pt-BR" w:eastAsia="en-US"/>
        </w:rPr>
        <w:t>các quy định pháp luật liên quan</w:t>
      </w:r>
      <w:r w:rsidRPr="00996C50">
        <w:rPr>
          <w:rFonts w:ascii="Times New Roman" w:eastAsia="Times New Roman" w:hAnsi="Times New Roman" w:cs="Times New Roman"/>
          <w:color w:val="auto"/>
          <w:sz w:val="28"/>
          <w:szCs w:val="28"/>
          <w:lang w:val="pt-BR" w:eastAsia="en-US"/>
        </w:rPr>
        <w: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2. Thực hiện mở, đóng tài khoản vốn đầu tư, tài khoản ngoại tệ trước đầu tư, thực hiện các giao dịch thu, chi trên các tài khoản này theo đề nghị của nhà đầu tư phù hợp với quy định tại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3. Thực hiện chuyển ngoại tệ ra nước ngoài trước khi cấp Giấy chứng nhận đăng ký đầu tư ra nước ngoài cho nhà đầu tư theo đúng quy định tại khoản 1, khoản 2, khoản 4 Điều 5 Nghị định 124/2017/NĐ-CP và quy định tại Thông tư này. Đối với các trường hợp nhà đầu tư phải thực hiện thủ tục chấp thuận chuyển ngoại tệ ra nước ngoài trước khi được cấp Giấy chứng nhận đăng ký đầu tư ra nước ngoài tại Ngân hàng Nhà nước, tổ chức tín dụng chỉ được thực hiện chuyển ngoại tệ ra nước ngoài cho nhà đầu tư sau khi nhà đầu tư xuất trình văn bản chấp thuận của Ngân hàng Nhà nước. </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4. Chỉ thực hiện việc chuyển vốn đầu tư ra nước ngoài sau khi được cấp Giấy chứng nhận đăng ký đầu tư ra nước ngoài theo yêu cầu của nhà đầu tư khi nhà đầu tư xuất trình văn bản xác nhận đăng ký, đăng ký thay đổi giao dịch ngoại hối liên quan đến hoạt động đầu tư ra nước ngoài của Ngân hàng Nhà nước cấp cho nhà đầu tư theo quy định tại Chương IV Thông tư này.</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5. Xem xét, kiểm tra, lưu giữ các giấy tờ và chứng từ phù hợp với các giao dịch thực tế để đảm bảo việc cung ứng dịch vụ ngoại hối cho nhà đầu tư được thực hiện đúng mục đích và phù hợp với quy định của pháp luật.</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6. Yêu cầu nhà đầu tư cung cấp các tài liệu, chứng từ phù hợp để xem xét, kiểm tra, đảm bảo các giao dịch chuyển ngoại tệ ra nước ngoài trước khi được cấp Giấy chứng nhận đăng ký đầu tư ra nước ngoài phù</w:t>
      </w:r>
      <w:r w:rsidR="00720A0F" w:rsidRPr="00996C50">
        <w:rPr>
          <w:rFonts w:ascii="Times New Roman" w:eastAsia="Times New Roman" w:hAnsi="Times New Roman" w:cs="Times New Roman"/>
          <w:color w:val="auto"/>
          <w:sz w:val="28"/>
          <w:szCs w:val="28"/>
          <w:lang w:val="pt-BR" w:eastAsia="en-US"/>
        </w:rPr>
        <w:t xml:space="preserve"> hợp với mục đích quy định tại k</w:t>
      </w:r>
      <w:r w:rsidRPr="00996C50">
        <w:rPr>
          <w:rFonts w:ascii="Times New Roman" w:eastAsia="Times New Roman" w:hAnsi="Times New Roman" w:cs="Times New Roman"/>
          <w:color w:val="auto"/>
          <w:sz w:val="28"/>
          <w:szCs w:val="28"/>
          <w:lang w:val="pt-BR" w:eastAsia="en-US"/>
        </w:rPr>
        <w:t xml:space="preserve">hoản 1, </w:t>
      </w:r>
      <w:r w:rsidR="00720A0F" w:rsidRPr="00996C50">
        <w:rPr>
          <w:rFonts w:ascii="Times New Roman" w:eastAsia="Times New Roman" w:hAnsi="Times New Roman" w:cs="Times New Roman"/>
          <w:color w:val="auto"/>
          <w:sz w:val="28"/>
          <w:szCs w:val="28"/>
          <w:lang w:val="pt-BR" w:eastAsia="en-US"/>
        </w:rPr>
        <w:t>k</w:t>
      </w:r>
      <w:r w:rsidRPr="00996C50">
        <w:rPr>
          <w:rFonts w:ascii="Times New Roman" w:eastAsia="Times New Roman" w:hAnsi="Times New Roman" w:cs="Times New Roman"/>
          <w:color w:val="auto"/>
          <w:sz w:val="28"/>
          <w:szCs w:val="28"/>
          <w:lang w:val="pt-BR" w:eastAsia="en-US"/>
        </w:rPr>
        <w:t>hoản 4 Điều 5 Nghị định 124/2017/NĐ-CP.</w:t>
      </w:r>
    </w:p>
    <w:p w:rsidR="00A05C9E" w:rsidRPr="00996C50" w:rsidRDefault="000A7F3B" w:rsidP="000A7F3B">
      <w:pPr>
        <w:widowControl/>
        <w:spacing w:before="240" w:after="120" w:line="340" w:lineRule="exact"/>
        <w:ind w:firstLine="720"/>
        <w:jc w:val="both"/>
        <w:rPr>
          <w:rFonts w:ascii="Times New Roman" w:eastAsia="Times New Roman" w:hAnsi="Times New Roman" w:cs="Times New Roman"/>
          <w:color w:val="auto"/>
          <w:sz w:val="28"/>
          <w:szCs w:val="28"/>
          <w:lang w:val="pt-BR" w:eastAsia="en-US"/>
        </w:rPr>
      </w:pPr>
      <w:r w:rsidRPr="00996C50">
        <w:rPr>
          <w:rFonts w:ascii="Times New Roman" w:hAnsi="Times New Roman"/>
          <w:sz w:val="28"/>
          <w:szCs w:val="28"/>
          <w:lang w:val="en-US"/>
        </w:rPr>
        <w:t xml:space="preserve">7. </w:t>
      </w:r>
      <w:r w:rsidR="00A05C9E" w:rsidRPr="00996C50">
        <w:rPr>
          <w:rFonts w:ascii="Times New Roman" w:hAnsi="Times New Roman"/>
          <w:sz w:val="28"/>
          <w:szCs w:val="28"/>
          <w:lang w:val="en-US"/>
        </w:rPr>
        <w:t xml:space="preserve">Xác nhận việc mở tài khoản vốn đầu tư, số tiền đã chuyển ra nước ngoài trước khi được cấp Giấy chứng nhận đăng ký đầu tư ra nước ngoài, số dư trên tài khoản vốn đầu tư, số tiền đã chuyển ra nước ngoài và số tiền đã chuyển về Việt Nam đến thời điểm phát sinh thay đổi để </w:t>
      </w:r>
      <w:r w:rsidRPr="00996C50">
        <w:rPr>
          <w:rFonts w:ascii="Times New Roman" w:hAnsi="Times New Roman"/>
          <w:sz w:val="28"/>
          <w:szCs w:val="28"/>
          <w:lang w:val="en-US"/>
        </w:rPr>
        <w:t>Ngân hàng Nhà nước</w:t>
      </w:r>
      <w:r w:rsidR="00A05C9E" w:rsidRPr="00996C50">
        <w:rPr>
          <w:rFonts w:ascii="Times New Roman" w:hAnsi="Times New Roman"/>
          <w:sz w:val="28"/>
          <w:szCs w:val="28"/>
          <w:lang w:val="en-US"/>
        </w:rPr>
        <w:t xml:space="preserve"> </w:t>
      </w:r>
      <w:r w:rsidRPr="00996C50">
        <w:rPr>
          <w:rFonts w:ascii="Times New Roman" w:hAnsi="Times New Roman"/>
          <w:sz w:val="28"/>
          <w:szCs w:val="28"/>
          <w:lang w:val="en-US"/>
        </w:rPr>
        <w:t>có</w:t>
      </w:r>
      <w:r w:rsidR="00A05C9E" w:rsidRPr="00996C50">
        <w:rPr>
          <w:rFonts w:ascii="Times New Roman" w:hAnsi="Times New Roman"/>
          <w:sz w:val="28"/>
          <w:szCs w:val="28"/>
          <w:lang w:val="en-US"/>
        </w:rPr>
        <w:t xml:space="preserve"> cơ sở xác nhận đăng ký giao dịch ngoại hối, xác nhận đăng ký thay đổi giao dịch ngoại hối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8. Tuân thủ chế độ báo cáo theo quy định tại Chương VII Thông tư này và các quy định khác của pháp luật có liên quan.</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lang w:val="pt-BR"/>
        </w:rPr>
      </w:pPr>
      <w:r w:rsidRPr="00996C50">
        <w:rPr>
          <w:rFonts w:ascii="Times New Roman" w:hAnsi="Times New Roman" w:cs="Times New Roman"/>
          <w:b/>
          <w:sz w:val="28"/>
          <w:szCs w:val="28"/>
          <w:lang w:val="pt-BR"/>
        </w:rPr>
        <w:tab/>
      </w:r>
      <w:r w:rsidRPr="00996C50">
        <w:rPr>
          <w:rFonts w:ascii="Times New Roman" w:hAnsi="Times New Roman" w:cs="Times New Roman"/>
          <w:b/>
          <w:sz w:val="28"/>
          <w:szCs w:val="28"/>
        </w:rPr>
        <w:t>Điều 1</w:t>
      </w:r>
      <w:r w:rsidRPr="00996C50">
        <w:rPr>
          <w:rFonts w:ascii="Times New Roman" w:hAnsi="Times New Roman" w:cs="Times New Roman"/>
          <w:b/>
          <w:sz w:val="28"/>
          <w:szCs w:val="28"/>
          <w:lang w:val="pt-BR"/>
        </w:rPr>
        <w:t>9</w:t>
      </w:r>
      <w:r w:rsidRPr="00996C50">
        <w:rPr>
          <w:rFonts w:ascii="Times New Roman" w:hAnsi="Times New Roman" w:cs="Times New Roman"/>
          <w:b/>
          <w:sz w:val="28"/>
          <w:szCs w:val="28"/>
        </w:rPr>
        <w:t>. Trách nhiệm của Ngân hàng Nhà nước</w:t>
      </w:r>
    </w:p>
    <w:p w:rsidR="00B36257" w:rsidRPr="00996C50" w:rsidRDefault="00A73984" w:rsidP="00B36257">
      <w:pPr>
        <w:widowControl/>
        <w:spacing w:before="240" w:line="340" w:lineRule="exact"/>
        <w:ind w:firstLine="539"/>
        <w:jc w:val="both"/>
        <w:rPr>
          <w:rFonts w:ascii="Times New Roman" w:hAnsi="Times New Roman" w:cs="Times New Roman"/>
          <w:sz w:val="28"/>
          <w:szCs w:val="28"/>
        </w:rPr>
      </w:pPr>
      <w:r w:rsidRPr="00996C50">
        <w:rPr>
          <w:rFonts w:ascii="Times New Roman" w:hAnsi="Times New Roman" w:cs="Times New Roman"/>
          <w:sz w:val="28"/>
          <w:szCs w:val="28"/>
          <w:lang w:val="pt-BR"/>
        </w:rPr>
        <w:tab/>
        <w:t>1. Trách nhiệm của Ngân hàng Nhà nước</w:t>
      </w:r>
      <w:r w:rsidRPr="00996C50">
        <w:rPr>
          <w:rFonts w:ascii="Times New Roman" w:hAnsi="Times New Roman" w:cs="Times New Roman"/>
          <w:sz w:val="28"/>
          <w:szCs w:val="28"/>
        </w:rPr>
        <w:t xml:space="preserve"> chi nhánh tỉnh, thành phố</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a) Thực hiện xác nhận đăng ký, đăng ký thay đổi giao dịch ngoại hối liên quan đến hoạt động đầu tư ra nước ngoài trong hoạt động dầu khí cho nhà đầu tư trên địa bàn theo quy định tại Chương IV Thông tư này. </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b) Theo dõi, thống kê, tổng hợp tình hình thực hiện vốn đầu tư ra nước ngoài của nhà đầu tư trên địa bàn nhằm đáp ứng việc thực hiện báo cáo Ngân hàng Nhà nước theo quy định tại Chương VII Thông tư này.</w:t>
      </w:r>
    </w:p>
    <w:p w:rsidR="00B36257" w:rsidRPr="00996C50" w:rsidRDefault="00A73984" w:rsidP="00B36257">
      <w:pPr>
        <w:widowControl/>
        <w:tabs>
          <w:tab w:val="left" w:pos="567"/>
        </w:tabs>
        <w:spacing w:before="240" w:after="120" w:line="340" w:lineRule="exact"/>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r>
      <w:r w:rsidRPr="00996C50">
        <w:rPr>
          <w:rFonts w:ascii="Times New Roman" w:eastAsia="Times New Roman" w:hAnsi="Times New Roman" w:cs="Times New Roman"/>
          <w:color w:val="auto"/>
          <w:sz w:val="28"/>
          <w:szCs w:val="28"/>
          <w:lang w:val="pt-BR" w:eastAsia="en-US"/>
        </w:rPr>
        <w:tab/>
        <w:t>c) Giám sát, kiểm tra việc chấp hành các quy định pháp luật hiện hành về quản lý ngoại hối của nhà đầu tư trên địa bàn.</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d) Thực hiện sao gửi các văn bản sau đây cho </w:t>
      </w:r>
      <w:r w:rsidR="00B26147" w:rsidRPr="00996C50">
        <w:rPr>
          <w:rFonts w:ascii="Times New Roman" w:eastAsia="Times New Roman" w:hAnsi="Times New Roman" w:cs="Times New Roman"/>
          <w:color w:val="auto"/>
          <w:sz w:val="28"/>
          <w:szCs w:val="28"/>
          <w:lang w:val="pt-BR" w:eastAsia="en-US"/>
        </w:rPr>
        <w:t>Ngân hàng Nhà nước (Vụ Quản lý n</w:t>
      </w:r>
      <w:r w:rsidRPr="00996C50">
        <w:rPr>
          <w:rFonts w:ascii="Times New Roman" w:eastAsia="Times New Roman" w:hAnsi="Times New Roman" w:cs="Times New Roman"/>
          <w:color w:val="auto"/>
          <w:sz w:val="28"/>
          <w:szCs w:val="28"/>
          <w:lang w:val="pt-BR" w:eastAsia="en-US"/>
        </w:rPr>
        <w:t>goại hối) để phối hợp quản lý trong vòng 05 ngày làm việc kể từ ngày ký văn bản:</w:t>
      </w:r>
    </w:p>
    <w:p w:rsidR="00B36257" w:rsidRPr="00996C50" w:rsidRDefault="00A73984" w:rsidP="00430B90">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r>
      <w:r w:rsidR="000A7F3B" w:rsidRPr="00996C50">
        <w:rPr>
          <w:rFonts w:ascii="Times New Roman" w:eastAsia="Times New Roman" w:hAnsi="Times New Roman" w:cs="Times New Roman"/>
          <w:color w:val="auto"/>
          <w:sz w:val="28"/>
          <w:szCs w:val="28"/>
          <w:lang w:val="pt-BR" w:eastAsia="en-US"/>
        </w:rPr>
        <w:t>(</w:t>
      </w:r>
      <w:r w:rsidRPr="00996C50">
        <w:rPr>
          <w:rFonts w:ascii="Times New Roman" w:eastAsia="Times New Roman" w:hAnsi="Times New Roman" w:cs="Times New Roman"/>
          <w:color w:val="auto"/>
          <w:sz w:val="28"/>
          <w:szCs w:val="28"/>
          <w:lang w:val="pt-BR" w:eastAsia="en-US"/>
        </w:rPr>
        <w:t>i) Văn bản xác nhận đăng ký, đăng ký thay đổi giao dịch ngoại hối liên quan đến hoạt động đầu tư ra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r>
      <w:r w:rsidR="000A7F3B" w:rsidRPr="00996C50">
        <w:rPr>
          <w:rFonts w:ascii="Times New Roman" w:eastAsia="Times New Roman" w:hAnsi="Times New Roman" w:cs="Times New Roman"/>
          <w:color w:val="auto"/>
          <w:sz w:val="28"/>
          <w:szCs w:val="28"/>
          <w:lang w:val="pt-BR" w:eastAsia="en-US"/>
        </w:rPr>
        <w:t>(</w:t>
      </w:r>
      <w:r w:rsidRPr="00996C50">
        <w:rPr>
          <w:rFonts w:ascii="Times New Roman" w:eastAsia="Times New Roman" w:hAnsi="Times New Roman" w:cs="Times New Roman"/>
          <w:color w:val="auto"/>
          <w:sz w:val="28"/>
          <w:szCs w:val="28"/>
          <w:lang w:val="pt-BR" w:eastAsia="en-US"/>
        </w:rPr>
        <w:t>ii) Văn bản chấm dứt hiệu lực của văn bản xác nhận đăng ký, đăng ký thay đổi giao dịch ngoại hối liên quan đến hoạt động đầu tư ra nước ngoài.</w:t>
      </w:r>
    </w:p>
    <w:p w:rsidR="00B36257" w:rsidRPr="00996C50" w:rsidRDefault="00A73984" w:rsidP="00B36257">
      <w:pPr>
        <w:widowControl/>
        <w:spacing w:before="240" w:line="340" w:lineRule="exact"/>
        <w:ind w:firstLine="539"/>
        <w:jc w:val="both"/>
        <w:rPr>
          <w:rFonts w:ascii="Times New Roman" w:hAnsi="Times New Roman" w:cs="Times New Roman"/>
          <w:sz w:val="28"/>
          <w:szCs w:val="28"/>
        </w:rPr>
      </w:pPr>
      <w:r w:rsidRPr="00996C50">
        <w:rPr>
          <w:rFonts w:ascii="Times New Roman" w:hAnsi="Times New Roman" w:cs="Times New Roman"/>
          <w:sz w:val="28"/>
          <w:szCs w:val="28"/>
          <w:lang w:val="pt-BR"/>
        </w:rPr>
        <w:tab/>
        <w:t>2</w:t>
      </w:r>
      <w:r w:rsidRPr="00996C50">
        <w:rPr>
          <w:rFonts w:ascii="Times New Roman" w:hAnsi="Times New Roman" w:cs="Times New Roman"/>
          <w:sz w:val="28"/>
          <w:szCs w:val="28"/>
        </w:rPr>
        <w:t xml:space="preserve">. Trách nhiệm của </w:t>
      </w:r>
      <w:r w:rsidRPr="00996C50">
        <w:rPr>
          <w:rFonts w:ascii="Times New Roman" w:hAnsi="Times New Roman" w:cs="Times New Roman"/>
          <w:sz w:val="28"/>
          <w:szCs w:val="28"/>
          <w:lang w:val="pt-BR"/>
        </w:rPr>
        <w:t xml:space="preserve">Vụ Quản lý </w:t>
      </w:r>
      <w:r w:rsidR="00430B90" w:rsidRPr="00996C50">
        <w:rPr>
          <w:rFonts w:ascii="Times New Roman" w:hAnsi="Times New Roman" w:cs="Times New Roman"/>
          <w:sz w:val="28"/>
          <w:szCs w:val="28"/>
          <w:lang w:val="pt-BR"/>
        </w:rPr>
        <w:t>n</w:t>
      </w:r>
      <w:r w:rsidRPr="00996C50">
        <w:rPr>
          <w:rFonts w:ascii="Times New Roman" w:hAnsi="Times New Roman" w:cs="Times New Roman"/>
          <w:sz w:val="28"/>
          <w:szCs w:val="28"/>
          <w:lang w:val="pt-BR"/>
        </w:rPr>
        <w:t>goại hối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a) Chủ trì, phối hợp với các đơn vị liên quan của Ngân hàng Nhà nước xử lý những vấn đề liên quan đến đầu tư ra nước ngoài trong hoạt động dầu </w:t>
      </w:r>
      <w:r w:rsidR="00430B90" w:rsidRPr="00996C50">
        <w:rPr>
          <w:rFonts w:ascii="Times New Roman" w:eastAsia="Times New Roman" w:hAnsi="Times New Roman" w:cs="Times New Roman"/>
          <w:color w:val="auto"/>
          <w:sz w:val="28"/>
          <w:szCs w:val="28"/>
          <w:lang w:val="pt-BR" w:eastAsia="en-US"/>
        </w:rPr>
        <w:t>khí trong phạm vi Thông tư  này;</w:t>
      </w:r>
    </w:p>
    <w:p w:rsidR="00430B90" w:rsidRPr="00996C50" w:rsidRDefault="00A73984" w:rsidP="00430B90">
      <w:pPr>
        <w:widowControl/>
        <w:spacing w:before="240" w:after="240" w:line="340" w:lineRule="exact"/>
        <w:ind w:firstLine="539"/>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b) Xử lý hồ sơ xin chấp thuận chuyển ngoại tệ ra nước ngoài của nhà đầu tư trước khi được cấp Giấy chứng nhận đăng ký đầu tư ra nước ngoài theo quy định tại </w:t>
      </w:r>
      <w:r w:rsidR="00430B90" w:rsidRPr="00996C50">
        <w:rPr>
          <w:rFonts w:ascii="Times New Roman" w:eastAsia="Times New Roman" w:hAnsi="Times New Roman" w:cs="Times New Roman"/>
          <w:color w:val="auto"/>
          <w:sz w:val="28"/>
          <w:szCs w:val="28"/>
          <w:lang w:val="pt-BR" w:eastAsia="en-US"/>
        </w:rPr>
        <w:t>Điều 7 Nghị định 124/2017/NĐ-CP;</w:t>
      </w:r>
    </w:p>
    <w:p w:rsidR="00430B90" w:rsidRPr="00996C50" w:rsidRDefault="00430B90" w:rsidP="00430B90">
      <w:pPr>
        <w:widowControl/>
        <w:spacing w:before="240" w:after="240" w:line="340" w:lineRule="exact"/>
        <w:ind w:firstLine="720"/>
        <w:jc w:val="both"/>
        <w:rPr>
          <w:rFonts w:ascii="Times New Roman" w:eastAsia="Times New Roman" w:hAnsi="Times New Roman" w:cs="Times New Roman"/>
          <w:color w:val="auto"/>
          <w:sz w:val="32"/>
          <w:szCs w:val="28"/>
          <w:lang w:val="en-US" w:eastAsia="en-US"/>
        </w:rPr>
      </w:pPr>
      <w:r w:rsidRPr="00996C50">
        <w:rPr>
          <w:rFonts w:ascii="Times New Roman" w:eastAsia="Times New Roman" w:hAnsi="Times New Roman" w:cs="Times New Roman"/>
          <w:color w:val="auto"/>
          <w:sz w:val="28"/>
          <w:szCs w:val="28"/>
          <w:lang w:val="pt-BR" w:eastAsia="en-US"/>
        </w:rPr>
        <w:t xml:space="preserve">c) </w:t>
      </w:r>
      <w:r w:rsidRPr="00996C50">
        <w:rPr>
          <w:rFonts w:ascii="Times New Roman" w:hAnsi="Times New Roman"/>
          <w:sz w:val="28"/>
        </w:rPr>
        <w:t>Thực hiện sao gửi văn bản chấp thuận chuyển ngoại tệ ra nước ngoài của nhà đầu tư trước khi được cấp Giấy chứng nhận đăng ký đầu tư ra nước ngoài cho Ngân hàng Nhà nước chi nhánh tỉnh, thành phố để phối hợp quản lý trong vòng 05 ngày làm việc kể từ ngày ký văn bản</w:t>
      </w:r>
      <w:r w:rsidRPr="00996C50">
        <w:rPr>
          <w:rFonts w:ascii="Times New Roman" w:hAnsi="Times New Roman"/>
          <w:sz w:val="28"/>
          <w:lang w:val="en-US"/>
        </w:rPr>
        <w:t>.</w:t>
      </w:r>
    </w:p>
    <w:p w:rsidR="00B36257" w:rsidRPr="00996C50" w:rsidRDefault="00A73984" w:rsidP="00B36257">
      <w:pPr>
        <w:spacing w:before="120" w:after="120"/>
        <w:ind w:firstLine="567"/>
        <w:jc w:val="center"/>
        <w:rPr>
          <w:rFonts w:ascii="Times New Roman" w:hAnsi="Times New Roman" w:cs="Times New Roman"/>
          <w:b/>
          <w:sz w:val="28"/>
          <w:szCs w:val="28"/>
          <w:lang w:val="pt-BR"/>
        </w:rPr>
      </w:pPr>
      <w:r w:rsidRPr="00996C50">
        <w:rPr>
          <w:rFonts w:ascii="Times New Roman" w:hAnsi="Times New Roman" w:cs="Times New Roman"/>
          <w:b/>
          <w:sz w:val="28"/>
          <w:szCs w:val="28"/>
        </w:rPr>
        <w:t>C</w:t>
      </w:r>
      <w:r w:rsidRPr="00996C50">
        <w:rPr>
          <w:rFonts w:ascii="Times New Roman" w:hAnsi="Times New Roman" w:cs="Times New Roman"/>
          <w:b/>
          <w:sz w:val="28"/>
          <w:szCs w:val="28"/>
          <w:lang w:val="pt-BR"/>
        </w:rPr>
        <w:t>hương</w:t>
      </w:r>
      <w:r w:rsidRPr="00996C50">
        <w:rPr>
          <w:rFonts w:ascii="Times New Roman" w:hAnsi="Times New Roman" w:cs="Times New Roman"/>
          <w:b/>
          <w:sz w:val="28"/>
          <w:szCs w:val="28"/>
        </w:rPr>
        <w:t xml:space="preserve"> VI</w:t>
      </w:r>
      <w:r w:rsidRPr="00996C50">
        <w:rPr>
          <w:rFonts w:ascii="Times New Roman" w:hAnsi="Times New Roman" w:cs="Times New Roman"/>
          <w:b/>
          <w:sz w:val="28"/>
          <w:szCs w:val="28"/>
          <w:lang w:val="pt-BR"/>
        </w:rPr>
        <w:t>I</w:t>
      </w:r>
    </w:p>
    <w:p w:rsidR="00B36257" w:rsidRPr="00996C50" w:rsidRDefault="00A73984" w:rsidP="00B36257">
      <w:pPr>
        <w:ind w:firstLine="567"/>
        <w:jc w:val="center"/>
        <w:rPr>
          <w:rFonts w:ascii="Times New Roman" w:hAnsi="Times New Roman" w:cs="Times New Roman"/>
          <w:b/>
          <w:sz w:val="26"/>
          <w:szCs w:val="26"/>
        </w:rPr>
      </w:pPr>
      <w:r w:rsidRPr="00996C50">
        <w:rPr>
          <w:rFonts w:ascii="Times New Roman" w:hAnsi="Times New Roman" w:cs="Times New Roman"/>
          <w:b/>
          <w:sz w:val="26"/>
          <w:szCs w:val="26"/>
        </w:rPr>
        <w:t xml:space="preserve"> CHẾ ĐỘ BÁO CÁO</w:t>
      </w:r>
    </w:p>
    <w:p w:rsidR="00B36257" w:rsidRPr="00996C50" w:rsidRDefault="00A73984" w:rsidP="00B36257">
      <w:pPr>
        <w:widowControl/>
        <w:spacing w:before="240" w:line="340" w:lineRule="exact"/>
        <w:ind w:firstLine="539"/>
        <w:jc w:val="both"/>
        <w:rPr>
          <w:rFonts w:asciiTheme="majorHAnsi" w:hAnsiTheme="majorHAnsi" w:cstheme="majorHAnsi"/>
          <w:b/>
          <w:sz w:val="28"/>
          <w:szCs w:val="28"/>
        </w:rPr>
      </w:pPr>
      <w:r w:rsidRPr="00996C50">
        <w:rPr>
          <w:rFonts w:ascii="Times New Roman" w:hAnsi="Times New Roman" w:cs="Times New Roman"/>
          <w:b/>
          <w:sz w:val="28"/>
          <w:szCs w:val="28"/>
          <w:lang w:val="pt-BR"/>
        </w:rPr>
        <w:tab/>
      </w:r>
      <w:r w:rsidRPr="00996C50">
        <w:rPr>
          <w:rFonts w:ascii="Times New Roman" w:hAnsi="Times New Roman" w:cs="Times New Roman"/>
          <w:b/>
          <w:sz w:val="28"/>
          <w:szCs w:val="28"/>
        </w:rPr>
        <w:t xml:space="preserve">Điều </w:t>
      </w:r>
      <w:r w:rsidRPr="00996C50">
        <w:rPr>
          <w:rFonts w:ascii="Times New Roman" w:hAnsi="Times New Roman" w:cs="Times New Roman"/>
          <w:b/>
          <w:sz w:val="28"/>
          <w:szCs w:val="28"/>
          <w:lang w:val="pt-BR"/>
        </w:rPr>
        <w:t>20</w:t>
      </w:r>
      <w:r w:rsidRPr="00996C50">
        <w:rPr>
          <w:rFonts w:ascii="Times New Roman" w:hAnsi="Times New Roman" w:cs="Times New Roman"/>
          <w:b/>
          <w:sz w:val="28"/>
          <w:szCs w:val="28"/>
        </w:rPr>
        <w:t>. Chế độ báo cáo đối với tổ chức tín dụng được phép</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1. Tổ chức tín dụng được phép nơi nhà đầu tư mở tài khoản vốn đầu tư, tài khoản ngoại tệ trước đầu tư phải báo cáo tình hình thu, chi trên tài khoản vốn đầu tư, tài khoản ngoại tệ trước đầu tư của nhà đầu tư theo quy định hiện hành của Ngân hàng Nhà nước về chế độ báo cáo thống kê áp dụng đối với các đơn vị thuộc Ngân hàng Nhà nước và các tổ chức tín dụng, chi nhánh ngân hàng nước ngoài.</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 xml:space="preserve">2. Trong vòng 05 (năm) ngày làm việc kể từ ngày phát sinh giao dịch chuyển ngoại tệ ra nước ngoài trên tài khoản ngoại tệ trước đầu tư của nhà đầu tư, tổ chức tín dụng được phép nơi nhà đầu tư mở tài khoản ngoại tệ trước đầu tư phải báo cáo Ngân hàng Nhà nước (Vụ Quản lý </w:t>
      </w:r>
      <w:r w:rsidR="00230FC6" w:rsidRPr="00996C50">
        <w:rPr>
          <w:rFonts w:ascii="Times New Roman" w:eastAsia="Times New Roman" w:hAnsi="Times New Roman" w:cs="Times New Roman"/>
          <w:color w:val="auto"/>
          <w:sz w:val="28"/>
          <w:szCs w:val="28"/>
          <w:lang w:val="pt-BR" w:eastAsia="en-US"/>
        </w:rPr>
        <w:t>n</w:t>
      </w:r>
      <w:r w:rsidRPr="00996C50">
        <w:rPr>
          <w:rFonts w:ascii="Times New Roman" w:eastAsia="Times New Roman" w:hAnsi="Times New Roman" w:cs="Times New Roman"/>
          <w:color w:val="auto"/>
          <w:sz w:val="28"/>
          <w:szCs w:val="28"/>
          <w:lang w:val="pt-BR" w:eastAsia="en-US"/>
        </w:rPr>
        <w:t>goại hối) bằng văn bản về tình hình thu, chi trên tài khoản ngoại tệ trước đầu tư (theo mẫu tại Phụ lục số 0</w:t>
      </w:r>
      <w:r w:rsidR="003A2431">
        <w:rPr>
          <w:rFonts w:ascii="Times New Roman" w:eastAsia="Times New Roman" w:hAnsi="Times New Roman" w:cs="Times New Roman"/>
          <w:color w:val="auto"/>
          <w:sz w:val="28"/>
          <w:szCs w:val="28"/>
          <w:lang w:eastAsia="en-US"/>
        </w:rPr>
        <w:t>8</w:t>
      </w:r>
      <w:r w:rsidRPr="00996C50">
        <w:rPr>
          <w:rFonts w:ascii="Times New Roman" w:eastAsia="Times New Roman" w:hAnsi="Times New Roman" w:cs="Times New Roman"/>
          <w:color w:val="auto"/>
          <w:sz w:val="28"/>
          <w:szCs w:val="28"/>
          <w:lang w:val="pt-BR" w:eastAsia="en-US"/>
        </w:rPr>
        <w:t xml:space="preserve"> kèm theo Thông tư này).</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lang w:val="pt-BR"/>
        </w:rPr>
        <w:tab/>
      </w:r>
      <w:r w:rsidRPr="00996C50">
        <w:rPr>
          <w:rFonts w:ascii="Times New Roman" w:hAnsi="Times New Roman" w:cs="Times New Roman"/>
          <w:b/>
          <w:sz w:val="28"/>
          <w:szCs w:val="28"/>
        </w:rPr>
        <w:t>Điều 2</w:t>
      </w:r>
      <w:r w:rsidRPr="00996C50">
        <w:rPr>
          <w:rFonts w:ascii="Times New Roman" w:hAnsi="Times New Roman" w:cs="Times New Roman"/>
          <w:b/>
          <w:sz w:val="28"/>
          <w:szCs w:val="28"/>
          <w:lang w:val="pt-BR"/>
        </w:rPr>
        <w:t>1</w:t>
      </w:r>
      <w:r w:rsidRPr="00996C50">
        <w:rPr>
          <w:rFonts w:ascii="Times New Roman" w:hAnsi="Times New Roman" w:cs="Times New Roman"/>
          <w:b/>
          <w:sz w:val="28"/>
          <w:szCs w:val="28"/>
        </w:rPr>
        <w:t>. Chế độ báo cáo đối với nhà đầu tư</w:t>
      </w:r>
    </w:p>
    <w:p w:rsidR="00B36257" w:rsidRPr="00996C50" w:rsidRDefault="00A73984" w:rsidP="00B36257">
      <w:pPr>
        <w:widowControl/>
        <w:spacing w:before="240" w:after="120" w:line="340" w:lineRule="exact"/>
        <w:ind w:firstLine="540"/>
        <w:jc w:val="both"/>
        <w:rPr>
          <w:rFonts w:ascii="Times New Roman" w:eastAsia="Times New Roman" w:hAnsi="Times New Roman" w:cs="Times New Roman"/>
          <w:color w:val="auto"/>
          <w:sz w:val="28"/>
          <w:szCs w:val="28"/>
          <w:lang w:val="pt-BR" w:eastAsia="en-US"/>
        </w:rPr>
      </w:pPr>
      <w:r w:rsidRPr="00996C50">
        <w:rPr>
          <w:rFonts w:ascii="Times New Roman" w:eastAsia="Times New Roman" w:hAnsi="Times New Roman" w:cs="Times New Roman"/>
          <w:color w:val="auto"/>
          <w:sz w:val="28"/>
          <w:szCs w:val="28"/>
          <w:lang w:val="pt-BR" w:eastAsia="en-US"/>
        </w:rPr>
        <w:tab/>
        <w:t>Định kỳ hàng quý (chậm nhất vào ngày 5 của tháng đầu quý tiếp theo ngay sau quý báo cáo), nhà đầu tư phải báo cáo tình hình thực hiện chuyển vốn đầu tư ra nước ngoài (theo mẫu tại Phụ lục số 0</w:t>
      </w:r>
      <w:r w:rsidR="003A2431">
        <w:rPr>
          <w:rFonts w:ascii="Times New Roman" w:eastAsia="Times New Roman" w:hAnsi="Times New Roman" w:cs="Times New Roman"/>
          <w:color w:val="auto"/>
          <w:sz w:val="28"/>
          <w:szCs w:val="28"/>
          <w:lang w:eastAsia="en-US"/>
        </w:rPr>
        <w:t>9</w:t>
      </w:r>
      <w:r w:rsidRPr="00996C50">
        <w:rPr>
          <w:rFonts w:ascii="Times New Roman" w:eastAsia="Times New Roman" w:hAnsi="Times New Roman" w:cs="Times New Roman"/>
          <w:color w:val="auto"/>
          <w:sz w:val="28"/>
          <w:szCs w:val="28"/>
          <w:lang w:val="pt-BR" w:eastAsia="en-US"/>
        </w:rPr>
        <w:t xml:space="preserve"> ban hành kèm theo Thông tư này) cho từng dự án đã được cơ quan có thẩm quyền cấp Giấy chứng nhận đăng ký đầu tư ra nước ngoài gửi Ngân hàng Nhà nước chi nhánh tỉnh, thành phố nơi nhà đầu tư có trụ sở chính hoặc nơi nhà đầu tư là cá nhân đăng ký thường trú hoặc nơi nhà đầu tư khác đăng ký kinh doanh.</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lang w:val="pt-BR"/>
        </w:rPr>
        <w:tab/>
      </w:r>
      <w:r w:rsidRPr="00996C50">
        <w:rPr>
          <w:rFonts w:ascii="Times New Roman" w:hAnsi="Times New Roman" w:cs="Times New Roman"/>
          <w:b/>
          <w:sz w:val="28"/>
          <w:szCs w:val="28"/>
        </w:rPr>
        <w:t>Điều 2</w:t>
      </w:r>
      <w:r w:rsidRPr="00996C50">
        <w:rPr>
          <w:rFonts w:ascii="Times New Roman" w:hAnsi="Times New Roman" w:cs="Times New Roman"/>
          <w:b/>
          <w:sz w:val="28"/>
          <w:szCs w:val="28"/>
          <w:lang w:val="pt-BR"/>
        </w:rPr>
        <w:t>2</w:t>
      </w:r>
      <w:r w:rsidRPr="00996C50">
        <w:rPr>
          <w:rFonts w:ascii="Times New Roman" w:hAnsi="Times New Roman" w:cs="Times New Roman"/>
          <w:b/>
          <w:sz w:val="28"/>
          <w:szCs w:val="28"/>
        </w:rPr>
        <w:t>. Chế độ báo cáo đối với Ngân hàng Nhà nước chi nhánh tỉnh, thành phố</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rPr>
      </w:pPr>
      <w:r w:rsidRPr="00996C50">
        <w:rPr>
          <w:rFonts w:ascii="Times New Roman" w:hAnsi="Times New Roman" w:cs="Times New Roman"/>
          <w:sz w:val="28"/>
          <w:szCs w:val="28"/>
          <w:lang w:val="pt-BR"/>
        </w:rPr>
        <w:tab/>
      </w:r>
      <w:r w:rsidRPr="00996C50">
        <w:rPr>
          <w:rFonts w:ascii="Times New Roman" w:hAnsi="Times New Roman" w:cs="Times New Roman"/>
          <w:sz w:val="28"/>
          <w:szCs w:val="28"/>
        </w:rPr>
        <w:t>Ngân hàng Nhà nước chi nhánh tỉnh, thành phố phải báo cáo về tình hình xác nhận đăng ký, đăng ký thay đổi giao dịch ngoại hối liên quan đến hoạt động đầu tư ra nước ngoài trong hoạt động dầu khí, tình hình thực hiện chuyển vốn đầu tư ra nước ngoài của nhà đầu tư trên địa bàn theo quy định hiện hành của Ngân hàng Nhà nước về chế độ báo cáo thống kê áp dụng đối với các đơn vị thuộc Ngân hàng Nhà nước và các tổ chức tín dụng, chi nhánh ngân hàng nước ngoài.</w:t>
      </w:r>
    </w:p>
    <w:p w:rsidR="00B36257" w:rsidRPr="00996C50" w:rsidRDefault="00A73984" w:rsidP="00B36257">
      <w:pPr>
        <w:widowControl/>
        <w:spacing w:before="240" w:line="340" w:lineRule="exact"/>
        <w:ind w:firstLine="539"/>
        <w:jc w:val="both"/>
        <w:rPr>
          <w:rFonts w:ascii="Times New Roman" w:hAnsi="Times New Roman" w:cs="Times New Roman"/>
          <w:b/>
          <w:sz w:val="28"/>
          <w:szCs w:val="28"/>
        </w:rPr>
      </w:pPr>
      <w:r w:rsidRPr="00996C50">
        <w:rPr>
          <w:rFonts w:ascii="Times New Roman" w:hAnsi="Times New Roman" w:cs="Times New Roman"/>
          <w:b/>
          <w:sz w:val="28"/>
          <w:szCs w:val="28"/>
          <w:lang w:val="pt-BR"/>
        </w:rPr>
        <w:tab/>
      </w:r>
      <w:r w:rsidRPr="00996C50">
        <w:rPr>
          <w:rFonts w:ascii="Times New Roman" w:hAnsi="Times New Roman" w:cs="Times New Roman"/>
          <w:b/>
          <w:sz w:val="28"/>
          <w:szCs w:val="28"/>
        </w:rPr>
        <w:t>Điều 2</w:t>
      </w:r>
      <w:r w:rsidRPr="00996C50">
        <w:rPr>
          <w:rFonts w:ascii="Times New Roman" w:hAnsi="Times New Roman" w:cs="Times New Roman"/>
          <w:b/>
          <w:sz w:val="28"/>
          <w:szCs w:val="28"/>
          <w:lang w:val="pt-BR"/>
        </w:rPr>
        <w:t>3</w:t>
      </w:r>
      <w:r w:rsidRPr="00996C50">
        <w:rPr>
          <w:rFonts w:ascii="Times New Roman" w:hAnsi="Times New Roman" w:cs="Times New Roman"/>
          <w:b/>
          <w:sz w:val="28"/>
          <w:szCs w:val="28"/>
        </w:rPr>
        <w:t>. Yêu cầu báo cáo đột xuất</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rPr>
      </w:pPr>
      <w:r w:rsidRPr="00996C50">
        <w:rPr>
          <w:rFonts w:ascii="Times New Roman" w:hAnsi="Times New Roman" w:cs="Times New Roman"/>
          <w:sz w:val="28"/>
          <w:szCs w:val="28"/>
          <w:lang w:val="pt-BR"/>
        </w:rPr>
        <w:tab/>
      </w:r>
      <w:r w:rsidRPr="00996C50">
        <w:rPr>
          <w:rFonts w:ascii="Times New Roman" w:hAnsi="Times New Roman" w:cs="Times New Roman"/>
          <w:sz w:val="28"/>
          <w:szCs w:val="28"/>
        </w:rPr>
        <w:t>Các trường hợp đột xuất hoặc khi cần thiết, nhà đầu tư, tổ chức tín dụng được phép và Ngân hàng Nhà nước chi nhánh tỉnh, thành phố thực hiện báo cáo theo yêu cầu của Ngân hàng Nhà nước.</w:t>
      </w:r>
    </w:p>
    <w:p w:rsidR="00B36257" w:rsidRPr="00996C50" w:rsidRDefault="00B36257" w:rsidP="00B36257">
      <w:pPr>
        <w:spacing w:before="120" w:after="120"/>
        <w:ind w:firstLine="567"/>
        <w:jc w:val="both"/>
        <w:rPr>
          <w:rFonts w:ascii="Times New Roman" w:hAnsi="Times New Roman" w:cs="Times New Roman"/>
          <w:sz w:val="28"/>
          <w:szCs w:val="28"/>
        </w:rPr>
      </w:pPr>
    </w:p>
    <w:p w:rsidR="00B36257" w:rsidRPr="00996C50" w:rsidRDefault="00A73984" w:rsidP="00B36257">
      <w:pPr>
        <w:spacing w:after="120"/>
        <w:ind w:firstLine="567"/>
        <w:jc w:val="center"/>
        <w:rPr>
          <w:rFonts w:ascii="Times New Roman" w:hAnsi="Times New Roman" w:cs="Times New Roman"/>
          <w:b/>
          <w:sz w:val="28"/>
          <w:szCs w:val="28"/>
        </w:rPr>
      </w:pPr>
      <w:r w:rsidRPr="00996C50">
        <w:rPr>
          <w:rFonts w:ascii="Times New Roman" w:hAnsi="Times New Roman" w:cs="Times New Roman"/>
          <w:b/>
          <w:sz w:val="28"/>
          <w:szCs w:val="28"/>
        </w:rPr>
        <w:t>Chương VIII</w:t>
      </w:r>
    </w:p>
    <w:p w:rsidR="00B36257" w:rsidRPr="00996C50" w:rsidRDefault="00A73984" w:rsidP="00B36257">
      <w:pPr>
        <w:ind w:firstLine="567"/>
        <w:jc w:val="center"/>
        <w:rPr>
          <w:rFonts w:ascii="Times New Roman" w:hAnsi="Times New Roman" w:cs="Times New Roman"/>
          <w:b/>
          <w:sz w:val="26"/>
          <w:szCs w:val="26"/>
        </w:rPr>
      </w:pPr>
      <w:r w:rsidRPr="00996C50">
        <w:rPr>
          <w:rFonts w:ascii="Times New Roman" w:hAnsi="Times New Roman" w:cs="Times New Roman"/>
          <w:b/>
          <w:sz w:val="26"/>
          <w:szCs w:val="26"/>
        </w:rPr>
        <w:t>ĐIỀU KHOẢN THI HÀNH</w:t>
      </w:r>
    </w:p>
    <w:p w:rsidR="00B36257" w:rsidRPr="00996C50" w:rsidRDefault="00B36257" w:rsidP="00B36257">
      <w:pPr>
        <w:spacing w:before="120" w:after="120"/>
        <w:ind w:firstLine="567"/>
        <w:jc w:val="center"/>
        <w:rPr>
          <w:rFonts w:ascii="Times New Roman" w:hAnsi="Times New Roman" w:cs="Times New Roman"/>
          <w:b/>
        </w:rPr>
      </w:pPr>
    </w:p>
    <w:p w:rsidR="00B36257" w:rsidRPr="00996C50" w:rsidRDefault="00A73984" w:rsidP="00B36257">
      <w:pPr>
        <w:spacing w:before="120" w:after="120"/>
        <w:ind w:firstLine="567"/>
        <w:jc w:val="both"/>
        <w:rPr>
          <w:rFonts w:ascii="Times New Roman" w:hAnsi="Times New Roman" w:cs="Times New Roman"/>
          <w:b/>
          <w:sz w:val="28"/>
          <w:szCs w:val="28"/>
        </w:rPr>
      </w:pPr>
      <w:r w:rsidRPr="00996C50">
        <w:rPr>
          <w:rFonts w:ascii="Times New Roman" w:hAnsi="Times New Roman" w:cs="Times New Roman"/>
          <w:b/>
          <w:sz w:val="28"/>
          <w:szCs w:val="28"/>
        </w:rPr>
        <w:tab/>
        <w:t>Điều 24. Hiệu lực thi hành</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rPr>
      </w:pPr>
      <w:r w:rsidRPr="00996C50">
        <w:rPr>
          <w:rFonts w:ascii="Times New Roman" w:hAnsi="Times New Roman" w:cs="Times New Roman"/>
          <w:sz w:val="28"/>
          <w:szCs w:val="28"/>
        </w:rPr>
        <w:tab/>
        <w:t>1. Thông tư này có hiệu lực thi hành từ ngày …. tháng …. năm 2018</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rPr>
      </w:pPr>
      <w:r w:rsidRPr="00996C50">
        <w:rPr>
          <w:rFonts w:ascii="Times New Roman" w:hAnsi="Times New Roman" w:cs="Times New Roman"/>
          <w:sz w:val="28"/>
          <w:szCs w:val="28"/>
        </w:rPr>
        <w:tab/>
        <w:t>2. Thông tư này bãi bỏ hiệu lực của Khoản 2, Điều 28 Thông tư 12/2016/TT-NHNN ngày 29 tháng 6 năm 2016 của Ngân hàng Nhà nước hướng dẫn về quản lý ngoại hối đối với hoạt động đầu tư ra nước ngoài; thay thế Thông tư số 36/2013/TT-NHNN ngày 31 tháng 12 năm 2013 của Ngân hàng Nhà nước quy định việc mở và sử dụng tài khoản ngoại tệ để thực hiện hoạt động đầu tư trực tiếp ra nước ngoài.</w:t>
      </w:r>
    </w:p>
    <w:p w:rsidR="00B36257" w:rsidRPr="00996C50" w:rsidRDefault="00A73984" w:rsidP="00B36257">
      <w:pPr>
        <w:widowControl/>
        <w:spacing w:before="240" w:after="120" w:line="340" w:lineRule="exact"/>
        <w:ind w:firstLine="540"/>
        <w:jc w:val="both"/>
        <w:rPr>
          <w:rFonts w:ascii="Times New Roman" w:hAnsi="Times New Roman" w:cs="Times New Roman"/>
          <w:sz w:val="28"/>
          <w:szCs w:val="28"/>
        </w:rPr>
      </w:pPr>
      <w:r w:rsidRPr="00996C50">
        <w:rPr>
          <w:rFonts w:ascii="Times New Roman" w:hAnsi="Times New Roman" w:cs="Times New Roman"/>
          <w:sz w:val="28"/>
          <w:szCs w:val="28"/>
        </w:rPr>
        <w:tab/>
        <w:t xml:space="preserve">3. Các trường hợp đã được Ngân hàng Nhà nước xác nhận đăng ký chuyển ngoại tệ ra nước ngoài trước khi được cấp Giấy chứng nhận đăng ký đầu tư ra nước ngoài trong hoạt động dầu khí, xác nhận đăng ký tài khoản và tiến độ chuyển vốn đầu tư ra nước ngoài theo quy định tại Thông tư 36/2013/TT-NHNN được tiếp tục thực hiện cho đến khi có thay đổi. </w:t>
      </w:r>
    </w:p>
    <w:p w:rsidR="00B36257" w:rsidRPr="00996C50" w:rsidRDefault="00A73984" w:rsidP="00B36257">
      <w:pPr>
        <w:spacing w:before="240" w:line="340" w:lineRule="exact"/>
        <w:ind w:firstLine="567"/>
        <w:jc w:val="both"/>
        <w:rPr>
          <w:rFonts w:ascii="Times New Roman" w:hAnsi="Times New Roman" w:cs="Times New Roman"/>
          <w:b/>
          <w:sz w:val="28"/>
          <w:szCs w:val="28"/>
        </w:rPr>
      </w:pPr>
      <w:r w:rsidRPr="00996C50">
        <w:rPr>
          <w:rFonts w:ascii="Times New Roman" w:hAnsi="Times New Roman" w:cs="Times New Roman"/>
          <w:b/>
          <w:sz w:val="28"/>
          <w:szCs w:val="28"/>
        </w:rPr>
        <w:tab/>
        <w:t>Điều 25. Tổ chức thực hiện</w:t>
      </w:r>
    </w:p>
    <w:p w:rsidR="00B36257" w:rsidRPr="00996C50" w:rsidRDefault="00A73984" w:rsidP="00B36257">
      <w:pPr>
        <w:widowControl/>
        <w:spacing w:before="240" w:after="120" w:line="340" w:lineRule="exact"/>
        <w:ind w:firstLine="567"/>
        <w:jc w:val="both"/>
        <w:rPr>
          <w:rFonts w:ascii="Times New Roman" w:hAnsi="Times New Roman" w:cs="Times New Roman"/>
          <w:sz w:val="28"/>
          <w:szCs w:val="28"/>
        </w:rPr>
      </w:pPr>
      <w:r w:rsidRPr="00996C50">
        <w:rPr>
          <w:rFonts w:ascii="Times New Roman" w:hAnsi="Times New Roman" w:cs="Times New Roman"/>
          <w:sz w:val="28"/>
          <w:szCs w:val="28"/>
        </w:rPr>
        <w:tab/>
        <w:t>Chánh Văn phòng, Vụ trưởng Vụ Quản lý Ngoại hối, Thủ trưởng các đơn vị liên quan thuộc Ngân hàng Nhà nước, Giám đốc Ngân hàng Nhà nước chi nhánh các tỉnh, thành phố trực thuộc Trung ương, Chủ tịch Hội đồng quản trị, Chủ tịch Hội đồng thành viên, Tổng giám đốc (Giám đốc) của các tổ chức tín dụng được phép có trách nhiệm tổ chức thi hành Thông tư này.</w:t>
      </w:r>
    </w:p>
    <w:tbl>
      <w:tblPr>
        <w:tblW w:w="0" w:type="auto"/>
        <w:tblLook w:val="01E0" w:firstRow="1" w:lastRow="1" w:firstColumn="1" w:lastColumn="1" w:noHBand="0" w:noVBand="0"/>
      </w:tblPr>
      <w:tblGrid>
        <w:gridCol w:w="4428"/>
        <w:gridCol w:w="4428"/>
      </w:tblGrid>
      <w:tr w:rsidR="00B36257" w:rsidRPr="00EE1442" w:rsidTr="00754782">
        <w:tc>
          <w:tcPr>
            <w:tcW w:w="4428" w:type="dxa"/>
          </w:tcPr>
          <w:p w:rsidR="00B36257" w:rsidRPr="00996C50" w:rsidRDefault="00A73984" w:rsidP="00754782">
            <w:pPr>
              <w:spacing w:before="120" w:after="120"/>
              <w:rPr>
                <w:rFonts w:ascii="Times New Roman" w:eastAsia="Times New Roman" w:hAnsi="Times New Roman" w:cs="Times New Roman"/>
                <w:sz w:val="28"/>
                <w:szCs w:val="28"/>
              </w:rPr>
            </w:pPr>
            <w:r w:rsidRPr="00996C50">
              <w:rPr>
                <w:rFonts w:ascii="Times New Roman" w:eastAsia="Times New Roman" w:hAnsi="Times New Roman" w:cs="Times New Roman"/>
                <w:sz w:val="28"/>
                <w:szCs w:val="28"/>
              </w:rPr>
              <w:br/>
            </w:r>
            <w:r w:rsidRPr="00996C50">
              <w:rPr>
                <w:rFonts w:ascii="Times New Roman" w:eastAsia="Times New Roman" w:hAnsi="Times New Roman" w:cs="Times New Roman"/>
                <w:b/>
                <w:i/>
              </w:rPr>
              <w:t>Nơi nhận:</w:t>
            </w:r>
            <w:r w:rsidRPr="00996C50">
              <w:rPr>
                <w:rFonts w:ascii="Times New Roman" w:eastAsia="Times New Roman" w:hAnsi="Times New Roman" w:cs="Times New Roman"/>
                <w:b/>
                <w:i/>
                <w:sz w:val="28"/>
                <w:szCs w:val="28"/>
              </w:rPr>
              <w:br/>
            </w:r>
            <w:r w:rsidRPr="00996C50">
              <w:rPr>
                <w:rFonts w:ascii="Times New Roman" w:eastAsia="Times New Roman" w:hAnsi="Times New Roman" w:cs="Times New Roman"/>
                <w:sz w:val="22"/>
                <w:szCs w:val="22"/>
              </w:rPr>
              <w:t>- Như Điều 25;</w:t>
            </w:r>
            <w:r w:rsidRPr="00996C50">
              <w:rPr>
                <w:rFonts w:ascii="Times New Roman" w:eastAsia="Times New Roman" w:hAnsi="Times New Roman" w:cs="Times New Roman"/>
                <w:sz w:val="22"/>
                <w:szCs w:val="22"/>
              </w:rPr>
              <w:br/>
              <w:t>- BLĐ NHNN;</w:t>
            </w:r>
            <w:r w:rsidRPr="00996C50">
              <w:rPr>
                <w:rFonts w:ascii="Times New Roman" w:eastAsia="Times New Roman" w:hAnsi="Times New Roman" w:cs="Times New Roman"/>
                <w:sz w:val="22"/>
                <w:szCs w:val="22"/>
              </w:rPr>
              <w:br/>
              <w:t>- Văn phòng Chính phủ;</w:t>
            </w:r>
            <w:r w:rsidRPr="00996C50">
              <w:rPr>
                <w:rFonts w:ascii="Times New Roman" w:eastAsia="Times New Roman" w:hAnsi="Times New Roman" w:cs="Times New Roman"/>
                <w:sz w:val="22"/>
                <w:szCs w:val="22"/>
              </w:rPr>
              <w:br/>
              <w:t>- Bộ Tư pháp (để kiểm tra);</w:t>
            </w:r>
            <w:r w:rsidRPr="00996C50">
              <w:rPr>
                <w:rFonts w:ascii="Times New Roman" w:eastAsia="Times New Roman" w:hAnsi="Times New Roman" w:cs="Times New Roman"/>
                <w:sz w:val="22"/>
                <w:szCs w:val="22"/>
              </w:rPr>
              <w:br/>
              <w:t>- Công báo;</w:t>
            </w:r>
            <w:r w:rsidRPr="00996C50">
              <w:rPr>
                <w:rFonts w:ascii="Times New Roman" w:eastAsia="Times New Roman" w:hAnsi="Times New Roman" w:cs="Times New Roman"/>
                <w:sz w:val="22"/>
                <w:szCs w:val="22"/>
              </w:rPr>
              <w:br/>
              <w:t>- Lưu: VP, QLNH, PC.</w:t>
            </w:r>
          </w:p>
        </w:tc>
        <w:tc>
          <w:tcPr>
            <w:tcW w:w="4428" w:type="dxa"/>
          </w:tcPr>
          <w:p w:rsidR="00B36257" w:rsidRPr="00EE1442" w:rsidRDefault="00A73984" w:rsidP="00754782">
            <w:pPr>
              <w:spacing w:before="120" w:after="120"/>
              <w:jc w:val="right"/>
              <w:rPr>
                <w:rFonts w:ascii="Times New Roman" w:eastAsia="Times New Roman" w:hAnsi="Times New Roman" w:cs="Times New Roman"/>
                <w:b/>
                <w:sz w:val="26"/>
                <w:szCs w:val="26"/>
              </w:rPr>
            </w:pPr>
            <w:r w:rsidRPr="00996C50">
              <w:rPr>
                <w:rFonts w:ascii="Times New Roman" w:eastAsia="Times New Roman" w:hAnsi="Times New Roman" w:cs="Times New Roman"/>
                <w:b/>
                <w:sz w:val="26"/>
                <w:szCs w:val="26"/>
              </w:rPr>
              <w:t>THỐNG ĐỐC</w:t>
            </w:r>
            <w:r w:rsidR="00B36257" w:rsidRPr="00EE1442">
              <w:rPr>
                <w:rFonts w:ascii="Times New Roman" w:eastAsia="Times New Roman" w:hAnsi="Times New Roman" w:cs="Times New Roman"/>
                <w:b/>
                <w:sz w:val="26"/>
                <w:szCs w:val="26"/>
              </w:rPr>
              <w:br/>
            </w:r>
            <w:r w:rsidR="00B36257" w:rsidRPr="00EE1442">
              <w:rPr>
                <w:rFonts w:ascii="Times New Roman" w:eastAsia="Times New Roman" w:hAnsi="Times New Roman" w:cs="Times New Roman"/>
                <w:b/>
                <w:sz w:val="26"/>
                <w:szCs w:val="26"/>
              </w:rPr>
              <w:br/>
            </w:r>
            <w:r w:rsidR="00B36257" w:rsidRPr="00EE1442">
              <w:rPr>
                <w:rFonts w:ascii="Times New Roman" w:eastAsia="Times New Roman" w:hAnsi="Times New Roman" w:cs="Times New Roman"/>
                <w:b/>
                <w:sz w:val="26"/>
                <w:szCs w:val="26"/>
              </w:rPr>
              <w:br/>
            </w:r>
          </w:p>
          <w:p w:rsidR="00B36257" w:rsidRPr="00EE1442" w:rsidRDefault="00B36257" w:rsidP="00754782">
            <w:pPr>
              <w:spacing w:before="120" w:after="120"/>
              <w:jc w:val="right"/>
              <w:rPr>
                <w:rFonts w:ascii="Times New Roman" w:eastAsia="Times New Roman" w:hAnsi="Times New Roman" w:cs="Times New Roman"/>
                <w:b/>
                <w:sz w:val="28"/>
                <w:szCs w:val="28"/>
              </w:rPr>
            </w:pPr>
            <w:r w:rsidRPr="00EE1442">
              <w:rPr>
                <w:rFonts w:ascii="Times New Roman" w:eastAsia="Times New Roman" w:hAnsi="Times New Roman" w:cs="Times New Roman"/>
                <w:b/>
                <w:sz w:val="28"/>
                <w:szCs w:val="28"/>
              </w:rPr>
              <w:br/>
            </w:r>
            <w:r w:rsidRPr="00EE1442">
              <w:rPr>
                <w:rFonts w:ascii="Times New Roman" w:eastAsia="Times New Roman" w:hAnsi="Times New Roman" w:cs="Times New Roman"/>
                <w:b/>
                <w:sz w:val="28"/>
                <w:szCs w:val="28"/>
              </w:rPr>
              <w:br/>
            </w:r>
          </w:p>
          <w:p w:rsidR="00B36257" w:rsidRPr="00EE1442" w:rsidRDefault="00B36257" w:rsidP="00754782">
            <w:pPr>
              <w:spacing w:before="120" w:after="120"/>
              <w:jc w:val="center"/>
              <w:rPr>
                <w:rFonts w:ascii="Times New Roman" w:eastAsia="Times New Roman" w:hAnsi="Times New Roman" w:cs="Times New Roman"/>
                <w:b/>
                <w:sz w:val="28"/>
                <w:szCs w:val="28"/>
              </w:rPr>
            </w:pPr>
          </w:p>
        </w:tc>
      </w:tr>
    </w:tbl>
    <w:p w:rsidR="00766817" w:rsidRDefault="00766817" w:rsidP="000C1797"/>
    <w:sectPr w:rsidR="00766817" w:rsidSect="00910D1F">
      <w:footerReference w:type="default" r:id="rId6"/>
      <w:pgSz w:w="11906" w:h="16838"/>
      <w:pgMar w:top="1134" w:right="1134" w:bottom="1021" w:left="1701" w:header="720"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551" w:rsidRDefault="00BE4551">
      <w:r>
        <w:separator/>
      </w:r>
    </w:p>
  </w:endnote>
  <w:endnote w:type="continuationSeparator" w:id="0">
    <w:p w:rsidR="00BE4551" w:rsidRDefault="00BE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15604"/>
      <w:docPartObj>
        <w:docPartGallery w:val="Page Numbers (Bottom of Page)"/>
        <w:docPartUnique/>
      </w:docPartObj>
    </w:sdtPr>
    <w:sdtEndPr>
      <w:rPr>
        <w:noProof/>
      </w:rPr>
    </w:sdtEndPr>
    <w:sdtContent>
      <w:p w:rsidR="00D56705" w:rsidRDefault="00826073">
        <w:pPr>
          <w:pStyle w:val="Footer"/>
          <w:jc w:val="right"/>
        </w:pPr>
        <w:r>
          <w:fldChar w:fldCharType="begin"/>
        </w:r>
        <w:r w:rsidR="0063480A">
          <w:instrText xml:space="preserve"> PAGE   \* MERGEFORMAT </w:instrText>
        </w:r>
        <w:r>
          <w:fldChar w:fldCharType="separate"/>
        </w:r>
        <w:r w:rsidR="00BE4551">
          <w:rPr>
            <w:noProof/>
          </w:rPr>
          <w:t>1</w:t>
        </w:r>
        <w:r>
          <w:rPr>
            <w:noProof/>
          </w:rPr>
          <w:fldChar w:fldCharType="end"/>
        </w:r>
      </w:p>
    </w:sdtContent>
  </w:sdt>
  <w:p w:rsidR="00D56705" w:rsidRDefault="00BE45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551" w:rsidRDefault="00BE4551">
      <w:r>
        <w:separator/>
      </w:r>
    </w:p>
  </w:footnote>
  <w:footnote w:type="continuationSeparator" w:id="0">
    <w:p w:rsidR="00BE4551" w:rsidRDefault="00BE45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57"/>
    <w:rsid w:val="0001000F"/>
    <w:rsid w:val="00011A09"/>
    <w:rsid w:val="00015986"/>
    <w:rsid w:val="0006450E"/>
    <w:rsid w:val="00072B34"/>
    <w:rsid w:val="000779F8"/>
    <w:rsid w:val="00095C1A"/>
    <w:rsid w:val="000A7F3B"/>
    <w:rsid w:val="000C1797"/>
    <w:rsid w:val="000E1CB1"/>
    <w:rsid w:val="00127A36"/>
    <w:rsid w:val="00143269"/>
    <w:rsid w:val="0016684B"/>
    <w:rsid w:val="00186EC8"/>
    <w:rsid w:val="001A4D80"/>
    <w:rsid w:val="001C007B"/>
    <w:rsid w:val="001C533A"/>
    <w:rsid w:val="001D365A"/>
    <w:rsid w:val="00212D21"/>
    <w:rsid w:val="00224DFE"/>
    <w:rsid w:val="00225FCC"/>
    <w:rsid w:val="00230FC6"/>
    <w:rsid w:val="00241493"/>
    <w:rsid w:val="00252BFD"/>
    <w:rsid w:val="002604A4"/>
    <w:rsid w:val="00295271"/>
    <w:rsid w:val="002A4B5F"/>
    <w:rsid w:val="002A4CE4"/>
    <w:rsid w:val="00313A6C"/>
    <w:rsid w:val="00331CE0"/>
    <w:rsid w:val="003407D9"/>
    <w:rsid w:val="00364DB5"/>
    <w:rsid w:val="00370D75"/>
    <w:rsid w:val="00374E69"/>
    <w:rsid w:val="00375F5A"/>
    <w:rsid w:val="003A2431"/>
    <w:rsid w:val="003B6003"/>
    <w:rsid w:val="003D0317"/>
    <w:rsid w:val="003F27F3"/>
    <w:rsid w:val="00402DB1"/>
    <w:rsid w:val="0040434D"/>
    <w:rsid w:val="0040740C"/>
    <w:rsid w:val="00410D60"/>
    <w:rsid w:val="00421FC2"/>
    <w:rsid w:val="0042279F"/>
    <w:rsid w:val="004241BF"/>
    <w:rsid w:val="00430B90"/>
    <w:rsid w:val="00444229"/>
    <w:rsid w:val="00463FFC"/>
    <w:rsid w:val="00476853"/>
    <w:rsid w:val="004D5CE0"/>
    <w:rsid w:val="004E2BB8"/>
    <w:rsid w:val="00514146"/>
    <w:rsid w:val="00521BD8"/>
    <w:rsid w:val="00552D69"/>
    <w:rsid w:val="005633B6"/>
    <w:rsid w:val="00580116"/>
    <w:rsid w:val="00584558"/>
    <w:rsid w:val="00585FFA"/>
    <w:rsid w:val="005918FD"/>
    <w:rsid w:val="005A5F92"/>
    <w:rsid w:val="005E10FA"/>
    <w:rsid w:val="005F253A"/>
    <w:rsid w:val="006056AE"/>
    <w:rsid w:val="0063480A"/>
    <w:rsid w:val="0064018E"/>
    <w:rsid w:val="006515B1"/>
    <w:rsid w:val="006539F7"/>
    <w:rsid w:val="00672E1D"/>
    <w:rsid w:val="006926A8"/>
    <w:rsid w:val="006965A3"/>
    <w:rsid w:val="006C25A7"/>
    <w:rsid w:val="006D1A3D"/>
    <w:rsid w:val="006F4C50"/>
    <w:rsid w:val="007155F2"/>
    <w:rsid w:val="00720A0F"/>
    <w:rsid w:val="0075189D"/>
    <w:rsid w:val="00760FFB"/>
    <w:rsid w:val="00764866"/>
    <w:rsid w:val="00766817"/>
    <w:rsid w:val="007A08C5"/>
    <w:rsid w:val="007E0406"/>
    <w:rsid w:val="007F5639"/>
    <w:rsid w:val="007F6BD8"/>
    <w:rsid w:val="00826073"/>
    <w:rsid w:val="008F3823"/>
    <w:rsid w:val="00910A82"/>
    <w:rsid w:val="00924966"/>
    <w:rsid w:val="00933D5E"/>
    <w:rsid w:val="00943583"/>
    <w:rsid w:val="00947959"/>
    <w:rsid w:val="0095092D"/>
    <w:rsid w:val="0095532B"/>
    <w:rsid w:val="00956C18"/>
    <w:rsid w:val="009649D5"/>
    <w:rsid w:val="00987197"/>
    <w:rsid w:val="00996C50"/>
    <w:rsid w:val="00997EEC"/>
    <w:rsid w:val="009B2069"/>
    <w:rsid w:val="009D329E"/>
    <w:rsid w:val="009E58DD"/>
    <w:rsid w:val="009F623A"/>
    <w:rsid w:val="00A05C9E"/>
    <w:rsid w:val="00A1129D"/>
    <w:rsid w:val="00A45424"/>
    <w:rsid w:val="00A630AC"/>
    <w:rsid w:val="00A65887"/>
    <w:rsid w:val="00A73984"/>
    <w:rsid w:val="00A83FE2"/>
    <w:rsid w:val="00A87354"/>
    <w:rsid w:val="00AA119F"/>
    <w:rsid w:val="00AB6897"/>
    <w:rsid w:val="00AD2109"/>
    <w:rsid w:val="00B26147"/>
    <w:rsid w:val="00B268B2"/>
    <w:rsid w:val="00B36257"/>
    <w:rsid w:val="00B37C0A"/>
    <w:rsid w:val="00B5375A"/>
    <w:rsid w:val="00B72ECB"/>
    <w:rsid w:val="00B75A3E"/>
    <w:rsid w:val="00BA24E8"/>
    <w:rsid w:val="00BA6ABA"/>
    <w:rsid w:val="00BB4C45"/>
    <w:rsid w:val="00BC500E"/>
    <w:rsid w:val="00BE4551"/>
    <w:rsid w:val="00BE7B8A"/>
    <w:rsid w:val="00BF36FF"/>
    <w:rsid w:val="00C56790"/>
    <w:rsid w:val="00C85AB8"/>
    <w:rsid w:val="00CB3F35"/>
    <w:rsid w:val="00CC0A72"/>
    <w:rsid w:val="00CD2D73"/>
    <w:rsid w:val="00CE2A1C"/>
    <w:rsid w:val="00CE663C"/>
    <w:rsid w:val="00CE7C77"/>
    <w:rsid w:val="00CF5C1B"/>
    <w:rsid w:val="00D01F28"/>
    <w:rsid w:val="00D114BB"/>
    <w:rsid w:val="00D25741"/>
    <w:rsid w:val="00D42E01"/>
    <w:rsid w:val="00D46125"/>
    <w:rsid w:val="00D904FC"/>
    <w:rsid w:val="00DC082E"/>
    <w:rsid w:val="00DC3529"/>
    <w:rsid w:val="00DE6515"/>
    <w:rsid w:val="00E002E5"/>
    <w:rsid w:val="00E02217"/>
    <w:rsid w:val="00E616AC"/>
    <w:rsid w:val="00EA5BE3"/>
    <w:rsid w:val="00EB3F1B"/>
    <w:rsid w:val="00EB51F9"/>
    <w:rsid w:val="00EC05E4"/>
    <w:rsid w:val="00EC3EB7"/>
    <w:rsid w:val="00EC4254"/>
    <w:rsid w:val="00EF2E11"/>
    <w:rsid w:val="00F1223D"/>
    <w:rsid w:val="00F15144"/>
    <w:rsid w:val="00F208BC"/>
    <w:rsid w:val="00F3759E"/>
    <w:rsid w:val="00F50595"/>
    <w:rsid w:val="00FB2D45"/>
    <w:rsid w:val="00FB54EA"/>
    <w:rsid w:val="00FC0EB0"/>
    <w:rsid w:val="00FC63C6"/>
    <w:rsid w:val="00FD372B"/>
    <w:rsid w:val="00FF31A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5E07B0-190C-48F2-B83F-EDB1FAFA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257"/>
    <w:pPr>
      <w:widowControl w:val="0"/>
      <w:spacing w:after="0" w:line="240" w:lineRule="auto"/>
    </w:pPr>
    <w:rPr>
      <w:rFonts w:ascii="Courier New" w:eastAsia="Courier New" w:hAnsi="Courier New"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6257"/>
    <w:pPr>
      <w:tabs>
        <w:tab w:val="center" w:pos="4680"/>
        <w:tab w:val="right" w:pos="9360"/>
      </w:tabs>
    </w:pPr>
  </w:style>
  <w:style w:type="character" w:customStyle="1" w:styleId="FooterChar">
    <w:name w:val="Footer Char"/>
    <w:basedOn w:val="DefaultParagraphFont"/>
    <w:link w:val="Footer"/>
    <w:uiPriority w:val="99"/>
    <w:rsid w:val="00B36257"/>
    <w:rPr>
      <w:rFonts w:ascii="Courier New" w:eastAsia="Courier New" w:hAnsi="Courier New" w:cs="Courier New"/>
      <w:color w:val="000000"/>
      <w:sz w:val="24"/>
      <w:szCs w:val="24"/>
      <w:lang w:eastAsia="vi-VN"/>
    </w:rPr>
  </w:style>
  <w:style w:type="paragraph" w:styleId="BalloonText">
    <w:name w:val="Balloon Text"/>
    <w:basedOn w:val="Normal"/>
    <w:link w:val="BalloonTextChar"/>
    <w:uiPriority w:val="99"/>
    <w:semiHidden/>
    <w:unhideWhenUsed/>
    <w:rsid w:val="00FB2D45"/>
    <w:rPr>
      <w:rFonts w:ascii="Tahoma" w:hAnsi="Tahoma" w:cs="Tahoma"/>
      <w:sz w:val="16"/>
      <w:szCs w:val="16"/>
    </w:rPr>
  </w:style>
  <w:style w:type="character" w:customStyle="1" w:styleId="BalloonTextChar">
    <w:name w:val="Balloon Text Char"/>
    <w:basedOn w:val="DefaultParagraphFont"/>
    <w:link w:val="BalloonText"/>
    <w:uiPriority w:val="99"/>
    <w:semiHidden/>
    <w:rsid w:val="00FB2D45"/>
    <w:rPr>
      <w:rFonts w:ascii="Tahoma" w:eastAsia="Courier New" w:hAnsi="Tahoma" w:cs="Tahoma"/>
      <w:color w:val="000000"/>
      <w:sz w:val="16"/>
      <w:szCs w:val="16"/>
      <w:lang w:eastAsia="vi-VN"/>
    </w:rPr>
  </w:style>
  <w:style w:type="paragraph" w:styleId="ListParagraph">
    <w:name w:val="List Paragraph"/>
    <w:basedOn w:val="Normal"/>
    <w:uiPriority w:val="34"/>
    <w:qFormat/>
    <w:rsid w:val="00402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Hewlett-Packard Company</cp:lastModifiedBy>
  <cp:revision>6</cp:revision>
  <dcterms:created xsi:type="dcterms:W3CDTF">2018-03-14T07:09:00Z</dcterms:created>
  <dcterms:modified xsi:type="dcterms:W3CDTF">2018-04-19T03:29:00Z</dcterms:modified>
</cp:coreProperties>
</file>