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102EED" w:rsidRPr="00A6531B" w:rsidTr="00D71B2C">
        <w:trPr>
          <w:tblCellSpacing w:w="0" w:type="dxa"/>
        </w:trPr>
        <w:tc>
          <w:tcPr>
            <w:tcW w:w="9066" w:type="dxa"/>
            <w:shd w:val="clear" w:color="auto" w:fill="FFFFFF"/>
            <w:tcMar>
              <w:top w:w="0" w:type="dxa"/>
              <w:left w:w="108" w:type="dxa"/>
              <w:bottom w:w="0" w:type="dxa"/>
              <w:right w:w="108" w:type="dxa"/>
            </w:tcMar>
          </w:tcPr>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102EED" w:rsidRPr="00A6531B" w:rsidTr="00D71B2C">
              <w:tc>
                <w:tcPr>
                  <w:tcW w:w="3652" w:type="dxa"/>
                </w:tcPr>
                <w:p w:rsidR="00D71B2C" w:rsidRPr="00A6531B" w:rsidRDefault="00D71B2C" w:rsidP="002B00C8">
                  <w:pPr>
                    <w:jc w:val="center"/>
                    <w:rPr>
                      <w:b/>
                      <w:sz w:val="24"/>
                      <w:szCs w:val="26"/>
                    </w:rPr>
                  </w:pPr>
                  <w:r w:rsidRPr="00A6531B">
                    <w:rPr>
                      <w:b/>
                      <w:sz w:val="24"/>
                      <w:szCs w:val="26"/>
                    </w:rPr>
                    <w:t>NGÂN HÀNG NHÀ NƯỚC</w:t>
                  </w:r>
                </w:p>
                <w:p w:rsidR="00D71B2C" w:rsidRPr="00A6531B" w:rsidRDefault="00D71B2C" w:rsidP="002B00C8">
                  <w:pPr>
                    <w:spacing w:after="360"/>
                    <w:jc w:val="center"/>
                    <w:rPr>
                      <w:b/>
                    </w:rPr>
                  </w:pPr>
                  <w:r w:rsidRPr="00A6531B">
                    <w:rPr>
                      <w:noProof/>
                      <w:sz w:val="26"/>
                      <w:lang w:val="vi-VN" w:eastAsia="vi-VN"/>
                    </w:rPr>
                    <mc:AlternateContent>
                      <mc:Choice Requires="wps">
                        <w:drawing>
                          <wp:anchor distT="4294967294" distB="4294967294" distL="114300" distR="114300" simplePos="0" relativeHeight="251663360" behindDoc="0" locked="0" layoutInCell="1" allowOverlap="1" wp14:anchorId="348FC0F8" wp14:editId="09EABDDE">
                            <wp:simplePos x="0" y="0"/>
                            <wp:positionH relativeFrom="column">
                              <wp:posOffset>721360</wp:posOffset>
                            </wp:positionH>
                            <wp:positionV relativeFrom="paragraph">
                              <wp:posOffset>185420</wp:posOffset>
                            </wp:positionV>
                            <wp:extent cx="732155" cy="0"/>
                            <wp:effectExtent l="0" t="0" r="1079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pt,14.6pt" to="11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wE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"/>
                        </w:pict>
                      </mc:Fallback>
                    </mc:AlternateContent>
                  </w:r>
                  <w:r w:rsidRPr="00A6531B">
                    <w:rPr>
                      <w:b/>
                      <w:sz w:val="24"/>
                      <w:szCs w:val="26"/>
                    </w:rPr>
                    <w:t>VIỆT NAM</w:t>
                  </w:r>
                </w:p>
              </w:tc>
              <w:tc>
                <w:tcPr>
                  <w:tcW w:w="5670" w:type="dxa"/>
                </w:tcPr>
                <w:p w:rsidR="00D71B2C" w:rsidRPr="00A6531B" w:rsidRDefault="00D71B2C" w:rsidP="002B00C8">
                  <w:pPr>
                    <w:jc w:val="center"/>
                    <w:rPr>
                      <w:b/>
                      <w:sz w:val="24"/>
                      <w:szCs w:val="26"/>
                    </w:rPr>
                  </w:pPr>
                  <w:r w:rsidRPr="00A6531B">
                    <w:rPr>
                      <w:b/>
                      <w:sz w:val="24"/>
                      <w:szCs w:val="26"/>
                    </w:rPr>
                    <w:t>CỘNG HÒA XÃ HỘI CHỦ NGHĨA VIỆT NAM</w:t>
                  </w:r>
                </w:p>
                <w:p w:rsidR="00D71B2C" w:rsidRPr="00A6531B" w:rsidRDefault="00D71B2C" w:rsidP="002B00C8">
                  <w:pPr>
                    <w:jc w:val="center"/>
                  </w:pPr>
                  <w:r w:rsidRPr="00A6531B">
                    <w:rPr>
                      <w:noProof/>
                      <w:sz w:val="28"/>
                      <w:lang w:val="vi-VN" w:eastAsia="vi-VN"/>
                    </w:rPr>
                    <mc:AlternateContent>
                      <mc:Choice Requires="wps">
                        <w:drawing>
                          <wp:anchor distT="4294967293" distB="4294967293" distL="114300" distR="114300" simplePos="0" relativeHeight="251662336" behindDoc="0" locked="0" layoutInCell="1" allowOverlap="1" wp14:anchorId="0D82A3FA" wp14:editId="67D95561">
                            <wp:simplePos x="0" y="0"/>
                            <wp:positionH relativeFrom="column">
                              <wp:posOffset>610235</wp:posOffset>
                            </wp:positionH>
                            <wp:positionV relativeFrom="paragraph">
                              <wp:posOffset>221615</wp:posOffset>
                            </wp:positionV>
                            <wp:extent cx="2196000" cy="0"/>
                            <wp:effectExtent l="0" t="0" r="139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05pt,17.45pt" to="220.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XC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z+bT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"/>
                        </w:pict>
                      </mc:Fallback>
                    </mc:AlternateContent>
                  </w:r>
                  <w:r w:rsidRPr="00A6531B">
                    <w:rPr>
                      <w:b/>
                      <w:sz w:val="28"/>
                    </w:rPr>
                    <w:t>Độc lập – Tự do – Hạnh phúc</w:t>
                  </w:r>
                </w:p>
              </w:tc>
            </w:tr>
            <w:tr w:rsidR="00102EED" w:rsidRPr="00A6531B" w:rsidTr="00D71B2C">
              <w:tc>
                <w:tcPr>
                  <w:tcW w:w="3652" w:type="dxa"/>
                </w:tcPr>
                <w:p w:rsidR="00D71B2C" w:rsidRPr="00A6531B" w:rsidRDefault="00D71B2C" w:rsidP="00087A32">
                  <w:pPr>
                    <w:jc w:val="center"/>
                    <w:rPr>
                      <w:b/>
                      <w:sz w:val="28"/>
                      <w:szCs w:val="26"/>
                    </w:rPr>
                  </w:pPr>
                  <w:r w:rsidRPr="00A6531B">
                    <w:rPr>
                      <w:sz w:val="28"/>
                    </w:rPr>
                    <w:t xml:space="preserve">Số: </w:t>
                  </w:r>
                  <w:r w:rsidR="00087A32">
                    <w:rPr>
                      <w:sz w:val="28"/>
                    </w:rPr>
                    <w:t xml:space="preserve">     </w:t>
                  </w:r>
                  <w:r w:rsidRPr="00A6531B">
                    <w:rPr>
                      <w:sz w:val="28"/>
                    </w:rPr>
                    <w:t>/201</w:t>
                  </w:r>
                  <w:r w:rsidR="00087A32">
                    <w:rPr>
                      <w:sz w:val="28"/>
                    </w:rPr>
                    <w:t>8</w:t>
                  </w:r>
                  <w:r w:rsidRPr="00A6531B">
                    <w:rPr>
                      <w:sz w:val="28"/>
                    </w:rPr>
                    <w:t xml:space="preserve">/TT-NHNN          </w:t>
                  </w:r>
                  <w:r w:rsidRPr="00A6531B">
                    <w:rPr>
                      <w:i/>
                      <w:sz w:val="28"/>
                    </w:rPr>
                    <w:t xml:space="preserve">         </w:t>
                  </w:r>
                </w:p>
              </w:tc>
              <w:tc>
                <w:tcPr>
                  <w:tcW w:w="5670" w:type="dxa"/>
                </w:tcPr>
                <w:p w:rsidR="00D71B2C" w:rsidRPr="00A6531B" w:rsidRDefault="00D71B2C" w:rsidP="00087A32">
                  <w:pPr>
                    <w:ind w:left="720" w:hanging="720"/>
                    <w:contextualSpacing/>
                    <w:jc w:val="center"/>
                    <w:rPr>
                      <w:i/>
                      <w:sz w:val="28"/>
                    </w:rPr>
                  </w:pPr>
                  <w:r w:rsidRPr="00A6531B">
                    <w:rPr>
                      <w:i/>
                      <w:sz w:val="28"/>
                    </w:rPr>
                    <w:t xml:space="preserve">Hà Nội, ngày </w:t>
                  </w:r>
                  <w:r w:rsidR="00087A32">
                    <w:rPr>
                      <w:i/>
                      <w:sz w:val="28"/>
                    </w:rPr>
                    <w:t xml:space="preserve">   </w:t>
                  </w:r>
                  <w:r w:rsidRPr="00A6531B">
                    <w:rPr>
                      <w:i/>
                      <w:sz w:val="28"/>
                    </w:rPr>
                    <w:t xml:space="preserve"> tháng </w:t>
                  </w:r>
                  <w:r w:rsidR="00087A32">
                    <w:rPr>
                      <w:i/>
                      <w:sz w:val="28"/>
                    </w:rPr>
                    <w:t xml:space="preserve">   </w:t>
                  </w:r>
                  <w:r w:rsidRPr="00A6531B">
                    <w:rPr>
                      <w:i/>
                      <w:sz w:val="28"/>
                    </w:rPr>
                    <w:t xml:space="preserve"> năm 201</w:t>
                  </w:r>
                  <w:r w:rsidR="00087A32">
                    <w:rPr>
                      <w:i/>
                      <w:sz w:val="28"/>
                    </w:rPr>
                    <w:t>8</w:t>
                  </w:r>
                </w:p>
              </w:tc>
            </w:tr>
          </w:tbl>
          <w:p w:rsidR="00D71B2C" w:rsidRPr="00A6531B" w:rsidRDefault="00D71B2C" w:rsidP="00014395">
            <w:pPr>
              <w:spacing w:before="120" w:after="0" w:line="234" w:lineRule="atLeast"/>
              <w:jc w:val="center"/>
              <w:rPr>
                <w:rFonts w:ascii="Times New Roman" w:eastAsia="Times New Roman" w:hAnsi="Times New Roman" w:cs="Times New Roman"/>
                <w:sz w:val="24"/>
                <w:szCs w:val="24"/>
              </w:rPr>
            </w:pPr>
          </w:p>
        </w:tc>
      </w:tr>
      <w:tr w:rsidR="00102EED" w:rsidRPr="00A6531B" w:rsidTr="00C04E67">
        <w:trPr>
          <w:trHeight w:val="455"/>
          <w:tblCellSpacing w:w="0" w:type="dxa"/>
        </w:trPr>
        <w:tc>
          <w:tcPr>
            <w:tcW w:w="9066" w:type="dxa"/>
            <w:shd w:val="clear" w:color="auto" w:fill="FFFFFF"/>
            <w:tcMar>
              <w:top w:w="0" w:type="dxa"/>
              <w:left w:w="108" w:type="dxa"/>
              <w:bottom w:w="0" w:type="dxa"/>
              <w:right w:w="108" w:type="dxa"/>
            </w:tcMar>
          </w:tcPr>
          <w:p w:rsidR="00D71B2C" w:rsidRPr="00A6531B" w:rsidRDefault="00E02DD6" w:rsidP="00E02DD6">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DỰ THẢO</w:t>
            </w:r>
            <w:bookmarkStart w:id="0" w:name="_GoBack"/>
            <w:bookmarkEnd w:id="0"/>
          </w:p>
        </w:tc>
      </w:tr>
    </w:tbl>
    <w:p w:rsidR="00014395" w:rsidRPr="00A6531B" w:rsidRDefault="00014395" w:rsidP="00014395">
      <w:pPr>
        <w:shd w:val="clear" w:color="auto" w:fill="FFFFFF"/>
        <w:spacing w:before="120" w:after="0" w:line="234" w:lineRule="atLeast"/>
        <w:jc w:val="center"/>
        <w:rPr>
          <w:rFonts w:ascii="Times New Roman" w:eastAsia="Times New Roman" w:hAnsi="Times New Roman" w:cs="Times New Roman"/>
          <w:sz w:val="28"/>
          <w:szCs w:val="28"/>
        </w:rPr>
      </w:pPr>
    </w:p>
    <w:p w:rsidR="00014395" w:rsidRPr="00A6531B" w:rsidRDefault="00014395" w:rsidP="00C04E67">
      <w:pPr>
        <w:shd w:val="clear" w:color="auto" w:fill="FFFFFF"/>
        <w:spacing w:after="120" w:line="234" w:lineRule="atLeast"/>
        <w:jc w:val="center"/>
        <w:rPr>
          <w:rFonts w:ascii="Times New Roman" w:eastAsia="Times New Roman" w:hAnsi="Times New Roman" w:cs="Times New Roman"/>
          <w:b/>
          <w:bCs/>
          <w:sz w:val="28"/>
          <w:szCs w:val="28"/>
        </w:rPr>
      </w:pPr>
      <w:bookmarkStart w:id="1" w:name="loai_1"/>
      <w:r w:rsidRPr="00A6531B">
        <w:rPr>
          <w:rFonts w:ascii="Times New Roman" w:eastAsia="Times New Roman" w:hAnsi="Times New Roman" w:cs="Times New Roman"/>
          <w:b/>
          <w:bCs/>
          <w:sz w:val="28"/>
          <w:szCs w:val="28"/>
          <w:lang w:val="vi-VN"/>
        </w:rPr>
        <w:t>THÔNG TƯ</w:t>
      </w:r>
      <w:bookmarkEnd w:id="1"/>
    </w:p>
    <w:p w:rsidR="00F95E0F" w:rsidRPr="00A6531B" w:rsidRDefault="00864DFE" w:rsidP="00014395">
      <w:pPr>
        <w:shd w:val="clear" w:color="auto" w:fill="FFFFFF"/>
        <w:spacing w:after="0" w:line="234" w:lineRule="atLeast"/>
        <w:jc w:val="center"/>
        <w:rPr>
          <w:rFonts w:ascii="Times New Roman" w:eastAsia="Times New Roman" w:hAnsi="Times New Roman" w:cs="Times New Roman"/>
          <w:b/>
          <w:bCs/>
          <w:sz w:val="28"/>
          <w:szCs w:val="28"/>
        </w:rPr>
      </w:pPr>
      <w:r w:rsidRPr="00A6531B">
        <w:rPr>
          <w:rFonts w:ascii="Times New Roman" w:eastAsia="Times New Roman" w:hAnsi="Times New Roman" w:cs="Times New Roman"/>
          <w:b/>
          <w:bCs/>
          <w:sz w:val="28"/>
          <w:szCs w:val="28"/>
        </w:rPr>
        <w:t>Sửa đổi, bổ sung một số điều của Thông tư số 36/2014/TT-NHNN</w:t>
      </w:r>
    </w:p>
    <w:p w:rsidR="00345C32" w:rsidRPr="00A6531B" w:rsidRDefault="00864DFE" w:rsidP="00014395">
      <w:pPr>
        <w:shd w:val="clear" w:color="auto" w:fill="FFFFFF"/>
        <w:spacing w:after="0" w:line="234" w:lineRule="atLeast"/>
        <w:jc w:val="center"/>
        <w:rPr>
          <w:rFonts w:ascii="Times New Roman" w:eastAsia="Times New Roman" w:hAnsi="Times New Roman" w:cs="Times New Roman"/>
          <w:b/>
          <w:bCs/>
          <w:sz w:val="28"/>
          <w:szCs w:val="28"/>
        </w:rPr>
      </w:pPr>
      <w:r w:rsidRPr="00A6531B">
        <w:rPr>
          <w:rFonts w:ascii="Times New Roman" w:eastAsia="Times New Roman" w:hAnsi="Times New Roman" w:cs="Times New Roman"/>
          <w:b/>
          <w:bCs/>
          <w:sz w:val="28"/>
          <w:szCs w:val="28"/>
        </w:rPr>
        <w:t>ngày 20 tháng 11 năm 2014 của Thống đốc Ngân hàng Nhà nước quy định</w:t>
      </w:r>
      <w:r w:rsidR="00D14385" w:rsidRPr="00A6531B">
        <w:rPr>
          <w:rFonts w:ascii="Times New Roman" w:eastAsia="Times New Roman" w:hAnsi="Times New Roman" w:cs="Times New Roman"/>
          <w:b/>
          <w:bCs/>
          <w:sz w:val="28"/>
          <w:szCs w:val="28"/>
        </w:rPr>
        <w:t xml:space="preserve"> </w:t>
      </w:r>
      <w:r w:rsidRPr="00A6531B">
        <w:rPr>
          <w:rFonts w:ascii="Times New Roman" w:eastAsia="Times New Roman" w:hAnsi="Times New Roman" w:cs="Times New Roman"/>
          <w:b/>
          <w:bCs/>
          <w:sz w:val="28"/>
          <w:szCs w:val="28"/>
        </w:rPr>
        <w:t xml:space="preserve">các giới hạn, tỷ lệ bảo đảm an toàn trong </w:t>
      </w:r>
      <w:r w:rsidR="00096B62" w:rsidRPr="00A6531B">
        <w:rPr>
          <w:rFonts w:ascii="Times New Roman" w:eastAsia="Times New Roman" w:hAnsi="Times New Roman" w:cs="Times New Roman"/>
          <w:b/>
          <w:bCs/>
          <w:sz w:val="28"/>
          <w:szCs w:val="28"/>
        </w:rPr>
        <w:t>hoạt động</w:t>
      </w:r>
      <w:r w:rsidR="00345C32" w:rsidRPr="00A6531B">
        <w:rPr>
          <w:rFonts w:ascii="Times New Roman" w:eastAsia="Times New Roman" w:hAnsi="Times New Roman" w:cs="Times New Roman"/>
          <w:b/>
          <w:bCs/>
          <w:sz w:val="28"/>
          <w:szCs w:val="28"/>
        </w:rPr>
        <w:t xml:space="preserve"> </w:t>
      </w:r>
      <w:r w:rsidR="00096B62" w:rsidRPr="00A6531B">
        <w:rPr>
          <w:rFonts w:ascii="Times New Roman" w:eastAsia="Times New Roman" w:hAnsi="Times New Roman" w:cs="Times New Roman"/>
          <w:b/>
          <w:bCs/>
          <w:sz w:val="28"/>
          <w:szCs w:val="28"/>
        </w:rPr>
        <w:t>của tổ chức tín dụng,</w:t>
      </w:r>
    </w:p>
    <w:p w:rsidR="00864DFE" w:rsidRPr="00A6531B" w:rsidRDefault="00864DFE" w:rsidP="00704F50">
      <w:pPr>
        <w:shd w:val="clear" w:color="auto" w:fill="FFFFFF"/>
        <w:spacing w:after="480" w:line="240" w:lineRule="auto"/>
        <w:jc w:val="center"/>
        <w:rPr>
          <w:rFonts w:ascii="Times New Roman" w:eastAsia="Times New Roman" w:hAnsi="Times New Roman" w:cs="Times New Roman"/>
          <w:sz w:val="28"/>
          <w:szCs w:val="28"/>
        </w:rPr>
      </w:pPr>
      <w:r w:rsidRPr="00A6531B">
        <w:rPr>
          <w:rFonts w:ascii="Times New Roman" w:eastAsia="Times New Roman" w:hAnsi="Times New Roman" w:cs="Times New Roman"/>
          <w:b/>
          <w:bCs/>
          <w:sz w:val="28"/>
          <w:szCs w:val="28"/>
        </w:rPr>
        <w:t>chi nhánh ngân hàng nước ngoài</w:t>
      </w:r>
    </w:p>
    <w:p w:rsidR="00850AFA" w:rsidRPr="00A6531B" w:rsidRDefault="00850AFA" w:rsidP="00804A18">
      <w:pPr>
        <w:pStyle w:val="BodyText"/>
        <w:spacing w:before="120" w:after="120" w:line="264" w:lineRule="auto"/>
        <w:ind w:firstLine="709"/>
        <w:jc w:val="both"/>
        <w:rPr>
          <w:b w:val="0"/>
          <w:i/>
        </w:rPr>
      </w:pPr>
      <w:r w:rsidRPr="00A6531B">
        <w:rPr>
          <w:b w:val="0"/>
          <w:i/>
        </w:rPr>
        <w:t>Căn cứ Luật Ngân hàng Nhà nước Việt Nam ngày 16 tháng 6 năm 2010;</w:t>
      </w:r>
    </w:p>
    <w:p w:rsidR="00850AFA" w:rsidRPr="00A6531B" w:rsidRDefault="00850AFA" w:rsidP="00804A18">
      <w:pPr>
        <w:pStyle w:val="BodyText"/>
        <w:spacing w:before="120" w:after="120" w:line="264" w:lineRule="auto"/>
        <w:ind w:firstLine="709"/>
        <w:jc w:val="both"/>
        <w:rPr>
          <w:b w:val="0"/>
          <w:i/>
        </w:rPr>
      </w:pPr>
      <w:r w:rsidRPr="00A6531B">
        <w:rPr>
          <w:b w:val="0"/>
          <w:i/>
        </w:rPr>
        <w:t>Căn cứ Luật các tổ chức tín dụng ngày 16 tháng 6 năm 2010;</w:t>
      </w:r>
    </w:p>
    <w:p w:rsidR="00B62997" w:rsidRPr="00A6531B" w:rsidRDefault="00B62997" w:rsidP="00804A18">
      <w:pPr>
        <w:pStyle w:val="BodyText"/>
        <w:spacing w:before="120" w:after="120" w:line="264" w:lineRule="auto"/>
        <w:ind w:firstLine="709"/>
        <w:jc w:val="both"/>
        <w:rPr>
          <w:b w:val="0"/>
          <w:i/>
        </w:rPr>
      </w:pPr>
      <w:r w:rsidRPr="00A6531B">
        <w:rPr>
          <w:b w:val="0"/>
          <w:i/>
        </w:rPr>
        <w:t>Căn cứ Luật sửa đổi, bổ sung</w:t>
      </w:r>
      <w:r w:rsidR="0091127E" w:rsidRPr="00A6531B">
        <w:rPr>
          <w:b w:val="0"/>
          <w:i/>
        </w:rPr>
        <w:t xml:space="preserve"> một số điều của</w:t>
      </w:r>
      <w:r w:rsidRPr="00A6531B">
        <w:rPr>
          <w:b w:val="0"/>
          <w:i/>
        </w:rPr>
        <w:t xml:space="preserve"> Luật các tổ chức tín dụng </w:t>
      </w:r>
      <w:r w:rsidR="004C1004" w:rsidRPr="00A6531B">
        <w:rPr>
          <w:b w:val="0"/>
          <w:i/>
        </w:rPr>
        <w:t>ngày 20</w:t>
      </w:r>
      <w:r w:rsidRPr="00A6531B">
        <w:rPr>
          <w:b w:val="0"/>
          <w:i/>
        </w:rPr>
        <w:t xml:space="preserve"> tháng </w:t>
      </w:r>
      <w:r w:rsidR="004C1004" w:rsidRPr="00A6531B">
        <w:rPr>
          <w:b w:val="0"/>
          <w:i/>
        </w:rPr>
        <w:t>11</w:t>
      </w:r>
      <w:r w:rsidRPr="00A6531B">
        <w:rPr>
          <w:b w:val="0"/>
          <w:i/>
        </w:rPr>
        <w:t xml:space="preserve"> năm 201</w:t>
      </w:r>
      <w:r w:rsidR="004C1004" w:rsidRPr="00A6531B">
        <w:rPr>
          <w:b w:val="0"/>
          <w:i/>
        </w:rPr>
        <w:t>7</w:t>
      </w:r>
      <w:r w:rsidRPr="00A6531B">
        <w:rPr>
          <w:b w:val="0"/>
          <w:i/>
        </w:rPr>
        <w:t>;</w:t>
      </w:r>
    </w:p>
    <w:p w:rsidR="00850AFA" w:rsidRPr="00A6531B" w:rsidRDefault="00850AFA" w:rsidP="00804A18">
      <w:pPr>
        <w:spacing w:before="120" w:after="120" w:line="264" w:lineRule="auto"/>
        <w:ind w:firstLine="709"/>
        <w:jc w:val="both"/>
        <w:rPr>
          <w:rFonts w:ascii="Times New Roman" w:hAnsi="Times New Roman" w:cs="Times New Roman"/>
          <w:i/>
          <w:sz w:val="28"/>
          <w:szCs w:val="28"/>
        </w:rPr>
      </w:pPr>
      <w:r w:rsidRPr="00A6531B">
        <w:rPr>
          <w:rFonts w:ascii="Times New Roman"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850AFA" w:rsidRPr="00A6531B" w:rsidRDefault="00850AFA" w:rsidP="00804A18">
      <w:pPr>
        <w:spacing w:before="120" w:after="120" w:line="264" w:lineRule="auto"/>
        <w:ind w:firstLine="709"/>
        <w:jc w:val="both"/>
        <w:rPr>
          <w:rFonts w:ascii="Times New Roman" w:hAnsi="Times New Roman" w:cs="Times New Roman"/>
          <w:i/>
          <w:sz w:val="28"/>
          <w:szCs w:val="28"/>
        </w:rPr>
      </w:pPr>
      <w:r w:rsidRPr="00A6531B">
        <w:rPr>
          <w:rFonts w:ascii="Times New Roman" w:hAnsi="Times New Roman" w:cs="Times New Roman"/>
          <w:i/>
          <w:sz w:val="28"/>
          <w:szCs w:val="28"/>
        </w:rPr>
        <w:t>Theo đề nghị của Chánh Thanh tra, giám sát ngân hàng;</w:t>
      </w:r>
    </w:p>
    <w:p w:rsidR="00850AFA" w:rsidRPr="00A6531B" w:rsidRDefault="00850AFA" w:rsidP="00704F50">
      <w:pPr>
        <w:shd w:val="clear" w:color="auto" w:fill="FFFFFF"/>
        <w:spacing w:before="120" w:after="240" w:line="264" w:lineRule="auto"/>
        <w:ind w:firstLine="709"/>
        <w:jc w:val="both"/>
        <w:rPr>
          <w:rFonts w:ascii="Times New Roman" w:eastAsia="Times New Roman" w:hAnsi="Times New Roman" w:cs="Times New Roman"/>
          <w:sz w:val="28"/>
          <w:szCs w:val="28"/>
        </w:rPr>
      </w:pPr>
      <w:r w:rsidRPr="00A6531B">
        <w:rPr>
          <w:rFonts w:ascii="Times New Roman" w:eastAsia="Times New Roman" w:hAnsi="Times New Roman" w:cs="Times New Roman"/>
          <w:i/>
          <w:iCs/>
          <w:sz w:val="28"/>
          <w:szCs w:val="28"/>
          <w:lang w:val="vi-VN"/>
        </w:rPr>
        <w:t>Thống đốc Ngân hàng Nhà nước Việt Nam ban hành Thông tư sửa đ</w:t>
      </w:r>
      <w:r w:rsidRPr="00A6531B">
        <w:rPr>
          <w:rFonts w:ascii="Times New Roman" w:eastAsia="Times New Roman" w:hAnsi="Times New Roman" w:cs="Times New Roman"/>
          <w:i/>
          <w:iCs/>
          <w:sz w:val="28"/>
          <w:szCs w:val="28"/>
        </w:rPr>
        <w:t>ổ</w:t>
      </w:r>
      <w:r w:rsidRPr="00A6531B">
        <w:rPr>
          <w:rFonts w:ascii="Times New Roman" w:eastAsia="Times New Roman" w:hAnsi="Times New Roman" w:cs="Times New Roman"/>
          <w:i/>
          <w:iCs/>
          <w:sz w:val="28"/>
          <w:szCs w:val="28"/>
          <w:lang w:val="vi-VN"/>
        </w:rPr>
        <w:t>i, bổ sung một s</w:t>
      </w:r>
      <w:r w:rsidRPr="00A6531B">
        <w:rPr>
          <w:rFonts w:ascii="Times New Roman" w:eastAsia="Times New Roman" w:hAnsi="Times New Roman" w:cs="Times New Roman"/>
          <w:i/>
          <w:iCs/>
          <w:sz w:val="28"/>
          <w:szCs w:val="28"/>
        </w:rPr>
        <w:t>ố </w:t>
      </w:r>
      <w:r w:rsidR="00621708" w:rsidRPr="00A6531B">
        <w:rPr>
          <w:rFonts w:ascii="Times New Roman" w:eastAsia="Times New Roman" w:hAnsi="Times New Roman" w:cs="Times New Roman"/>
          <w:i/>
          <w:iCs/>
          <w:sz w:val="28"/>
          <w:szCs w:val="28"/>
        </w:rPr>
        <w:t>đ</w:t>
      </w:r>
      <w:r w:rsidRPr="00A6531B">
        <w:rPr>
          <w:rFonts w:ascii="Times New Roman" w:eastAsia="Times New Roman" w:hAnsi="Times New Roman" w:cs="Times New Roman"/>
          <w:i/>
          <w:iCs/>
          <w:sz w:val="28"/>
          <w:szCs w:val="28"/>
          <w:lang w:val="vi-VN"/>
        </w:rPr>
        <w:t>iều của Thông tư s</w:t>
      </w:r>
      <w:r w:rsidRPr="00A6531B">
        <w:rPr>
          <w:rFonts w:ascii="Times New Roman" w:eastAsia="Times New Roman" w:hAnsi="Times New Roman" w:cs="Times New Roman"/>
          <w:i/>
          <w:iCs/>
          <w:sz w:val="28"/>
          <w:szCs w:val="28"/>
        </w:rPr>
        <w:t>ố</w:t>
      </w:r>
      <w:r w:rsidR="00D75B2A" w:rsidRPr="00A6531B">
        <w:rPr>
          <w:rFonts w:ascii="Times New Roman" w:eastAsia="Times New Roman" w:hAnsi="Times New Roman" w:cs="Times New Roman"/>
          <w:i/>
          <w:iCs/>
          <w:sz w:val="28"/>
          <w:szCs w:val="28"/>
        </w:rPr>
        <w:t xml:space="preserve"> 36/2014/TT-NHNN </w:t>
      </w:r>
      <w:r w:rsidRPr="00A6531B">
        <w:rPr>
          <w:rFonts w:ascii="Times New Roman" w:eastAsia="Times New Roman" w:hAnsi="Times New Roman" w:cs="Times New Roman"/>
          <w:i/>
          <w:iCs/>
          <w:sz w:val="28"/>
          <w:szCs w:val="28"/>
          <w:lang w:val="vi-VN"/>
        </w:rPr>
        <w:t>ngày 20 tháng 11 năm 2014 của Thống đốc Ngân hàng Nhà nước quy định các giới hạn, tỷ </w:t>
      </w:r>
      <w:r w:rsidRPr="00A6531B">
        <w:rPr>
          <w:rFonts w:ascii="Times New Roman" w:eastAsia="Times New Roman" w:hAnsi="Times New Roman" w:cs="Times New Roman"/>
          <w:i/>
          <w:iCs/>
          <w:sz w:val="28"/>
          <w:szCs w:val="28"/>
        </w:rPr>
        <w:t>l</w:t>
      </w:r>
      <w:r w:rsidRPr="00A6531B">
        <w:rPr>
          <w:rFonts w:ascii="Times New Roman" w:eastAsia="Times New Roman" w:hAnsi="Times New Roman" w:cs="Times New Roman"/>
          <w:i/>
          <w:iCs/>
          <w:sz w:val="28"/>
          <w:szCs w:val="28"/>
          <w:lang w:val="vi-VN"/>
        </w:rPr>
        <w:t>ệ bảo đảm an toàn trong hoạt động của tổ chức tín</w:t>
      </w:r>
      <w:r w:rsidRPr="00A6531B">
        <w:rPr>
          <w:rFonts w:ascii="Times New Roman" w:eastAsia="Times New Roman" w:hAnsi="Times New Roman" w:cs="Times New Roman"/>
          <w:i/>
          <w:iCs/>
          <w:sz w:val="28"/>
          <w:szCs w:val="28"/>
        </w:rPr>
        <w:t xml:space="preserve"> </w:t>
      </w:r>
      <w:r w:rsidRPr="00A6531B">
        <w:rPr>
          <w:rFonts w:ascii="Times New Roman" w:eastAsia="Times New Roman" w:hAnsi="Times New Roman" w:cs="Times New Roman"/>
          <w:i/>
          <w:iCs/>
          <w:sz w:val="28"/>
          <w:szCs w:val="28"/>
          <w:lang w:val="vi-VN"/>
        </w:rPr>
        <w:t>dụng, chi nhánh ng</w:t>
      </w:r>
      <w:r w:rsidRPr="00A6531B">
        <w:rPr>
          <w:rFonts w:ascii="Times New Roman" w:eastAsia="Times New Roman" w:hAnsi="Times New Roman" w:cs="Times New Roman"/>
          <w:i/>
          <w:iCs/>
          <w:sz w:val="28"/>
          <w:szCs w:val="28"/>
        </w:rPr>
        <w:t>â</w:t>
      </w:r>
      <w:r w:rsidR="003D19FA" w:rsidRPr="00A6531B">
        <w:rPr>
          <w:rFonts w:ascii="Times New Roman" w:eastAsia="Times New Roman" w:hAnsi="Times New Roman" w:cs="Times New Roman"/>
          <w:i/>
          <w:iCs/>
          <w:sz w:val="28"/>
          <w:szCs w:val="28"/>
          <w:lang w:val="vi-VN"/>
        </w:rPr>
        <w:t>n hàng nước ngoài</w:t>
      </w:r>
      <w:r w:rsidR="001C6996" w:rsidRPr="00A6531B">
        <w:rPr>
          <w:rFonts w:ascii="Times New Roman" w:eastAsia="Times New Roman" w:hAnsi="Times New Roman" w:cs="Times New Roman"/>
          <w:i/>
          <w:iCs/>
          <w:sz w:val="28"/>
          <w:szCs w:val="28"/>
        </w:rPr>
        <w:t xml:space="preserve"> </w:t>
      </w:r>
      <w:r w:rsidR="003D19FA" w:rsidRPr="00A6531B">
        <w:rPr>
          <w:rFonts w:ascii="Times New Roman" w:eastAsia="Times New Roman" w:hAnsi="Times New Roman" w:cs="Times New Roman"/>
          <w:i/>
          <w:iCs/>
          <w:sz w:val="28"/>
          <w:szCs w:val="28"/>
          <w:lang w:val="vi-VN"/>
        </w:rPr>
        <w:t>(Thông tư</w:t>
      </w:r>
      <w:r w:rsidRPr="00A6531B">
        <w:rPr>
          <w:rFonts w:ascii="Times New Roman" w:eastAsia="Times New Roman" w:hAnsi="Times New Roman" w:cs="Times New Roman"/>
          <w:i/>
          <w:iCs/>
          <w:sz w:val="28"/>
          <w:szCs w:val="28"/>
          <w:lang w:val="vi-VN"/>
        </w:rPr>
        <w:t> 36/2014/TT-NHNN).</w:t>
      </w:r>
    </w:p>
    <w:p w:rsidR="00027060" w:rsidRPr="00A6531B" w:rsidRDefault="00027060" w:rsidP="00804A18">
      <w:pPr>
        <w:shd w:val="clear" w:color="auto" w:fill="FFFFFF"/>
        <w:spacing w:before="120" w:after="120" w:line="264" w:lineRule="auto"/>
        <w:ind w:firstLine="709"/>
        <w:jc w:val="both"/>
        <w:rPr>
          <w:rFonts w:ascii="Times New Roman" w:eastAsia="Times New Roman" w:hAnsi="Times New Roman" w:cs="Times New Roman"/>
          <w:sz w:val="28"/>
          <w:szCs w:val="28"/>
        </w:rPr>
      </w:pPr>
      <w:bookmarkStart w:id="2" w:name="dieu_1"/>
      <w:r w:rsidRPr="00A6531B">
        <w:rPr>
          <w:rFonts w:ascii="Times New Roman" w:eastAsia="Times New Roman" w:hAnsi="Times New Roman" w:cs="Times New Roman"/>
          <w:b/>
          <w:bCs/>
          <w:sz w:val="28"/>
          <w:szCs w:val="28"/>
          <w:lang w:val="vi-VN"/>
        </w:rPr>
        <w:t xml:space="preserve">Điều </w:t>
      </w:r>
      <w:r w:rsidR="00D75B2A" w:rsidRPr="00A6531B">
        <w:rPr>
          <w:rFonts w:ascii="Times New Roman" w:eastAsia="Times New Roman" w:hAnsi="Times New Roman" w:cs="Times New Roman"/>
          <w:b/>
          <w:bCs/>
          <w:sz w:val="28"/>
          <w:szCs w:val="28"/>
          <w:lang w:val="vi-VN"/>
        </w:rPr>
        <w:t xml:space="preserve">1. Sửa đổi, bổ sung một số </w:t>
      </w:r>
      <w:r w:rsidR="00D75B2A" w:rsidRPr="00A6531B">
        <w:rPr>
          <w:rFonts w:ascii="Times New Roman" w:eastAsia="Times New Roman" w:hAnsi="Times New Roman" w:cs="Times New Roman"/>
          <w:b/>
          <w:bCs/>
          <w:sz w:val="28"/>
          <w:szCs w:val="28"/>
        </w:rPr>
        <w:t>đ</w:t>
      </w:r>
      <w:r w:rsidR="003D19FA" w:rsidRPr="00A6531B">
        <w:rPr>
          <w:rFonts w:ascii="Times New Roman" w:eastAsia="Times New Roman" w:hAnsi="Times New Roman" w:cs="Times New Roman"/>
          <w:b/>
          <w:bCs/>
          <w:sz w:val="28"/>
          <w:szCs w:val="28"/>
          <w:lang w:val="vi-VN"/>
        </w:rPr>
        <w:t>iều của Thông tư</w:t>
      </w:r>
      <w:r w:rsidRPr="00A6531B">
        <w:rPr>
          <w:rFonts w:ascii="Times New Roman" w:eastAsia="Times New Roman" w:hAnsi="Times New Roman" w:cs="Times New Roman"/>
          <w:b/>
          <w:bCs/>
          <w:sz w:val="28"/>
          <w:szCs w:val="28"/>
          <w:lang w:val="vi-VN"/>
        </w:rPr>
        <w:t xml:space="preserve"> 36/2014/TT-NHNN</w:t>
      </w:r>
      <w:bookmarkEnd w:id="2"/>
    </w:p>
    <w:p w:rsidR="00E509B1" w:rsidRDefault="00E509B1" w:rsidP="00804A18">
      <w:pPr>
        <w:shd w:val="clear" w:color="auto" w:fill="FFFFFF"/>
        <w:spacing w:before="120" w:after="120" w:line="264" w:lineRule="auto"/>
        <w:ind w:firstLine="709"/>
        <w:jc w:val="both"/>
        <w:rPr>
          <w:rFonts w:ascii="Times New Roman" w:hAnsi="Times New Roman" w:cs="Times New Roman"/>
          <w:sz w:val="28"/>
        </w:rPr>
      </w:pPr>
      <w:r>
        <w:rPr>
          <w:rFonts w:ascii="Times New Roman" w:eastAsia="Times New Roman" w:hAnsi="Times New Roman" w:cs="Times New Roman"/>
          <w:sz w:val="28"/>
          <w:szCs w:val="28"/>
        </w:rPr>
        <w:t xml:space="preserve">1. Bổ sung khoản 25 </w:t>
      </w:r>
      <w:r w:rsidRPr="00A6531B">
        <w:rPr>
          <w:rFonts w:ascii="Times New Roman" w:hAnsi="Times New Roman" w:cs="Times New Roman"/>
          <w:sz w:val="28"/>
        </w:rPr>
        <w:t>vào Điều 3 như sau:</w:t>
      </w:r>
    </w:p>
    <w:p w:rsidR="00A84A93" w:rsidRDefault="00E509B1" w:rsidP="00804A18">
      <w:pPr>
        <w:shd w:val="clear" w:color="auto" w:fill="FFFFFF"/>
        <w:spacing w:before="120" w:after="120" w:line="264" w:lineRule="auto"/>
        <w:ind w:firstLine="709"/>
        <w:jc w:val="both"/>
        <w:rPr>
          <w:rFonts w:ascii="Times New Roman" w:hAnsi="Times New Roman" w:cs="Times New Roman"/>
          <w:sz w:val="28"/>
        </w:rPr>
      </w:pPr>
      <w:r w:rsidRPr="002F42AD">
        <w:rPr>
          <w:rFonts w:ascii="Times New Roman" w:hAnsi="Times New Roman" w:cs="Times New Roman"/>
          <w:sz w:val="28"/>
          <w:highlight w:val="yellow"/>
        </w:rPr>
        <w:t>“</w:t>
      </w:r>
      <w:r w:rsidR="004D07C8" w:rsidRPr="002F42AD">
        <w:rPr>
          <w:rFonts w:ascii="Times New Roman" w:hAnsi="Times New Roman" w:cs="Times New Roman"/>
          <w:sz w:val="28"/>
          <w:highlight w:val="yellow"/>
        </w:rPr>
        <w:t xml:space="preserve">25. </w:t>
      </w:r>
      <w:r w:rsidR="004D07C8" w:rsidRPr="002F42AD">
        <w:rPr>
          <w:rFonts w:ascii="Times New Roman" w:hAnsi="Times New Roman" w:cs="Times New Roman"/>
          <w:i/>
          <w:sz w:val="28"/>
          <w:highlight w:val="yellow"/>
        </w:rPr>
        <w:t>Tỷ giá giao ngay</w:t>
      </w:r>
      <w:r w:rsidR="00C63DE9" w:rsidRPr="002F42AD">
        <w:rPr>
          <w:rFonts w:ascii="Times New Roman" w:hAnsi="Times New Roman" w:cs="Times New Roman"/>
          <w:i/>
          <w:sz w:val="28"/>
          <w:highlight w:val="yellow"/>
        </w:rPr>
        <w:t xml:space="preserve"> tại thời điểm</w:t>
      </w:r>
      <w:r w:rsidR="007969A4" w:rsidRPr="002F42AD">
        <w:rPr>
          <w:rFonts w:ascii="Times New Roman" w:hAnsi="Times New Roman" w:cs="Times New Roman"/>
          <w:i/>
          <w:sz w:val="28"/>
          <w:highlight w:val="yellow"/>
        </w:rPr>
        <w:t xml:space="preserve"> cuối ngày làm việc</w:t>
      </w:r>
      <w:r w:rsidR="004D07C8" w:rsidRPr="002F42AD">
        <w:rPr>
          <w:rFonts w:ascii="Times New Roman" w:hAnsi="Times New Roman" w:cs="Times New Roman"/>
          <w:sz w:val="28"/>
          <w:highlight w:val="yellow"/>
        </w:rPr>
        <w:t xml:space="preserve"> là tỷ giá </w:t>
      </w:r>
      <w:r w:rsidR="007969A4" w:rsidRPr="002F42AD">
        <w:rPr>
          <w:rFonts w:ascii="Times New Roman" w:hAnsi="Times New Roman" w:cs="Times New Roman"/>
          <w:sz w:val="28"/>
          <w:highlight w:val="yellow"/>
        </w:rPr>
        <w:t>giao ngay theo quy định của Ngân hàng Nhà nước về Hệ thống tài khoản kế toán các tổ chức tín dụng và Chế độ báo cáo tài chính đối với t</w:t>
      </w:r>
      <w:r w:rsidR="00F65A06" w:rsidRPr="002F42AD">
        <w:rPr>
          <w:rFonts w:ascii="Times New Roman" w:hAnsi="Times New Roman" w:cs="Times New Roman"/>
          <w:sz w:val="28"/>
          <w:highlight w:val="yellow"/>
        </w:rPr>
        <w:t>ổ</w:t>
      </w:r>
      <w:r w:rsidR="007969A4" w:rsidRPr="002F42AD">
        <w:rPr>
          <w:rFonts w:ascii="Times New Roman" w:hAnsi="Times New Roman" w:cs="Times New Roman"/>
          <w:sz w:val="28"/>
          <w:highlight w:val="yellow"/>
        </w:rPr>
        <w:t xml:space="preserve"> chức tín dụng</w:t>
      </w:r>
      <w:r w:rsidR="009817A0" w:rsidRPr="002F42AD">
        <w:rPr>
          <w:rFonts w:ascii="Times New Roman" w:hAnsi="Times New Roman" w:cs="Times New Roman"/>
          <w:sz w:val="28"/>
          <w:highlight w:val="yellow"/>
        </w:rPr>
        <w:t xml:space="preserve"> tại thời điểm cuối ngày làm việc của tổ chức tín dụng, chi nhánh ngân hàng nước ngoài</w:t>
      </w:r>
      <w:r w:rsidR="0050343A" w:rsidRPr="002F42AD">
        <w:rPr>
          <w:rFonts w:ascii="Times New Roman" w:hAnsi="Times New Roman" w:cs="Times New Roman"/>
          <w:sz w:val="28"/>
          <w:highlight w:val="yellow"/>
        </w:rPr>
        <w:t>”.</w:t>
      </w:r>
    </w:p>
    <w:p w:rsidR="00696E39" w:rsidRPr="00A6531B" w:rsidRDefault="0050343A" w:rsidP="00804A18">
      <w:pPr>
        <w:shd w:val="clear" w:color="auto" w:fill="FFFFFF"/>
        <w:spacing w:before="120" w:after="120" w:line="264" w:lineRule="auto"/>
        <w:ind w:firstLine="709"/>
        <w:jc w:val="both"/>
        <w:rPr>
          <w:rFonts w:ascii="Times New Roman" w:eastAsia="Times New Roman" w:hAnsi="Times New Roman" w:cs="Times New Roman"/>
          <w:sz w:val="28"/>
          <w:szCs w:val="28"/>
        </w:rPr>
      </w:pPr>
      <w:r>
        <w:rPr>
          <w:rFonts w:ascii="Times New Roman" w:hAnsi="Times New Roman" w:cs="Times New Roman"/>
          <w:sz w:val="28"/>
        </w:rPr>
        <w:t xml:space="preserve">2. </w:t>
      </w:r>
      <w:r w:rsidR="00985C4A">
        <w:rPr>
          <w:rFonts w:ascii="Times New Roman" w:eastAsia="Times New Roman" w:hAnsi="Times New Roman" w:cs="Times New Roman"/>
          <w:sz w:val="28"/>
          <w:szCs w:val="28"/>
        </w:rPr>
        <w:t>Điểm</w:t>
      </w:r>
      <w:r w:rsidR="00753C81">
        <w:rPr>
          <w:rFonts w:ascii="Times New Roman" w:eastAsia="Times New Roman" w:hAnsi="Times New Roman" w:cs="Times New Roman"/>
          <w:sz w:val="28"/>
          <w:szCs w:val="28"/>
        </w:rPr>
        <w:t xml:space="preserve"> b và điểm</w:t>
      </w:r>
      <w:r w:rsidR="00985C4A">
        <w:rPr>
          <w:rFonts w:ascii="Times New Roman" w:eastAsia="Times New Roman" w:hAnsi="Times New Roman" w:cs="Times New Roman"/>
          <w:sz w:val="28"/>
          <w:szCs w:val="28"/>
        </w:rPr>
        <w:t xml:space="preserve"> c</w:t>
      </w:r>
      <w:r w:rsidR="00696E39" w:rsidRPr="00A6531B">
        <w:rPr>
          <w:rFonts w:ascii="Times New Roman" w:eastAsia="Times New Roman" w:hAnsi="Times New Roman" w:cs="Times New Roman"/>
          <w:sz w:val="28"/>
          <w:szCs w:val="28"/>
        </w:rPr>
        <w:t xml:space="preserve"> </w:t>
      </w:r>
      <w:r w:rsidR="00837FD3">
        <w:rPr>
          <w:rFonts w:ascii="Times New Roman" w:eastAsia="Times New Roman" w:hAnsi="Times New Roman" w:cs="Times New Roman"/>
          <w:sz w:val="28"/>
          <w:szCs w:val="28"/>
        </w:rPr>
        <w:t>k</w:t>
      </w:r>
      <w:r w:rsidR="00985C4A">
        <w:rPr>
          <w:rFonts w:ascii="Times New Roman" w:eastAsia="Times New Roman" w:hAnsi="Times New Roman" w:cs="Times New Roman"/>
          <w:sz w:val="28"/>
          <w:szCs w:val="28"/>
        </w:rPr>
        <w:t>hoản 2</w:t>
      </w:r>
      <w:r w:rsidR="00696E39" w:rsidRPr="00A6531B">
        <w:rPr>
          <w:rFonts w:ascii="Times New Roman" w:eastAsia="Times New Roman" w:hAnsi="Times New Roman" w:cs="Times New Roman"/>
          <w:sz w:val="28"/>
          <w:szCs w:val="28"/>
        </w:rPr>
        <w:t xml:space="preserve"> Điều 1</w:t>
      </w:r>
      <w:r w:rsidR="00837FD3">
        <w:rPr>
          <w:rFonts w:ascii="Times New Roman" w:eastAsia="Times New Roman" w:hAnsi="Times New Roman" w:cs="Times New Roman"/>
          <w:sz w:val="28"/>
          <w:szCs w:val="28"/>
        </w:rPr>
        <w:t>5</w:t>
      </w:r>
      <w:r w:rsidR="00696E39" w:rsidRPr="00A6531B">
        <w:rPr>
          <w:rFonts w:ascii="Times New Roman" w:eastAsia="Times New Roman" w:hAnsi="Times New Roman" w:cs="Times New Roman"/>
          <w:sz w:val="28"/>
          <w:szCs w:val="28"/>
        </w:rPr>
        <w:t xml:space="preserve"> được sửa đổi, b</w:t>
      </w:r>
      <w:r w:rsidR="00696E39" w:rsidRPr="00A6531B">
        <w:rPr>
          <w:rFonts w:ascii="Times New Roman" w:eastAsia="Times New Roman" w:hAnsi="Times New Roman" w:cs="Times New Roman"/>
          <w:sz w:val="28"/>
          <w:szCs w:val="28"/>
          <w:lang w:val="vi-VN"/>
        </w:rPr>
        <w:t xml:space="preserve">ổ sung </w:t>
      </w:r>
      <w:r w:rsidR="00696E39" w:rsidRPr="00A6531B">
        <w:rPr>
          <w:rFonts w:ascii="Times New Roman" w:eastAsia="Times New Roman" w:hAnsi="Times New Roman" w:cs="Times New Roman"/>
          <w:sz w:val="28"/>
          <w:szCs w:val="28"/>
        </w:rPr>
        <w:t>như sau:</w:t>
      </w:r>
    </w:p>
    <w:p w:rsidR="00753C81" w:rsidRPr="00A6531B" w:rsidRDefault="00696E39" w:rsidP="008D561D">
      <w:pPr>
        <w:shd w:val="clear" w:color="auto" w:fill="FFFFFF"/>
        <w:tabs>
          <w:tab w:val="left" w:pos="1260"/>
        </w:tabs>
        <w:spacing w:before="120" w:after="120" w:line="240" w:lineRule="auto"/>
        <w:ind w:firstLine="720"/>
        <w:jc w:val="both"/>
        <w:rPr>
          <w:rFonts w:ascii="Times New Roman" w:hAnsi="Times New Roman" w:cs="Times New Roman"/>
          <w:sz w:val="28"/>
          <w:szCs w:val="28"/>
        </w:rPr>
      </w:pPr>
      <w:r w:rsidRPr="00A6531B">
        <w:rPr>
          <w:rFonts w:ascii="Times New Roman" w:eastAsia="Times New Roman" w:hAnsi="Times New Roman" w:cs="Times New Roman"/>
          <w:sz w:val="28"/>
          <w:szCs w:val="28"/>
        </w:rPr>
        <w:t>“</w:t>
      </w:r>
      <w:r w:rsidR="00753C81" w:rsidRPr="00A6531B">
        <w:rPr>
          <w:rFonts w:ascii="Times New Roman" w:hAnsi="Times New Roman" w:cs="Times New Roman"/>
          <w:sz w:val="28"/>
          <w:szCs w:val="28"/>
        </w:rPr>
        <w:t>b) Tỷ lệ dự trữ thanh khoản được xác định theo công thức sau:</w:t>
      </w:r>
    </w:p>
    <w:tbl>
      <w:tblPr>
        <w:tblW w:w="9072" w:type="dxa"/>
        <w:tblInd w:w="108" w:type="dxa"/>
        <w:tblLayout w:type="fixed"/>
        <w:tblLook w:val="04A0" w:firstRow="1" w:lastRow="0" w:firstColumn="1" w:lastColumn="0" w:noHBand="0" w:noVBand="1"/>
      </w:tblPr>
      <w:tblGrid>
        <w:gridCol w:w="3686"/>
        <w:gridCol w:w="360"/>
        <w:gridCol w:w="3796"/>
        <w:gridCol w:w="1230"/>
      </w:tblGrid>
      <w:tr w:rsidR="00753C81" w:rsidRPr="00A6531B" w:rsidTr="004F1F74">
        <w:tc>
          <w:tcPr>
            <w:tcW w:w="3686" w:type="dxa"/>
            <w:vMerge w:val="restart"/>
            <w:shd w:val="clear" w:color="auto" w:fill="auto"/>
            <w:vAlign w:val="center"/>
          </w:tcPr>
          <w:p w:rsidR="00753C81" w:rsidRPr="00A6531B" w:rsidRDefault="00753C81" w:rsidP="004F1F74">
            <w:pPr>
              <w:spacing w:after="0" w:line="240" w:lineRule="auto"/>
              <w:ind w:left="34" w:hanging="34"/>
              <w:jc w:val="center"/>
              <w:rPr>
                <w:rFonts w:ascii="Times New Roman" w:hAnsi="Times New Roman" w:cs="Times New Roman"/>
                <w:sz w:val="28"/>
                <w:szCs w:val="28"/>
              </w:rPr>
            </w:pPr>
            <w:r w:rsidRPr="00A6531B">
              <w:rPr>
                <w:rFonts w:ascii="Times New Roman" w:hAnsi="Times New Roman" w:cs="Times New Roman"/>
                <w:sz w:val="28"/>
                <w:szCs w:val="28"/>
              </w:rPr>
              <w:t>Tỷ lệ dự trữ thanh khoản (%)</w:t>
            </w:r>
          </w:p>
        </w:tc>
        <w:tc>
          <w:tcPr>
            <w:tcW w:w="360" w:type="dxa"/>
            <w:vMerge w:val="restart"/>
            <w:shd w:val="clear" w:color="auto" w:fill="auto"/>
            <w:vAlign w:val="center"/>
          </w:tcPr>
          <w:p w:rsidR="00753C81" w:rsidRPr="00A6531B" w:rsidRDefault="00753C81" w:rsidP="004F1F74">
            <w:pPr>
              <w:spacing w:after="0" w:line="240" w:lineRule="auto"/>
              <w:rPr>
                <w:rFonts w:ascii="Times New Roman" w:hAnsi="Times New Roman" w:cs="Times New Roman"/>
                <w:sz w:val="28"/>
                <w:szCs w:val="28"/>
              </w:rPr>
            </w:pPr>
            <w:r w:rsidRPr="00A6531B">
              <w:rPr>
                <w:rFonts w:ascii="Times New Roman" w:hAnsi="Times New Roman" w:cs="Times New Roman"/>
                <w:sz w:val="28"/>
                <w:szCs w:val="28"/>
              </w:rPr>
              <w:t>=</w:t>
            </w:r>
          </w:p>
        </w:tc>
        <w:tc>
          <w:tcPr>
            <w:tcW w:w="3796" w:type="dxa"/>
            <w:tcBorders>
              <w:bottom w:val="single" w:sz="4" w:space="0" w:color="auto"/>
            </w:tcBorders>
            <w:shd w:val="clear" w:color="auto" w:fill="auto"/>
            <w:vAlign w:val="center"/>
          </w:tcPr>
          <w:p w:rsidR="00753C81" w:rsidRPr="00A6531B" w:rsidRDefault="00753C81" w:rsidP="004F1F74">
            <w:pPr>
              <w:spacing w:after="0" w:line="240" w:lineRule="auto"/>
              <w:jc w:val="center"/>
              <w:rPr>
                <w:rFonts w:ascii="Times New Roman" w:hAnsi="Times New Roman" w:cs="Times New Roman"/>
                <w:sz w:val="28"/>
                <w:szCs w:val="28"/>
              </w:rPr>
            </w:pPr>
            <w:r w:rsidRPr="00A6531B">
              <w:rPr>
                <w:rFonts w:ascii="Times New Roman" w:hAnsi="Times New Roman" w:cs="Times New Roman"/>
                <w:sz w:val="28"/>
                <w:szCs w:val="28"/>
              </w:rPr>
              <w:t>Tài sản có tính thanh khoản cao</w:t>
            </w:r>
            <w:r w:rsidRPr="00A6531B">
              <w:rPr>
                <w:rFonts w:ascii="Times New Roman" w:hAnsi="Times New Roman" w:cs="Times New Roman"/>
                <w:sz w:val="28"/>
                <w:szCs w:val="28"/>
                <w:u w:val="single"/>
              </w:rPr>
              <w:t xml:space="preserve">  </w:t>
            </w:r>
            <w:r w:rsidRPr="00A6531B">
              <w:rPr>
                <w:rFonts w:ascii="Times New Roman" w:hAnsi="Times New Roman" w:cs="Times New Roman"/>
                <w:sz w:val="28"/>
                <w:szCs w:val="28"/>
              </w:rPr>
              <w:t xml:space="preserve"> </w:t>
            </w:r>
          </w:p>
        </w:tc>
        <w:tc>
          <w:tcPr>
            <w:tcW w:w="1230" w:type="dxa"/>
            <w:vMerge w:val="restart"/>
            <w:shd w:val="clear" w:color="auto" w:fill="auto"/>
            <w:vAlign w:val="center"/>
          </w:tcPr>
          <w:p w:rsidR="00753C81" w:rsidRPr="00A6531B" w:rsidRDefault="00753C81" w:rsidP="004F1F74">
            <w:pPr>
              <w:spacing w:after="0" w:line="240" w:lineRule="auto"/>
              <w:rPr>
                <w:rFonts w:ascii="Times New Roman" w:hAnsi="Times New Roman" w:cs="Times New Roman"/>
                <w:sz w:val="28"/>
                <w:szCs w:val="28"/>
                <w:u w:val="single"/>
              </w:rPr>
            </w:pPr>
            <w:r w:rsidRPr="00A6531B">
              <w:rPr>
                <w:rFonts w:ascii="Times New Roman" w:hAnsi="Times New Roman" w:cs="Times New Roman"/>
                <w:sz w:val="28"/>
                <w:szCs w:val="28"/>
              </w:rPr>
              <w:t>x 100</w:t>
            </w:r>
          </w:p>
        </w:tc>
      </w:tr>
      <w:tr w:rsidR="00753C81" w:rsidRPr="00A6531B" w:rsidTr="004F1F74">
        <w:tc>
          <w:tcPr>
            <w:tcW w:w="3686" w:type="dxa"/>
            <w:vMerge/>
            <w:shd w:val="clear" w:color="auto" w:fill="auto"/>
          </w:tcPr>
          <w:p w:rsidR="00753C81" w:rsidRPr="00A6531B" w:rsidRDefault="00753C81" w:rsidP="004F1F74">
            <w:pPr>
              <w:spacing w:before="120" w:after="0" w:line="240" w:lineRule="auto"/>
              <w:jc w:val="center"/>
              <w:rPr>
                <w:rFonts w:ascii="Times New Roman" w:hAnsi="Times New Roman" w:cs="Times New Roman"/>
                <w:sz w:val="28"/>
                <w:szCs w:val="28"/>
              </w:rPr>
            </w:pPr>
          </w:p>
        </w:tc>
        <w:tc>
          <w:tcPr>
            <w:tcW w:w="360" w:type="dxa"/>
            <w:vMerge/>
            <w:shd w:val="clear" w:color="auto" w:fill="auto"/>
          </w:tcPr>
          <w:p w:rsidR="00753C81" w:rsidRPr="00A6531B" w:rsidRDefault="00753C81" w:rsidP="004F1F74">
            <w:pPr>
              <w:spacing w:before="120" w:after="0" w:line="240" w:lineRule="auto"/>
              <w:jc w:val="both"/>
              <w:rPr>
                <w:rFonts w:ascii="Times New Roman" w:hAnsi="Times New Roman" w:cs="Times New Roman"/>
                <w:sz w:val="28"/>
                <w:szCs w:val="28"/>
              </w:rPr>
            </w:pPr>
          </w:p>
        </w:tc>
        <w:tc>
          <w:tcPr>
            <w:tcW w:w="3796" w:type="dxa"/>
            <w:tcBorders>
              <w:top w:val="single" w:sz="4" w:space="0" w:color="auto"/>
            </w:tcBorders>
            <w:shd w:val="clear" w:color="auto" w:fill="auto"/>
            <w:vAlign w:val="center"/>
          </w:tcPr>
          <w:p w:rsidR="00753C81" w:rsidRPr="00A6531B" w:rsidRDefault="00753C81" w:rsidP="004F1F74">
            <w:pPr>
              <w:spacing w:after="0" w:line="240" w:lineRule="auto"/>
              <w:jc w:val="center"/>
              <w:rPr>
                <w:rFonts w:ascii="Times New Roman" w:hAnsi="Times New Roman" w:cs="Times New Roman"/>
                <w:sz w:val="28"/>
                <w:szCs w:val="28"/>
              </w:rPr>
            </w:pPr>
            <w:r w:rsidRPr="00A6531B">
              <w:rPr>
                <w:rFonts w:ascii="Times New Roman" w:hAnsi="Times New Roman" w:cs="Times New Roman"/>
                <w:sz w:val="28"/>
                <w:szCs w:val="28"/>
              </w:rPr>
              <w:t xml:space="preserve">Tổng Nợ phải trả  </w:t>
            </w:r>
          </w:p>
        </w:tc>
        <w:tc>
          <w:tcPr>
            <w:tcW w:w="1230" w:type="dxa"/>
            <w:vMerge/>
            <w:shd w:val="clear" w:color="auto" w:fill="auto"/>
          </w:tcPr>
          <w:p w:rsidR="00753C81" w:rsidRPr="00A6531B" w:rsidRDefault="00753C81" w:rsidP="004F1F74">
            <w:pPr>
              <w:spacing w:before="120" w:after="0" w:line="240" w:lineRule="auto"/>
              <w:jc w:val="both"/>
              <w:rPr>
                <w:rFonts w:ascii="Times New Roman" w:hAnsi="Times New Roman" w:cs="Times New Roman"/>
                <w:sz w:val="28"/>
                <w:szCs w:val="28"/>
              </w:rPr>
            </w:pPr>
          </w:p>
        </w:tc>
      </w:tr>
    </w:tbl>
    <w:p w:rsidR="00753C81" w:rsidRPr="00A6531B" w:rsidRDefault="00753C81" w:rsidP="00753C81">
      <w:pPr>
        <w:shd w:val="clear" w:color="auto" w:fill="FFFFFF"/>
        <w:tabs>
          <w:tab w:val="left" w:pos="1260"/>
        </w:tabs>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Trong đó:</w:t>
      </w:r>
    </w:p>
    <w:p w:rsidR="00753C81" w:rsidRPr="00A6531B" w:rsidRDefault="00753C81" w:rsidP="00753C81">
      <w:pPr>
        <w:shd w:val="clear" w:color="auto" w:fill="FFFFFF"/>
        <w:tabs>
          <w:tab w:val="left" w:pos="1260"/>
        </w:tabs>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lastRenderedPageBreak/>
        <w:t>- Tài sản có tính thanh khoản cao được quy định tại Phụ lục 3 kèm theo Thông tư này;</w:t>
      </w:r>
    </w:p>
    <w:p w:rsidR="00753C81" w:rsidRPr="00A6531B" w:rsidRDefault="00753C81" w:rsidP="00753C81">
      <w:pPr>
        <w:spacing w:before="120" w:after="0" w:line="240" w:lineRule="auto"/>
        <w:ind w:firstLine="709"/>
        <w:jc w:val="both"/>
        <w:rPr>
          <w:rFonts w:ascii="Times New Roman" w:hAnsi="Times New Roman" w:cs="Times New Roman"/>
          <w:sz w:val="28"/>
        </w:rPr>
      </w:pPr>
      <w:r w:rsidRPr="00A6531B">
        <w:rPr>
          <w:rFonts w:ascii="Times New Roman" w:hAnsi="Times New Roman" w:cs="Times New Roman"/>
          <w:sz w:val="28"/>
        </w:rPr>
        <w:t>- Tổng Nợ phải trả là khoản mục Tổng Nợ phải trả trên Bảng cân đối kế toán, trừ đi:</w:t>
      </w:r>
    </w:p>
    <w:p w:rsidR="00753C81" w:rsidRPr="00A6531B" w:rsidRDefault="00753C81" w:rsidP="00753C81">
      <w:pPr>
        <w:spacing w:before="120" w:after="0" w:line="240" w:lineRule="auto"/>
        <w:ind w:firstLine="709"/>
        <w:jc w:val="both"/>
        <w:rPr>
          <w:rFonts w:ascii="Times New Roman" w:hAnsi="Times New Roman" w:cs="Times New Roman"/>
          <w:sz w:val="28"/>
        </w:rPr>
      </w:pPr>
      <w:r w:rsidRPr="00A6531B">
        <w:rPr>
          <w:rFonts w:ascii="Times New Roman" w:hAnsi="Times New Roman" w:cs="Times New Roman"/>
          <w:sz w:val="28"/>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của Công ty Quản lý tài sản của các tổ chức tín dụng Việt Nam phát hành); khoản vay qua đêm trong thanh toán điện tử liên ngân hàng; khoản bán có kỳ hạn giấy tờ có giá qua nghiệp vụ thị trường mở của Ngân hàng Nhà nước.</w:t>
      </w:r>
    </w:p>
    <w:p w:rsidR="00753C81" w:rsidRPr="00A6531B" w:rsidRDefault="00753C81" w:rsidP="00753C81">
      <w:pPr>
        <w:spacing w:before="120" w:after="0" w:line="240" w:lineRule="auto"/>
        <w:ind w:firstLine="709"/>
        <w:jc w:val="both"/>
        <w:rPr>
          <w:rFonts w:ascii="Times New Roman" w:hAnsi="Times New Roman" w:cs="Times New Roman"/>
          <w:sz w:val="28"/>
        </w:rPr>
      </w:pPr>
      <w:r w:rsidRPr="00A6531B">
        <w:rPr>
          <w:rFonts w:ascii="Times New Roman" w:hAnsi="Times New Roman" w:cs="Times New Roman"/>
          <w:sz w:val="28"/>
        </w:rPr>
        <w:t>+ Khoản cấp tín dụng của tổ chức tín dụng,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837FD3" w:rsidRPr="002F42AD" w:rsidRDefault="00B847E7" w:rsidP="00804A18">
      <w:pPr>
        <w:spacing w:before="120" w:after="120" w:line="264" w:lineRule="auto"/>
        <w:ind w:firstLine="709"/>
        <w:jc w:val="both"/>
        <w:rPr>
          <w:rFonts w:ascii="Times New Roman" w:hAnsi="Times New Roman" w:cs="Times New Roman"/>
          <w:sz w:val="28"/>
        </w:rPr>
      </w:pPr>
      <w:r w:rsidRPr="002F42AD">
        <w:rPr>
          <w:rFonts w:ascii="Times New Roman" w:hAnsi="Times New Roman" w:cs="Times New Roman"/>
          <w:sz w:val="28"/>
          <w:highlight w:val="yellow"/>
        </w:rPr>
        <w:t>c</w:t>
      </w:r>
      <w:r w:rsidR="00837FD3" w:rsidRPr="002F42AD">
        <w:rPr>
          <w:rFonts w:ascii="Times New Roman" w:hAnsi="Times New Roman" w:cs="Times New Roman"/>
          <w:sz w:val="28"/>
          <w:highlight w:val="yellow"/>
        </w:rPr>
        <w:t>) Tài sản có tính thanh khoản cao và tổng Nợ phải trả được tính theo đồng Việt Nam, bao gồm đồng Việt Nam và các loại ngoại tệ tự do chuyển đổi khác quy đổi sang đồng Việt Nam theo tỷ giá</w:t>
      </w:r>
      <w:r w:rsidR="00A47F2A" w:rsidRPr="002F42AD">
        <w:rPr>
          <w:rFonts w:ascii="Times New Roman" w:hAnsi="Times New Roman" w:cs="Times New Roman"/>
          <w:sz w:val="28"/>
          <w:highlight w:val="yellow"/>
        </w:rPr>
        <w:t xml:space="preserve"> </w:t>
      </w:r>
      <w:r w:rsidR="00C63DE9" w:rsidRPr="002F42AD">
        <w:rPr>
          <w:rFonts w:ascii="Times New Roman" w:hAnsi="Times New Roman" w:cs="Times New Roman"/>
          <w:sz w:val="28"/>
          <w:highlight w:val="yellow"/>
        </w:rPr>
        <w:t>giao ngay tại thời điểm cuối ngày làm việc</w:t>
      </w:r>
      <w:r w:rsidR="00032C08" w:rsidRPr="002F42AD">
        <w:rPr>
          <w:rFonts w:ascii="Times New Roman" w:hAnsi="Times New Roman" w:cs="Times New Roman"/>
          <w:sz w:val="28"/>
          <w:highlight w:val="yellow"/>
        </w:rPr>
        <w:t>; đ</w:t>
      </w:r>
      <w:r w:rsidR="00C31D93" w:rsidRPr="002F42AD">
        <w:rPr>
          <w:rFonts w:ascii="Times New Roman" w:hAnsi="Times New Roman" w:cs="Times New Roman"/>
          <w:sz w:val="28"/>
          <w:highlight w:val="yellow"/>
        </w:rPr>
        <w:t>ối với các khoản mục phi tiền tệ, tổ chức tín dụng, chi nhánh ngân hàng nước ngoài sử dụng tỷ giá theo quy định của Ngân hàng Nhà nước về Hệ thống tài khoản kế toán các tổ chức tín dụng và Chế độ báo cáo tài chính đối với t</w:t>
      </w:r>
      <w:r w:rsidR="00753C81" w:rsidRPr="002F42AD">
        <w:rPr>
          <w:rFonts w:ascii="Times New Roman" w:hAnsi="Times New Roman" w:cs="Times New Roman"/>
          <w:sz w:val="28"/>
          <w:highlight w:val="yellow"/>
        </w:rPr>
        <w:t>ổ</w:t>
      </w:r>
      <w:r w:rsidR="00C31D93" w:rsidRPr="002F42AD">
        <w:rPr>
          <w:rFonts w:ascii="Times New Roman" w:hAnsi="Times New Roman" w:cs="Times New Roman"/>
          <w:sz w:val="28"/>
          <w:highlight w:val="yellow"/>
        </w:rPr>
        <w:t xml:space="preserve"> chức tín dụng</w:t>
      </w:r>
      <w:r w:rsidR="00837FD3" w:rsidRPr="002F42AD">
        <w:rPr>
          <w:rFonts w:ascii="Times New Roman" w:hAnsi="Times New Roman" w:cs="Times New Roman"/>
          <w:sz w:val="28"/>
          <w:highlight w:val="yellow"/>
        </w:rPr>
        <w:t>”</w:t>
      </w:r>
      <w:r w:rsidR="00032C08" w:rsidRPr="002F42AD">
        <w:rPr>
          <w:rFonts w:ascii="Times New Roman" w:hAnsi="Times New Roman" w:cs="Times New Roman"/>
          <w:sz w:val="28"/>
          <w:highlight w:val="yellow"/>
        </w:rPr>
        <w:t>.</w:t>
      </w:r>
    </w:p>
    <w:p w:rsidR="00985C4A" w:rsidRPr="00C63DE9" w:rsidRDefault="00EC5E3A" w:rsidP="00804A18">
      <w:pPr>
        <w:spacing w:before="120" w:after="120" w:line="264" w:lineRule="auto"/>
        <w:ind w:firstLine="709"/>
        <w:jc w:val="both"/>
        <w:rPr>
          <w:rFonts w:ascii="Times New Roman" w:hAnsi="Times New Roman" w:cs="Times New Roman"/>
          <w:sz w:val="28"/>
        </w:rPr>
      </w:pPr>
      <w:r>
        <w:rPr>
          <w:rFonts w:ascii="Times New Roman" w:hAnsi="Times New Roman" w:cs="Times New Roman"/>
          <w:sz w:val="28"/>
        </w:rPr>
        <w:t>3</w:t>
      </w:r>
      <w:r w:rsidR="00985C4A" w:rsidRPr="00C63DE9">
        <w:rPr>
          <w:rFonts w:ascii="Times New Roman" w:hAnsi="Times New Roman" w:cs="Times New Roman"/>
          <w:sz w:val="28"/>
        </w:rPr>
        <w:t xml:space="preserve">. Điểm </w:t>
      </w:r>
      <w:r w:rsidR="00985C4A" w:rsidRPr="00C63DE9">
        <w:rPr>
          <w:rFonts w:ascii="Times New Roman" w:eastAsia="Times New Roman" w:hAnsi="Times New Roman" w:cs="Times New Roman"/>
          <w:sz w:val="28"/>
          <w:szCs w:val="28"/>
        </w:rPr>
        <w:t>a khoản 3 Điều 15 được sửa đổi, b</w:t>
      </w:r>
      <w:r w:rsidR="00985C4A" w:rsidRPr="00C63DE9">
        <w:rPr>
          <w:rFonts w:ascii="Times New Roman" w:eastAsia="Times New Roman" w:hAnsi="Times New Roman" w:cs="Times New Roman"/>
          <w:sz w:val="28"/>
          <w:szCs w:val="28"/>
          <w:lang w:val="vi-VN"/>
        </w:rPr>
        <w:t xml:space="preserve">ổ sung </w:t>
      </w:r>
      <w:r w:rsidR="00985C4A" w:rsidRPr="00C63DE9">
        <w:rPr>
          <w:rFonts w:ascii="Times New Roman" w:eastAsia="Times New Roman" w:hAnsi="Times New Roman" w:cs="Times New Roman"/>
          <w:sz w:val="28"/>
          <w:szCs w:val="28"/>
        </w:rPr>
        <w:t>như sau:</w:t>
      </w:r>
    </w:p>
    <w:p w:rsidR="00366AFD" w:rsidRPr="002F42AD" w:rsidRDefault="00985C4A" w:rsidP="00804A18">
      <w:pPr>
        <w:spacing w:before="120" w:after="120" w:line="264" w:lineRule="auto"/>
        <w:ind w:firstLine="709"/>
        <w:jc w:val="both"/>
        <w:rPr>
          <w:rFonts w:ascii="Times New Roman" w:eastAsia="Times New Roman" w:hAnsi="Times New Roman" w:cs="Times New Roman"/>
          <w:sz w:val="28"/>
          <w:szCs w:val="28"/>
        </w:rPr>
      </w:pPr>
      <w:r w:rsidRPr="002F42AD">
        <w:rPr>
          <w:rFonts w:ascii="Times New Roman" w:hAnsi="Times New Roman" w:cs="Times New Roman"/>
          <w:sz w:val="28"/>
          <w:highlight w:val="yellow"/>
        </w:rPr>
        <w:t>“</w:t>
      </w:r>
      <w:r w:rsidR="00837FD3" w:rsidRPr="002F42AD">
        <w:rPr>
          <w:rFonts w:ascii="Times New Roman" w:hAnsi="Times New Roman" w:cs="Times New Roman"/>
          <w:sz w:val="28"/>
          <w:highlight w:val="yellow"/>
        </w:rPr>
        <w:t xml:space="preserve">a) </w:t>
      </w:r>
      <w:r w:rsidR="006237BD" w:rsidRPr="002F42AD">
        <w:rPr>
          <w:rFonts w:ascii="Times New Roman" w:hAnsi="Times New Roman" w:cs="Times New Roman"/>
          <w:sz w:val="28"/>
          <w:highlight w:val="yellow"/>
        </w:rPr>
        <w:t>Tổ chức tín dụng</w:t>
      </w:r>
      <w:r w:rsidR="00837FD3" w:rsidRPr="002F42AD">
        <w:rPr>
          <w:rFonts w:ascii="Times New Roman" w:hAnsi="Times New Roman" w:cs="Times New Roman"/>
          <w:sz w:val="28"/>
          <w:highlight w:val="yellow"/>
        </w:rPr>
        <w:t>, chi nhánh ngân hàng nước ngoài phải tính toán và duy trì tỷ lệ khả năng chi trả trong 30 ngày đối với đồng Việt Nam và tỷ lệ khả năng chi trả trong 30 ngày đối với ngoại tệ (bao gồm đô la Mỹ và các ngoại tệ khác được quy đổi sang đô la Mỹ theo tỷ giá</w:t>
      </w:r>
      <w:r w:rsidR="00A47F2A" w:rsidRPr="002F42AD">
        <w:rPr>
          <w:rFonts w:ascii="Times New Roman" w:hAnsi="Times New Roman" w:cs="Times New Roman"/>
          <w:sz w:val="28"/>
          <w:highlight w:val="yellow"/>
        </w:rPr>
        <w:t xml:space="preserve"> </w:t>
      </w:r>
      <w:r w:rsidR="00C63DE9" w:rsidRPr="002F42AD">
        <w:rPr>
          <w:rFonts w:ascii="Times New Roman" w:hAnsi="Times New Roman" w:cs="Times New Roman"/>
          <w:sz w:val="28"/>
          <w:highlight w:val="yellow"/>
        </w:rPr>
        <w:t xml:space="preserve">giao </w:t>
      </w:r>
      <w:r w:rsidR="00F65A06" w:rsidRPr="002F42AD">
        <w:rPr>
          <w:rFonts w:ascii="Times New Roman" w:hAnsi="Times New Roman" w:cs="Times New Roman"/>
          <w:sz w:val="28"/>
          <w:highlight w:val="yellow"/>
        </w:rPr>
        <w:t xml:space="preserve">ngay </w:t>
      </w:r>
      <w:r w:rsidR="00C63DE9" w:rsidRPr="002F42AD">
        <w:rPr>
          <w:rFonts w:ascii="Times New Roman" w:hAnsi="Times New Roman" w:cs="Times New Roman"/>
          <w:sz w:val="28"/>
          <w:highlight w:val="yellow"/>
        </w:rPr>
        <w:t>tại thời điểm cuối ngày làm việc</w:t>
      </w:r>
      <w:r w:rsidR="00837FD3" w:rsidRPr="002F42AD">
        <w:rPr>
          <w:rFonts w:ascii="Times New Roman" w:hAnsi="Times New Roman" w:cs="Times New Roman"/>
          <w:sz w:val="28"/>
          <w:highlight w:val="yellow"/>
        </w:rPr>
        <w:t>)</w:t>
      </w:r>
      <w:r w:rsidR="00032C08" w:rsidRPr="002F42AD">
        <w:rPr>
          <w:rFonts w:ascii="Times New Roman" w:hAnsi="Times New Roman" w:cs="Times New Roman"/>
          <w:sz w:val="28"/>
          <w:highlight w:val="yellow"/>
        </w:rPr>
        <w:t>; đối với các khoản mục phi tiền tệ, tổ chức tín dụng, chi nhánh ngân hàng nước ngoài sử dụng tỷ giá theo quy định của Ngân hàng Nhà nước về Hệ thống tài khoản kế toán các tổ chức tín dụng và Chế độ báo cáo tài chính đối với t</w:t>
      </w:r>
      <w:r w:rsidR="00D30208" w:rsidRPr="002F42AD">
        <w:rPr>
          <w:rFonts w:ascii="Times New Roman" w:hAnsi="Times New Roman" w:cs="Times New Roman"/>
          <w:sz w:val="28"/>
          <w:highlight w:val="yellow"/>
        </w:rPr>
        <w:t>ổ</w:t>
      </w:r>
      <w:r w:rsidR="00032C08" w:rsidRPr="002F42AD">
        <w:rPr>
          <w:rFonts w:ascii="Times New Roman" w:hAnsi="Times New Roman" w:cs="Times New Roman"/>
          <w:sz w:val="28"/>
          <w:highlight w:val="yellow"/>
        </w:rPr>
        <w:t xml:space="preserve"> chức tín dụng</w:t>
      </w:r>
      <w:r w:rsidR="00837FD3" w:rsidRPr="002F42AD">
        <w:rPr>
          <w:rFonts w:ascii="Times New Roman" w:hAnsi="Times New Roman" w:cs="Times New Roman"/>
          <w:sz w:val="28"/>
          <w:highlight w:val="yellow"/>
        </w:rPr>
        <w:t>;</w:t>
      </w:r>
      <w:r w:rsidR="00D30208" w:rsidRPr="002F42AD">
        <w:rPr>
          <w:rFonts w:ascii="Times New Roman" w:eastAsia="Times New Roman" w:hAnsi="Times New Roman" w:cs="Times New Roman"/>
          <w:sz w:val="28"/>
          <w:szCs w:val="28"/>
          <w:highlight w:val="yellow"/>
        </w:rPr>
        <w:t>”</w:t>
      </w:r>
    </w:p>
    <w:p w:rsidR="00985C4A" w:rsidRPr="00C63DE9" w:rsidRDefault="00EC5E3A" w:rsidP="00804A18">
      <w:pPr>
        <w:spacing w:before="120" w:after="120" w:line="264" w:lineRule="auto"/>
        <w:ind w:firstLine="709"/>
        <w:jc w:val="both"/>
        <w:rPr>
          <w:rFonts w:ascii="Times New Roman" w:hAnsi="Times New Roman" w:cs="Times New Roman"/>
          <w:sz w:val="28"/>
        </w:rPr>
      </w:pPr>
      <w:r>
        <w:rPr>
          <w:rFonts w:ascii="Times New Roman" w:hAnsi="Times New Roman" w:cs="Times New Roman"/>
          <w:sz w:val="28"/>
        </w:rPr>
        <w:t>4</w:t>
      </w:r>
      <w:r w:rsidR="00985C4A" w:rsidRPr="00C63DE9">
        <w:rPr>
          <w:rFonts w:ascii="Times New Roman" w:hAnsi="Times New Roman" w:cs="Times New Roman"/>
          <w:sz w:val="28"/>
        </w:rPr>
        <w:t xml:space="preserve">. </w:t>
      </w:r>
      <w:r w:rsidR="00DF076D" w:rsidRPr="00C63DE9">
        <w:rPr>
          <w:rFonts w:ascii="Times New Roman" w:hAnsi="Times New Roman" w:cs="Times New Roman"/>
          <w:sz w:val="28"/>
        </w:rPr>
        <w:t>Điều 17 được sửa đổi, bổ sung như sau:</w:t>
      </w:r>
    </w:p>
    <w:p w:rsidR="00DF076D" w:rsidRPr="002F42AD" w:rsidRDefault="00DF076D" w:rsidP="00804A18">
      <w:pPr>
        <w:spacing w:before="120" w:after="120" w:line="264" w:lineRule="auto"/>
        <w:ind w:firstLine="709"/>
        <w:jc w:val="both"/>
        <w:rPr>
          <w:rFonts w:ascii="Times New Roman" w:hAnsi="Times New Roman" w:cs="Times New Roman"/>
          <w:sz w:val="28"/>
        </w:rPr>
      </w:pPr>
      <w:r w:rsidRPr="002F42AD">
        <w:rPr>
          <w:rFonts w:ascii="Times New Roman" w:hAnsi="Times New Roman" w:cs="Times New Roman"/>
          <w:sz w:val="28"/>
        </w:rPr>
        <w:t>“</w:t>
      </w:r>
      <w:r w:rsidRPr="002F42AD">
        <w:rPr>
          <w:rFonts w:ascii="Times New Roman" w:hAnsi="Times New Roman" w:cs="Times New Roman"/>
          <w:sz w:val="28"/>
          <w:highlight w:val="yellow"/>
        </w:rPr>
        <w:t xml:space="preserve">1. </w:t>
      </w:r>
      <w:r w:rsidR="006237BD" w:rsidRPr="002F42AD">
        <w:rPr>
          <w:rFonts w:ascii="Times New Roman" w:hAnsi="Times New Roman" w:cs="Times New Roman"/>
          <w:sz w:val="28"/>
          <w:highlight w:val="yellow"/>
        </w:rPr>
        <w:t>Tổ chức tín dụng</w:t>
      </w:r>
      <w:r w:rsidRPr="002F42AD">
        <w:rPr>
          <w:rFonts w:ascii="Times New Roman" w:hAnsi="Times New Roman" w:cs="Times New Roman"/>
          <w:sz w:val="28"/>
          <w:highlight w:val="yellow"/>
        </w:rPr>
        <w:t>, chi nhánh ngân hàng nước ngoài xác định tỷ lệ tối đa của nguồn vốn ngắn hạn được sử dụng để cho vay trung hạn và dài hạn theo đồng Việ</w:t>
      </w:r>
      <w:r w:rsidR="00F65A06" w:rsidRPr="002F42AD">
        <w:rPr>
          <w:rFonts w:ascii="Times New Roman" w:hAnsi="Times New Roman" w:cs="Times New Roman"/>
          <w:sz w:val="28"/>
          <w:highlight w:val="yellow"/>
        </w:rPr>
        <w:t>t Nam (</w:t>
      </w:r>
      <w:r w:rsidRPr="002F42AD">
        <w:rPr>
          <w:rFonts w:ascii="Times New Roman" w:hAnsi="Times New Roman" w:cs="Times New Roman"/>
          <w:sz w:val="28"/>
          <w:highlight w:val="yellow"/>
        </w:rPr>
        <w:t xml:space="preserve">bao gồm đồng Việt Nam, các loại ngoại tệ được quy đổi sang </w:t>
      </w:r>
      <w:r w:rsidRPr="002F42AD">
        <w:rPr>
          <w:rFonts w:ascii="Times New Roman" w:hAnsi="Times New Roman" w:cs="Times New Roman"/>
          <w:sz w:val="28"/>
          <w:highlight w:val="yellow"/>
        </w:rPr>
        <w:lastRenderedPageBreak/>
        <w:t>đồng Việ</w:t>
      </w:r>
      <w:r w:rsidR="00F65A06" w:rsidRPr="002F42AD">
        <w:rPr>
          <w:rFonts w:ascii="Times New Roman" w:hAnsi="Times New Roman" w:cs="Times New Roman"/>
          <w:sz w:val="28"/>
          <w:highlight w:val="yellow"/>
        </w:rPr>
        <w:t xml:space="preserve">t Nam </w:t>
      </w:r>
      <w:r w:rsidRPr="002F42AD">
        <w:rPr>
          <w:rFonts w:ascii="Times New Roman" w:hAnsi="Times New Roman" w:cs="Times New Roman"/>
          <w:sz w:val="28"/>
          <w:highlight w:val="yellow"/>
        </w:rPr>
        <w:t xml:space="preserve">theo tỷ giá </w:t>
      </w:r>
      <w:r w:rsidR="00C63DE9" w:rsidRPr="002F42AD">
        <w:rPr>
          <w:rFonts w:ascii="Times New Roman" w:hAnsi="Times New Roman" w:cs="Times New Roman"/>
          <w:sz w:val="28"/>
          <w:highlight w:val="yellow"/>
        </w:rPr>
        <w:t xml:space="preserve">giao </w:t>
      </w:r>
      <w:r w:rsidR="00F65A06" w:rsidRPr="002F42AD">
        <w:rPr>
          <w:rFonts w:ascii="Times New Roman" w:hAnsi="Times New Roman" w:cs="Times New Roman"/>
          <w:sz w:val="28"/>
          <w:highlight w:val="yellow"/>
        </w:rPr>
        <w:t xml:space="preserve">ngay </w:t>
      </w:r>
      <w:r w:rsidR="00C63DE9" w:rsidRPr="002F42AD">
        <w:rPr>
          <w:rFonts w:ascii="Times New Roman" w:hAnsi="Times New Roman" w:cs="Times New Roman"/>
          <w:sz w:val="28"/>
          <w:highlight w:val="yellow"/>
        </w:rPr>
        <w:t>tại thời điểm cuối ngày làm việc</w:t>
      </w:r>
      <w:r w:rsidR="00F65A06" w:rsidRPr="002F42AD">
        <w:rPr>
          <w:rFonts w:ascii="Times New Roman" w:hAnsi="Times New Roman" w:cs="Times New Roman"/>
          <w:sz w:val="28"/>
          <w:highlight w:val="yellow"/>
        </w:rPr>
        <w:t xml:space="preserve">) </w:t>
      </w:r>
      <w:r w:rsidRPr="002F42AD">
        <w:rPr>
          <w:rFonts w:ascii="Times New Roman" w:hAnsi="Times New Roman" w:cs="Times New Roman"/>
          <w:sz w:val="28"/>
          <w:highlight w:val="yellow"/>
        </w:rPr>
        <w:t>theo công thức sau đây:</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27"/>
        <w:gridCol w:w="992"/>
      </w:tblGrid>
      <w:tr w:rsidR="00DF076D" w:rsidRPr="00DF076D" w:rsidTr="00C93E42">
        <w:tc>
          <w:tcPr>
            <w:tcW w:w="1700" w:type="dxa"/>
            <w:vMerge w:val="restart"/>
            <w:tcBorders>
              <w:top w:val="nil"/>
              <w:left w:val="nil"/>
              <w:bottom w:val="nil"/>
              <w:right w:val="nil"/>
            </w:tcBorders>
            <w:shd w:val="clear" w:color="auto" w:fill="auto"/>
            <w:vAlign w:val="center"/>
          </w:tcPr>
          <w:p w:rsidR="00DF076D" w:rsidRPr="00DF076D" w:rsidRDefault="00DF076D" w:rsidP="00F22F6F">
            <w:pPr>
              <w:spacing w:after="0" w:line="240" w:lineRule="auto"/>
              <w:jc w:val="right"/>
              <w:rPr>
                <w:rFonts w:ascii="Times New Roman" w:hAnsi="Times New Roman" w:cs="Times New Roman"/>
                <w:sz w:val="28"/>
              </w:rPr>
            </w:pPr>
            <w:r w:rsidRPr="00DF076D">
              <w:rPr>
                <w:rFonts w:ascii="Times New Roman" w:hAnsi="Times New Roman" w:cs="Times New Roman"/>
                <w:sz w:val="28"/>
              </w:rPr>
              <w:t>A (%) =</w:t>
            </w:r>
          </w:p>
        </w:tc>
        <w:tc>
          <w:tcPr>
            <w:tcW w:w="427" w:type="dxa"/>
            <w:tcBorders>
              <w:top w:val="nil"/>
              <w:left w:val="nil"/>
              <w:bottom w:val="single" w:sz="4" w:space="0" w:color="auto"/>
              <w:right w:val="nil"/>
            </w:tcBorders>
            <w:shd w:val="clear" w:color="auto" w:fill="auto"/>
          </w:tcPr>
          <w:p w:rsidR="00DF076D" w:rsidRPr="00DF076D" w:rsidRDefault="00DF076D" w:rsidP="00F22F6F">
            <w:pPr>
              <w:spacing w:after="0" w:line="240" w:lineRule="auto"/>
              <w:jc w:val="both"/>
              <w:rPr>
                <w:rFonts w:ascii="Times New Roman" w:hAnsi="Times New Roman" w:cs="Times New Roman"/>
                <w:sz w:val="28"/>
              </w:rPr>
            </w:pPr>
            <w:r w:rsidRPr="00DF076D">
              <w:rPr>
                <w:rFonts w:ascii="Times New Roman" w:hAnsi="Times New Roman" w:cs="Times New Roman"/>
                <w:sz w:val="28"/>
              </w:rPr>
              <w:t>B</w:t>
            </w:r>
          </w:p>
        </w:tc>
        <w:tc>
          <w:tcPr>
            <w:tcW w:w="992" w:type="dxa"/>
            <w:vMerge w:val="restart"/>
            <w:tcBorders>
              <w:top w:val="nil"/>
              <w:left w:val="nil"/>
              <w:bottom w:val="nil"/>
              <w:right w:val="nil"/>
            </w:tcBorders>
            <w:shd w:val="clear" w:color="auto" w:fill="auto"/>
            <w:vAlign w:val="center"/>
          </w:tcPr>
          <w:p w:rsidR="00DF076D" w:rsidRPr="00DF076D" w:rsidRDefault="00DF076D" w:rsidP="00F22F6F">
            <w:pPr>
              <w:spacing w:after="0" w:line="240" w:lineRule="auto"/>
              <w:jc w:val="both"/>
              <w:rPr>
                <w:rFonts w:ascii="Times New Roman" w:hAnsi="Times New Roman" w:cs="Times New Roman"/>
                <w:sz w:val="28"/>
              </w:rPr>
            </w:pPr>
            <w:r w:rsidRPr="00DF076D">
              <w:rPr>
                <w:rFonts w:ascii="Times New Roman" w:hAnsi="Times New Roman" w:cs="Times New Roman"/>
                <w:sz w:val="28"/>
              </w:rPr>
              <w:t>x 100</w:t>
            </w:r>
          </w:p>
        </w:tc>
      </w:tr>
      <w:tr w:rsidR="00DF076D" w:rsidRPr="00DF076D" w:rsidTr="00C93E42">
        <w:trPr>
          <w:trHeight w:val="437"/>
        </w:trPr>
        <w:tc>
          <w:tcPr>
            <w:tcW w:w="1700" w:type="dxa"/>
            <w:vMerge/>
            <w:tcBorders>
              <w:top w:val="nil"/>
              <w:left w:val="nil"/>
              <w:bottom w:val="nil"/>
              <w:right w:val="nil"/>
            </w:tcBorders>
            <w:shd w:val="clear" w:color="auto" w:fill="auto"/>
          </w:tcPr>
          <w:p w:rsidR="00DF076D" w:rsidRPr="00DF076D" w:rsidRDefault="00DF076D" w:rsidP="00C93E42">
            <w:pPr>
              <w:spacing w:before="120"/>
              <w:jc w:val="both"/>
              <w:rPr>
                <w:rFonts w:ascii="Times New Roman" w:hAnsi="Times New Roman" w:cs="Times New Roman"/>
                <w:sz w:val="28"/>
              </w:rPr>
            </w:pPr>
          </w:p>
        </w:tc>
        <w:tc>
          <w:tcPr>
            <w:tcW w:w="427" w:type="dxa"/>
            <w:tcBorders>
              <w:top w:val="single" w:sz="4" w:space="0" w:color="auto"/>
              <w:left w:val="nil"/>
              <w:bottom w:val="nil"/>
              <w:right w:val="nil"/>
            </w:tcBorders>
            <w:shd w:val="clear" w:color="auto" w:fill="auto"/>
          </w:tcPr>
          <w:p w:rsidR="00DF076D" w:rsidRPr="00DF076D" w:rsidRDefault="00DF076D" w:rsidP="00F22F6F">
            <w:pPr>
              <w:spacing w:after="0" w:line="240" w:lineRule="auto"/>
              <w:jc w:val="both"/>
              <w:rPr>
                <w:rFonts w:ascii="Times New Roman" w:hAnsi="Times New Roman" w:cs="Times New Roman"/>
                <w:sz w:val="28"/>
              </w:rPr>
            </w:pPr>
            <w:r w:rsidRPr="00DF076D">
              <w:rPr>
                <w:rFonts w:ascii="Times New Roman" w:hAnsi="Times New Roman" w:cs="Times New Roman"/>
                <w:sz w:val="28"/>
              </w:rPr>
              <w:t>C</w:t>
            </w:r>
          </w:p>
        </w:tc>
        <w:tc>
          <w:tcPr>
            <w:tcW w:w="992" w:type="dxa"/>
            <w:vMerge/>
            <w:tcBorders>
              <w:top w:val="nil"/>
              <w:left w:val="nil"/>
              <w:bottom w:val="nil"/>
              <w:right w:val="nil"/>
            </w:tcBorders>
            <w:shd w:val="clear" w:color="auto" w:fill="auto"/>
          </w:tcPr>
          <w:p w:rsidR="00DF076D" w:rsidRPr="00DF076D" w:rsidRDefault="00DF076D" w:rsidP="00C93E42">
            <w:pPr>
              <w:spacing w:before="120"/>
              <w:jc w:val="both"/>
              <w:rPr>
                <w:rFonts w:ascii="Times New Roman" w:hAnsi="Times New Roman" w:cs="Times New Roman"/>
                <w:sz w:val="28"/>
              </w:rPr>
            </w:pPr>
          </w:p>
        </w:tc>
      </w:tr>
    </w:tbl>
    <w:p w:rsidR="00DF076D" w:rsidRPr="00DF076D" w:rsidRDefault="00DF076D" w:rsidP="00804A18">
      <w:pPr>
        <w:spacing w:before="120" w:after="120" w:line="264" w:lineRule="auto"/>
        <w:ind w:firstLine="709"/>
        <w:jc w:val="both"/>
        <w:rPr>
          <w:rFonts w:ascii="Times New Roman" w:hAnsi="Times New Roman" w:cs="Times New Roman"/>
          <w:sz w:val="28"/>
        </w:rPr>
      </w:pPr>
      <w:r w:rsidRPr="00DF076D">
        <w:rPr>
          <w:rFonts w:ascii="Times New Roman" w:hAnsi="Times New Roman" w:cs="Times New Roman"/>
          <w:sz w:val="40"/>
          <w:szCs w:val="40"/>
        </w:rPr>
        <w:tab/>
      </w:r>
      <w:r w:rsidRPr="00DF076D">
        <w:rPr>
          <w:rFonts w:ascii="Times New Roman" w:hAnsi="Times New Roman" w:cs="Times New Roman"/>
          <w:sz w:val="28"/>
        </w:rPr>
        <w:t>Trong đó:</w:t>
      </w:r>
    </w:p>
    <w:p w:rsidR="00DF076D" w:rsidRPr="00DF076D" w:rsidRDefault="00DF076D" w:rsidP="00804A18">
      <w:pPr>
        <w:spacing w:before="120" w:after="120" w:line="264" w:lineRule="auto"/>
        <w:ind w:firstLine="709"/>
        <w:jc w:val="both"/>
        <w:rPr>
          <w:rFonts w:ascii="Times New Roman" w:hAnsi="Times New Roman" w:cs="Times New Roman"/>
          <w:sz w:val="28"/>
        </w:rPr>
      </w:pPr>
      <w:r w:rsidRPr="00DF076D">
        <w:rPr>
          <w:rFonts w:ascii="Times New Roman" w:hAnsi="Times New Roman" w:cs="Times New Roman"/>
          <w:sz w:val="28"/>
        </w:rPr>
        <w:t>- A: Tỷ lệ của nguồn vốn ngắn hạn được sử dụng để cho vay trung hạn và dài hạn.</w:t>
      </w:r>
    </w:p>
    <w:p w:rsidR="00DF076D" w:rsidRPr="00DF076D" w:rsidRDefault="00DF076D" w:rsidP="00804A18">
      <w:pPr>
        <w:spacing w:before="120" w:after="120" w:line="264" w:lineRule="auto"/>
        <w:ind w:firstLine="709"/>
        <w:jc w:val="both"/>
        <w:rPr>
          <w:rFonts w:ascii="Times New Roman" w:hAnsi="Times New Roman" w:cs="Times New Roman"/>
          <w:sz w:val="28"/>
        </w:rPr>
      </w:pPr>
      <w:r w:rsidRPr="00DF076D">
        <w:rPr>
          <w:rFonts w:ascii="Times New Roman" w:hAnsi="Times New Roman" w:cs="Times New Roman"/>
          <w:sz w:val="28"/>
        </w:rPr>
        <w:t>- B: Tổng dư nợ cho vay trung hạn, dài hạn quy định tại khoản 2 Điều này trừ đi tổng nguồn vốn trung hạn, dài hạn quy định tại khoản 3 Điều này.</w:t>
      </w:r>
    </w:p>
    <w:p w:rsidR="00D30208" w:rsidRDefault="00DF076D" w:rsidP="00804A18">
      <w:pPr>
        <w:spacing w:before="120" w:after="120" w:line="264" w:lineRule="auto"/>
        <w:ind w:firstLine="709"/>
        <w:jc w:val="both"/>
        <w:rPr>
          <w:rFonts w:ascii="Times New Roman" w:hAnsi="Times New Roman" w:cs="Times New Roman"/>
          <w:sz w:val="28"/>
        </w:rPr>
      </w:pPr>
      <w:r w:rsidRPr="00DF076D">
        <w:rPr>
          <w:rFonts w:ascii="Times New Roman" w:hAnsi="Times New Roman" w:cs="Times New Roman"/>
          <w:sz w:val="28"/>
        </w:rPr>
        <w:t>- C: Nguồn vốn ngắn hạn quy định tại khoản 4 Điều này.</w:t>
      </w:r>
    </w:p>
    <w:p w:rsidR="00D30208" w:rsidRPr="00A6531B" w:rsidRDefault="00D30208" w:rsidP="00D30208">
      <w:pPr>
        <w:spacing w:before="120" w:after="0" w:line="240" w:lineRule="auto"/>
        <w:ind w:firstLine="709"/>
        <w:jc w:val="both"/>
        <w:rPr>
          <w:rFonts w:ascii="Times New Roman" w:hAnsi="Times New Roman" w:cs="Times New Roman"/>
          <w:sz w:val="28"/>
          <w:szCs w:val="28"/>
        </w:rPr>
      </w:pPr>
      <w:r w:rsidRPr="00A6531B">
        <w:rPr>
          <w:rFonts w:ascii="Times New Roman" w:hAnsi="Times New Roman" w:cs="Times New Roman"/>
          <w:sz w:val="28"/>
          <w:szCs w:val="28"/>
        </w:rPr>
        <w:tab/>
        <w:t>2. Tổng dư nợ cho vay trung hạn, dài hạn bao gồm:</w:t>
      </w:r>
    </w:p>
    <w:p w:rsidR="00D30208" w:rsidRPr="00A6531B" w:rsidRDefault="00D30208" w:rsidP="00D30208">
      <w:pPr>
        <w:spacing w:before="120" w:after="0" w:line="240" w:lineRule="auto"/>
        <w:ind w:firstLine="709"/>
        <w:jc w:val="both"/>
        <w:rPr>
          <w:rFonts w:ascii="Times New Roman" w:hAnsi="Times New Roman" w:cs="Times New Roman"/>
          <w:sz w:val="28"/>
          <w:szCs w:val="28"/>
        </w:rPr>
      </w:pPr>
      <w:r w:rsidRPr="00A6531B">
        <w:rPr>
          <w:rFonts w:ascii="Times New Roman" w:hAnsi="Times New Roman" w:cs="Times New Roman"/>
          <w:sz w:val="28"/>
          <w:szCs w:val="28"/>
        </w:rPr>
        <w:t>a) Dư nợ các khoản sau đây có thời hạn còn lại trên 01 (một) năm:</w:t>
      </w:r>
    </w:p>
    <w:p w:rsidR="00D30208" w:rsidRPr="00A6531B" w:rsidRDefault="00D30208" w:rsidP="00D30208">
      <w:pPr>
        <w:spacing w:before="120" w:after="0" w:line="240" w:lineRule="auto"/>
        <w:ind w:firstLine="709"/>
        <w:jc w:val="both"/>
        <w:rPr>
          <w:rFonts w:ascii="Times New Roman" w:hAnsi="Times New Roman" w:cs="Times New Roman"/>
          <w:sz w:val="28"/>
          <w:szCs w:val="28"/>
        </w:rPr>
      </w:pPr>
      <w:r w:rsidRPr="00A6531B">
        <w:rPr>
          <w:rFonts w:ascii="Times New Roman" w:hAnsi="Times New Roman" w:cs="Times New Roman"/>
          <w:sz w:val="28"/>
          <w:szCs w:val="28"/>
        </w:rPr>
        <w:t>(i) Các khoản cho vay, cho thuê tài chính (bao gồm cả khoản cho vay, cho thuê tài chính đối với tổ chức tín dụng, chi nhánh ngân hàng nước ngoài khác tại Việt Nam), trừ:</w:t>
      </w:r>
    </w:p>
    <w:p w:rsidR="00D30208" w:rsidRPr="00A6531B" w:rsidRDefault="00D30208" w:rsidP="00D30208">
      <w:pPr>
        <w:spacing w:before="120" w:after="0" w:line="240" w:lineRule="auto"/>
        <w:ind w:firstLine="709"/>
        <w:jc w:val="both"/>
        <w:rPr>
          <w:rFonts w:ascii="Times New Roman" w:hAnsi="Times New Roman" w:cs="Times New Roman"/>
          <w:sz w:val="28"/>
          <w:szCs w:val="28"/>
        </w:rPr>
      </w:pPr>
      <w:r w:rsidRPr="00A6531B">
        <w:rPr>
          <w:rFonts w:ascii="Times New Roman" w:hAnsi="Times New Roman" w:cs="Times New Roman"/>
          <w:sz w:val="28"/>
          <w:szCs w:val="28"/>
        </w:rPr>
        <w:t>- Khoản cho vay, cho thuê tài chính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cho thuê tài chính này do Chính phủ, cá nhân và tổ chức này chịu;</w:t>
      </w:r>
    </w:p>
    <w:p w:rsidR="00D30208" w:rsidRPr="00A6531B" w:rsidRDefault="00D30208" w:rsidP="00D30208">
      <w:pPr>
        <w:spacing w:before="120" w:after="0" w:line="240" w:lineRule="auto"/>
        <w:ind w:firstLine="709"/>
        <w:jc w:val="both"/>
        <w:rPr>
          <w:rFonts w:ascii="Times New Roman" w:hAnsi="Times New Roman" w:cs="Times New Roman"/>
          <w:sz w:val="28"/>
          <w:szCs w:val="28"/>
        </w:rPr>
      </w:pPr>
      <w:r w:rsidRPr="00A6531B">
        <w:rPr>
          <w:rFonts w:ascii="Times New Roman" w:hAnsi="Times New Roman" w:cs="Times New Roman"/>
          <w:sz w:val="28"/>
          <w:szCs w:val="28"/>
        </w:rPr>
        <w:t>- Khoản cho vay các chương trình, dự án bằng nguồn vay tái cấp vốn Ngân hàng Nhà nước theo quyết định của Chính phủ, Thủ tướng Chính phủ.</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(ii) Các khoản ủy thác cho tổ chức tín dụng, chi nhánh ngân hàng nước ngoài khác cho vay, cho thuê tài chính mà tổ chức tín dụng, chi nhánh ngân hàng nước ngoài ủy thác chịu rủi ro;</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(iii) Các khoản mua, đầu tư vào giấy tờ có giá (bao gồm cả trái phiếu do Công ty quản lý tài sản của các tổ chức tín dụng Việt Nam phát hành), trừ giấy tờ có giá được sử dụng trong các giao dịch của Ngân hàng Nhà nước;</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(iv) Đối với khoản cho vay, cho thuê tài chính, ủy thác quy định tại tiết (i) và tiết (ii) điểm này có nhiều khoản nợ tương ứng với kỳ hạn trả nợ khác nhau thì thời hạn còn lại để tính vào dư nợ cho vay trung, dài hạn được xác định đối với từng khoản nợ tương ứng với kỳ hạn trả nợ của khoản nợ đó.</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b) Dư nợ gốc bị quá hạn của khoản cho vay, ủy thác cho vay, cho thuê tài chính, số dư mua, đầu tư giấy tờ có giá.</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3. Nguồn vốn trung hạn, dài hạn bao gồm số dư có thời hạn còn lại trên 01 (một) năm của các khoản sau đây:</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 xml:space="preserve">a) Tiền gửi của cá nhân; </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lastRenderedPageBreak/>
        <w:t>b) Tiền gửi của tổ chức trong nước và nước ngoài</w:t>
      </w:r>
      <w:r>
        <w:rPr>
          <w:rFonts w:ascii="Times New Roman" w:hAnsi="Times New Roman" w:cs="Times New Roman"/>
          <w:sz w:val="28"/>
          <w:szCs w:val="28"/>
        </w:rPr>
        <w:t>,</w:t>
      </w:r>
      <w:r w:rsidRPr="00A6531B">
        <w:rPr>
          <w:rFonts w:ascii="Times New Roman" w:hAnsi="Times New Roman" w:cs="Times New Roman"/>
          <w:sz w:val="28"/>
          <w:szCs w:val="28"/>
        </w:rPr>
        <w:t xml:space="preserve"> trừ tiền gửi các loại của Kho bạc Nhà nước;</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c) Tiền vay tổ chức tài chính trong nước và nước ngoài (trừ tiền vay của tổ chức tín dụng, chi nhánh ngân hàng nước ngoài khác tại Việt Nam);</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d) Tiền vay Chính phủ dưới hình thức vốn tài trợ ủy thác đầu tư mà tổ chức tín dụng, chi nhánh ngân hàng nước ngoài chịu rủi ro;</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đ) Tiền vay của tổ chức tín dụng, chi nhánh ngân hàng nước ngoài đầu mối trong trường hợp tổ chức tín dụng, chi nhánh ngân hàng nước ngoài tham gia cho vay lại đối với các dự án tài trợ, ủy thác đầu tư và các rủi ro liên quan đến khoản cho vay do tổ chức tín dụng, chi nhánh ngân hàng nước ngoài chịu;</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e) Tiền huy động từ phát hành kỳ phiếu, tín phiếu, chứng chỉ tiền gửi, trái phiếu;</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g) Vốn điều lệ, vốn được cấp, quỹ dự trữ bổ sung vốn điều lệ, quỹ đầu tư phát triển, và quỹ dự phòng tài chính còn lại sau khi trừ đi giá trị nguyên giá của các khoản mua, đầu tư tài sản cố định, góp vốn, mua cổ phần theo quy định của pháp luật;</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h) Thặng dư vốn cổ phần, lợi nhuận không chia còn lại sau khi mua cổ phiếu quỹ;</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 Tiền vay tổ chức tín dụng, chi nhánh ngân hàng nước ngoài khác tại Việt Nam đối với trường hợp tổ chức tín dụng phi ngân hàng;</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k) Tiền gửi của quỹ tín dụng nhân dân đối với trường hợp ngân hàng hợp tác xã.</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4.  Nguồn vốn ngắn hạn bao gồm số dư có thời hạn còn lại đến 01</w:t>
      </w:r>
      <w:r>
        <w:rPr>
          <w:rFonts w:ascii="Times New Roman" w:hAnsi="Times New Roman" w:cs="Times New Roman"/>
          <w:sz w:val="28"/>
          <w:szCs w:val="28"/>
        </w:rPr>
        <w:t xml:space="preserve"> </w:t>
      </w:r>
      <w:r w:rsidRPr="00A6531B">
        <w:rPr>
          <w:rFonts w:ascii="Times New Roman" w:hAnsi="Times New Roman" w:cs="Times New Roman"/>
          <w:sz w:val="28"/>
          <w:szCs w:val="28"/>
        </w:rPr>
        <w:t>(một) năm (bao gồm cả các khoản tiền gửi không kỳ hạn) của các khoản sau đây:</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 xml:space="preserve">a) Tiền gửi của cá nhân, trừ tiền ký quỹ và tiền gửi vốn chuyên dùng; </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b) Tiền gửi của tổ chức trong nước và nước ngoài, trừ các khoản sau đây:</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 Tiền gửi các loại của Kho bạc Nhà nước;</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(ii) Tiền ký quỹ và tiền gửi vốn chuyên dùng của khách hàng;</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(iii) Tiền gửi của tổ chức tín dụng, chi nhánh ngân hàng nước ngoài khác tại Việt Nam.</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c) Tiền vay tổ chức tài chính trong nước và nước ngoài (trừ tiền vay của tổ chức tín dụng, chi nhánh ngân hàng nước ngoài khác tại Việt Nam);</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d) Tiền vay Chính phủ dưới hình thức vốn tài trợ ủy thác đầu tư mà tổ chức tín dụng, chi nhánh ngân hàng nước ngoài chịu rủi ro;</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đ) Tiền vay của tổ chức tín dụng, chi nhánh ngân hàng nước ngoài đầu mối trong trường hợp tổ chức tín dụng, chi nhánh ngân hàng nước ngoài tham gia cho vay lại đối với các dự án tài trợ, ủy thác đầu tư và các rủi ro liên quan đến khoản cho vay do tổ chức tín dụng, chi nhánh ngân hàng nước ngoài chịu;</w:t>
      </w:r>
    </w:p>
    <w:p w:rsidR="00D30208" w:rsidRPr="00A6531B" w:rsidRDefault="00D30208" w:rsidP="00D30208">
      <w:pPr>
        <w:spacing w:before="120" w:after="0" w:line="240" w:lineRule="auto"/>
        <w:jc w:val="both"/>
        <w:rPr>
          <w:rFonts w:ascii="Times New Roman" w:hAnsi="Times New Roman" w:cs="Times New Roman"/>
          <w:sz w:val="28"/>
          <w:szCs w:val="28"/>
        </w:rPr>
      </w:pPr>
      <w:r w:rsidRPr="00A6531B">
        <w:rPr>
          <w:rFonts w:ascii="Times New Roman" w:hAnsi="Times New Roman" w:cs="Times New Roman"/>
          <w:sz w:val="28"/>
          <w:szCs w:val="28"/>
        </w:rPr>
        <w:lastRenderedPageBreak/>
        <w:tab/>
        <w:t>e) Tiền huy động từ phát hành kỳ phiếu, tín phiếu, chứng chỉ tiền gửi, trái phiếu;</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g) Tiền gửi, tiền vay tổ chức tín dụng, chi nhánh ngân hàng nước ngoài khác tại Việt Nam đối với trường hợp tổ chức tín dụng phi ngân hàng;</w:t>
      </w:r>
    </w:p>
    <w:p w:rsidR="00D30208" w:rsidRPr="00A6531B" w:rsidRDefault="00D30208" w:rsidP="00D30208">
      <w:pPr>
        <w:spacing w:before="120" w:after="0" w:line="240" w:lineRule="auto"/>
        <w:ind w:firstLine="709"/>
        <w:jc w:val="both"/>
        <w:rPr>
          <w:rFonts w:ascii="Times New Roman" w:hAnsi="Times New Roman" w:cs="Times New Roman"/>
          <w:sz w:val="28"/>
          <w:szCs w:val="28"/>
        </w:rPr>
      </w:pPr>
      <w:r w:rsidRPr="00A6531B">
        <w:rPr>
          <w:rFonts w:ascii="Times New Roman" w:hAnsi="Times New Roman" w:cs="Times New Roman"/>
          <w:sz w:val="28"/>
          <w:szCs w:val="28"/>
        </w:rPr>
        <w:t>h) Tiền gửi của quỹ tín dụng nhân dân đối với trường hợp ngân hàng hợp tác xã.</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 xml:space="preserve">5. Tổ chức tín dụng, chi nhánh ngân hàng nước ngoài phải tuân thủ tỷ lệ tối đa </w:t>
      </w:r>
      <w:r>
        <w:rPr>
          <w:rFonts w:ascii="Times New Roman" w:hAnsi="Times New Roman" w:cs="Times New Roman"/>
          <w:sz w:val="28"/>
          <w:szCs w:val="28"/>
        </w:rPr>
        <w:t xml:space="preserve">của </w:t>
      </w:r>
      <w:r w:rsidRPr="00A6531B">
        <w:rPr>
          <w:rFonts w:ascii="Times New Roman" w:hAnsi="Times New Roman" w:cs="Times New Roman"/>
          <w:sz w:val="28"/>
          <w:szCs w:val="28"/>
        </w:rPr>
        <w:t>nguồn vốn ngắn hạn được sử dụng để cho vay trung hạn và dài hạn theo lộ trình sau đây:</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a) Từ ngày 01 tháng 01 năm 2018 đến hết ngày 31 tháng 12 năm 2018:</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 Ngân hàng, chi nhánh ngân hàng nước ngoài: 45%;</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(ii) Tổ chức tín dụng phi ngân hàng: 90%.</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b) Từ ngày 01 tháng 01 năm 2019:</w:t>
      </w:r>
    </w:p>
    <w:p w:rsidR="00D30208" w:rsidRPr="00A6531B" w:rsidRDefault="00D30208" w:rsidP="00D30208">
      <w:pPr>
        <w:spacing w:before="120" w:after="0" w:line="240" w:lineRule="auto"/>
        <w:ind w:firstLine="720"/>
        <w:jc w:val="both"/>
        <w:rPr>
          <w:rFonts w:ascii="Times New Roman" w:hAnsi="Times New Roman" w:cs="Times New Roman"/>
          <w:sz w:val="28"/>
          <w:szCs w:val="28"/>
        </w:rPr>
      </w:pPr>
      <w:r w:rsidRPr="00A6531B">
        <w:rPr>
          <w:rFonts w:ascii="Times New Roman" w:hAnsi="Times New Roman" w:cs="Times New Roman"/>
          <w:sz w:val="28"/>
          <w:szCs w:val="28"/>
        </w:rPr>
        <w:t>(i) Ngân hàng, chi nhánh ngân hàng nước ngoài: 40%;</w:t>
      </w:r>
    </w:p>
    <w:p w:rsidR="00DF076D" w:rsidRDefault="00D30208" w:rsidP="00804A18">
      <w:pPr>
        <w:spacing w:before="120" w:after="120" w:line="264" w:lineRule="auto"/>
        <w:ind w:firstLine="709"/>
        <w:jc w:val="both"/>
        <w:rPr>
          <w:rFonts w:ascii="Times New Roman" w:hAnsi="Times New Roman" w:cs="Times New Roman"/>
          <w:sz w:val="28"/>
        </w:rPr>
      </w:pPr>
      <w:r w:rsidRPr="00A6531B">
        <w:rPr>
          <w:rFonts w:ascii="Times New Roman" w:hAnsi="Times New Roman" w:cs="Times New Roman"/>
          <w:sz w:val="28"/>
          <w:szCs w:val="28"/>
        </w:rPr>
        <w:t>(ii) Tổ chức tín dụng phi ngân hàng: 90%.”</w:t>
      </w:r>
    </w:p>
    <w:p w:rsidR="00DF076D" w:rsidRDefault="00EC5E3A" w:rsidP="00804A18">
      <w:pPr>
        <w:spacing w:before="120" w:after="120" w:line="264" w:lineRule="auto"/>
        <w:ind w:firstLine="709"/>
        <w:jc w:val="both"/>
        <w:rPr>
          <w:rFonts w:ascii="Times New Roman" w:hAnsi="Times New Roman" w:cs="Times New Roman"/>
          <w:sz w:val="28"/>
        </w:rPr>
      </w:pPr>
      <w:r>
        <w:rPr>
          <w:rFonts w:ascii="Times New Roman" w:hAnsi="Times New Roman" w:cs="Times New Roman"/>
          <w:sz w:val="28"/>
        </w:rPr>
        <w:t>5</w:t>
      </w:r>
      <w:r w:rsidR="003D580E">
        <w:rPr>
          <w:rFonts w:ascii="Times New Roman" w:hAnsi="Times New Roman" w:cs="Times New Roman"/>
          <w:sz w:val="28"/>
        </w:rPr>
        <w:t>. Khoản 1 Điều 21 được sửa đổi, bổ sung như sau:</w:t>
      </w:r>
    </w:p>
    <w:p w:rsidR="003D580E" w:rsidRPr="003D580E" w:rsidRDefault="003D580E" w:rsidP="00804A18">
      <w:pPr>
        <w:spacing w:before="120" w:after="120" w:line="264" w:lineRule="auto"/>
        <w:ind w:firstLine="709"/>
        <w:jc w:val="both"/>
        <w:rPr>
          <w:rFonts w:ascii="Times New Roman" w:hAnsi="Times New Roman" w:cs="Times New Roman"/>
          <w:sz w:val="28"/>
        </w:rPr>
      </w:pPr>
      <w:r w:rsidRPr="005758F1">
        <w:rPr>
          <w:rFonts w:ascii="Times New Roman" w:hAnsi="Times New Roman" w:cs="Times New Roman"/>
          <w:sz w:val="28"/>
          <w:highlight w:val="yellow"/>
        </w:rPr>
        <w:t>“1. Ngân hàng thương mại, ngân hàng hợp tác xã, chi nhánh ngân hàng nước ngoài thực hiện tỷ lệ tối đa dư nợ cho vay so với tổng tiền gửi theo đồng Việt Nam</w:t>
      </w:r>
      <w:r w:rsidR="00F65A06" w:rsidRPr="005758F1">
        <w:rPr>
          <w:rFonts w:ascii="Times New Roman" w:hAnsi="Times New Roman" w:cs="Times New Roman"/>
          <w:sz w:val="28"/>
          <w:highlight w:val="yellow"/>
        </w:rPr>
        <w:t xml:space="preserve"> (</w:t>
      </w:r>
      <w:r w:rsidRPr="005758F1">
        <w:rPr>
          <w:rFonts w:ascii="Times New Roman" w:hAnsi="Times New Roman" w:cs="Times New Roman"/>
          <w:sz w:val="28"/>
          <w:highlight w:val="yellow"/>
        </w:rPr>
        <w:t>bao gồm đồng Việt Nam và các loại ngoại tệ được quy đổi sang đồng Việ</w:t>
      </w:r>
      <w:r w:rsidR="00667BC7" w:rsidRPr="005758F1">
        <w:rPr>
          <w:rFonts w:ascii="Times New Roman" w:hAnsi="Times New Roman" w:cs="Times New Roman"/>
          <w:sz w:val="28"/>
          <w:highlight w:val="yellow"/>
        </w:rPr>
        <w:t xml:space="preserve">t Nam </w:t>
      </w:r>
      <w:r w:rsidR="00C63DE9" w:rsidRPr="005758F1">
        <w:rPr>
          <w:rFonts w:ascii="Times New Roman" w:hAnsi="Times New Roman" w:cs="Times New Roman"/>
          <w:sz w:val="28"/>
          <w:highlight w:val="yellow"/>
        </w:rPr>
        <w:t xml:space="preserve">theo tỷ giá giao </w:t>
      </w:r>
      <w:r w:rsidR="00F65A06" w:rsidRPr="005758F1">
        <w:rPr>
          <w:rFonts w:ascii="Times New Roman" w:hAnsi="Times New Roman" w:cs="Times New Roman"/>
          <w:sz w:val="28"/>
          <w:highlight w:val="yellow"/>
        </w:rPr>
        <w:t xml:space="preserve">ngay </w:t>
      </w:r>
      <w:r w:rsidR="00C63DE9" w:rsidRPr="005758F1">
        <w:rPr>
          <w:rFonts w:ascii="Times New Roman" w:hAnsi="Times New Roman" w:cs="Times New Roman"/>
          <w:sz w:val="28"/>
          <w:highlight w:val="yellow"/>
        </w:rPr>
        <w:t>tại thời điểm cuối ngày làm việc</w:t>
      </w:r>
      <w:r w:rsidR="00F65A06" w:rsidRPr="005758F1">
        <w:rPr>
          <w:rFonts w:ascii="Times New Roman" w:hAnsi="Times New Roman" w:cs="Times New Roman"/>
          <w:sz w:val="28"/>
          <w:highlight w:val="yellow"/>
        </w:rPr>
        <w:t>)</w:t>
      </w:r>
      <w:r w:rsidRPr="005758F1">
        <w:rPr>
          <w:rFonts w:ascii="Times New Roman" w:hAnsi="Times New Roman" w:cs="Times New Roman"/>
          <w:sz w:val="28"/>
          <w:highlight w:val="yellow"/>
        </w:rPr>
        <w:t xml:space="preserve"> được xác định theo công thức sau:</w:t>
      </w:r>
    </w:p>
    <w:tbl>
      <w:tblPr>
        <w:tblW w:w="0" w:type="auto"/>
        <w:tblInd w:w="817" w:type="dxa"/>
        <w:tblLayout w:type="fixed"/>
        <w:tblLook w:val="04A0" w:firstRow="1" w:lastRow="0" w:firstColumn="1" w:lastColumn="0" w:noHBand="0" w:noVBand="1"/>
      </w:tblPr>
      <w:tblGrid>
        <w:gridCol w:w="3260"/>
        <w:gridCol w:w="426"/>
        <w:gridCol w:w="2694"/>
      </w:tblGrid>
      <w:tr w:rsidR="003D580E" w:rsidRPr="003D580E" w:rsidTr="00C93E42">
        <w:tc>
          <w:tcPr>
            <w:tcW w:w="3260" w:type="dxa"/>
            <w:vMerge w:val="restart"/>
            <w:shd w:val="clear" w:color="auto" w:fill="auto"/>
            <w:vAlign w:val="center"/>
          </w:tcPr>
          <w:p w:rsidR="003D580E" w:rsidRPr="003D580E" w:rsidRDefault="003D580E" w:rsidP="0067787D">
            <w:pPr>
              <w:spacing w:after="0" w:line="240" w:lineRule="auto"/>
              <w:jc w:val="right"/>
              <w:rPr>
                <w:rFonts w:ascii="Times New Roman" w:eastAsia="Arial" w:hAnsi="Times New Roman" w:cs="Times New Roman"/>
                <w:sz w:val="28"/>
                <w:szCs w:val="20"/>
              </w:rPr>
            </w:pPr>
            <w:r w:rsidRPr="003D580E">
              <w:rPr>
                <w:rFonts w:ascii="Times New Roman" w:eastAsia="Arial" w:hAnsi="Times New Roman" w:cs="Times New Roman"/>
                <w:sz w:val="28"/>
                <w:szCs w:val="20"/>
              </w:rPr>
              <w:t>LDR =</w:t>
            </w:r>
          </w:p>
        </w:tc>
        <w:tc>
          <w:tcPr>
            <w:tcW w:w="426" w:type="dxa"/>
            <w:tcBorders>
              <w:bottom w:val="single" w:sz="4" w:space="0" w:color="auto"/>
            </w:tcBorders>
            <w:shd w:val="clear" w:color="auto" w:fill="auto"/>
          </w:tcPr>
          <w:p w:rsidR="003D580E" w:rsidRPr="003D580E" w:rsidRDefault="003D580E" w:rsidP="0067787D">
            <w:pPr>
              <w:spacing w:after="0" w:line="240" w:lineRule="auto"/>
              <w:jc w:val="both"/>
              <w:rPr>
                <w:rFonts w:ascii="Times New Roman" w:eastAsia="Arial" w:hAnsi="Times New Roman" w:cs="Times New Roman"/>
                <w:sz w:val="28"/>
                <w:szCs w:val="20"/>
              </w:rPr>
            </w:pPr>
            <w:r w:rsidRPr="003D580E">
              <w:rPr>
                <w:rFonts w:ascii="Times New Roman" w:eastAsia="Arial" w:hAnsi="Times New Roman" w:cs="Times New Roman"/>
                <w:sz w:val="28"/>
                <w:szCs w:val="20"/>
              </w:rPr>
              <w:t>L</w:t>
            </w:r>
          </w:p>
        </w:tc>
        <w:tc>
          <w:tcPr>
            <w:tcW w:w="2694" w:type="dxa"/>
            <w:vMerge w:val="restart"/>
            <w:shd w:val="clear" w:color="auto" w:fill="auto"/>
            <w:vAlign w:val="center"/>
          </w:tcPr>
          <w:p w:rsidR="003D580E" w:rsidRPr="003D580E" w:rsidRDefault="003D580E" w:rsidP="0067787D">
            <w:pPr>
              <w:spacing w:after="0" w:line="240" w:lineRule="auto"/>
              <w:rPr>
                <w:rFonts w:ascii="Times New Roman" w:eastAsia="Arial" w:hAnsi="Times New Roman" w:cs="Times New Roman"/>
                <w:sz w:val="28"/>
                <w:szCs w:val="20"/>
              </w:rPr>
            </w:pPr>
            <w:r w:rsidRPr="003D580E">
              <w:rPr>
                <w:rFonts w:ascii="Times New Roman" w:eastAsia="Arial" w:hAnsi="Times New Roman" w:cs="Times New Roman"/>
                <w:sz w:val="28"/>
                <w:szCs w:val="20"/>
              </w:rPr>
              <w:t>x 100%</w:t>
            </w:r>
          </w:p>
        </w:tc>
      </w:tr>
      <w:tr w:rsidR="003D580E" w:rsidRPr="003D580E" w:rsidTr="00C93E42">
        <w:tc>
          <w:tcPr>
            <w:tcW w:w="3260" w:type="dxa"/>
            <w:vMerge/>
            <w:shd w:val="clear" w:color="auto" w:fill="auto"/>
          </w:tcPr>
          <w:p w:rsidR="003D580E" w:rsidRPr="003D580E" w:rsidRDefault="003D580E" w:rsidP="00C93E42">
            <w:pPr>
              <w:jc w:val="both"/>
              <w:rPr>
                <w:rFonts w:ascii="Times New Roman" w:eastAsia="Arial" w:hAnsi="Times New Roman" w:cs="Times New Roman"/>
                <w:sz w:val="28"/>
                <w:szCs w:val="20"/>
              </w:rPr>
            </w:pPr>
          </w:p>
        </w:tc>
        <w:tc>
          <w:tcPr>
            <w:tcW w:w="426" w:type="dxa"/>
            <w:tcBorders>
              <w:top w:val="single" w:sz="4" w:space="0" w:color="auto"/>
            </w:tcBorders>
            <w:shd w:val="clear" w:color="auto" w:fill="auto"/>
          </w:tcPr>
          <w:p w:rsidR="003D580E" w:rsidRPr="003D580E" w:rsidRDefault="003D580E" w:rsidP="0067787D">
            <w:pPr>
              <w:spacing w:after="0" w:line="240" w:lineRule="auto"/>
              <w:jc w:val="both"/>
              <w:rPr>
                <w:rFonts w:ascii="Times New Roman" w:eastAsia="Arial" w:hAnsi="Times New Roman" w:cs="Times New Roman"/>
                <w:sz w:val="28"/>
                <w:szCs w:val="20"/>
              </w:rPr>
            </w:pPr>
            <w:r w:rsidRPr="003D580E">
              <w:rPr>
                <w:rFonts w:ascii="Times New Roman" w:eastAsia="Arial" w:hAnsi="Times New Roman" w:cs="Times New Roman"/>
                <w:sz w:val="28"/>
                <w:szCs w:val="20"/>
              </w:rPr>
              <w:t>D</w:t>
            </w:r>
          </w:p>
        </w:tc>
        <w:tc>
          <w:tcPr>
            <w:tcW w:w="2694" w:type="dxa"/>
            <w:vMerge/>
            <w:shd w:val="clear" w:color="auto" w:fill="auto"/>
          </w:tcPr>
          <w:p w:rsidR="003D580E" w:rsidRPr="003D580E" w:rsidRDefault="003D580E" w:rsidP="00C93E42">
            <w:pPr>
              <w:jc w:val="both"/>
              <w:rPr>
                <w:rFonts w:ascii="Times New Roman" w:eastAsia="Arial" w:hAnsi="Times New Roman" w:cs="Times New Roman"/>
                <w:sz w:val="28"/>
                <w:szCs w:val="20"/>
              </w:rPr>
            </w:pPr>
          </w:p>
        </w:tc>
      </w:tr>
    </w:tbl>
    <w:p w:rsidR="003D580E" w:rsidRPr="003D580E" w:rsidRDefault="003D580E" w:rsidP="00804A18">
      <w:pPr>
        <w:spacing w:before="120" w:after="120" w:line="264" w:lineRule="auto"/>
        <w:ind w:firstLine="709"/>
        <w:jc w:val="both"/>
        <w:rPr>
          <w:rFonts w:ascii="Times New Roman" w:hAnsi="Times New Roman" w:cs="Times New Roman"/>
          <w:sz w:val="28"/>
        </w:rPr>
      </w:pPr>
      <w:r w:rsidRPr="003D580E">
        <w:rPr>
          <w:rFonts w:ascii="Times New Roman" w:hAnsi="Times New Roman" w:cs="Times New Roman"/>
          <w:sz w:val="28"/>
        </w:rPr>
        <w:tab/>
        <w:t>Trong đó:</w:t>
      </w:r>
    </w:p>
    <w:p w:rsidR="003D580E" w:rsidRPr="003D580E" w:rsidRDefault="003D580E" w:rsidP="00804A18">
      <w:pPr>
        <w:spacing w:before="120" w:after="120" w:line="264" w:lineRule="auto"/>
        <w:ind w:firstLine="709"/>
        <w:jc w:val="both"/>
        <w:rPr>
          <w:rFonts w:ascii="Times New Roman" w:hAnsi="Times New Roman" w:cs="Times New Roman"/>
          <w:sz w:val="28"/>
        </w:rPr>
      </w:pPr>
      <w:r w:rsidRPr="003D580E">
        <w:rPr>
          <w:rFonts w:ascii="Times New Roman" w:hAnsi="Times New Roman" w:cs="Times New Roman"/>
          <w:sz w:val="28"/>
        </w:rPr>
        <w:t>- LDR: Tỷ lệ dư nợ cho vay so với tổng tiền gửi.</w:t>
      </w:r>
    </w:p>
    <w:p w:rsidR="003D580E" w:rsidRPr="003D580E" w:rsidRDefault="003D580E" w:rsidP="00804A18">
      <w:pPr>
        <w:spacing w:before="120" w:after="120" w:line="264" w:lineRule="auto"/>
        <w:ind w:firstLine="709"/>
        <w:jc w:val="both"/>
        <w:rPr>
          <w:rFonts w:ascii="Times New Roman" w:hAnsi="Times New Roman" w:cs="Times New Roman"/>
          <w:sz w:val="28"/>
        </w:rPr>
      </w:pPr>
      <w:r w:rsidRPr="003D580E">
        <w:rPr>
          <w:rFonts w:ascii="Times New Roman" w:hAnsi="Times New Roman" w:cs="Times New Roman"/>
          <w:sz w:val="28"/>
        </w:rPr>
        <w:t>- L: Tổng dư nợ cho vay quy định tại khoản 2 và khoản 3 Điều này.</w:t>
      </w:r>
    </w:p>
    <w:p w:rsidR="003D580E" w:rsidRPr="003D580E" w:rsidRDefault="003D580E" w:rsidP="00804A18">
      <w:pPr>
        <w:spacing w:before="120" w:after="120" w:line="264" w:lineRule="auto"/>
        <w:ind w:firstLine="709"/>
        <w:jc w:val="both"/>
        <w:rPr>
          <w:rFonts w:ascii="Times New Roman" w:hAnsi="Times New Roman" w:cs="Times New Roman"/>
          <w:sz w:val="28"/>
        </w:rPr>
      </w:pPr>
      <w:r w:rsidRPr="003D580E">
        <w:rPr>
          <w:rFonts w:ascii="Times New Roman" w:hAnsi="Times New Roman" w:cs="Times New Roman"/>
          <w:sz w:val="28"/>
        </w:rPr>
        <w:t>- D: Tổng tiền gửi quy định tại khoản 4 Điều này.</w:t>
      </w:r>
      <w:r>
        <w:rPr>
          <w:rFonts w:ascii="Times New Roman" w:hAnsi="Times New Roman" w:cs="Times New Roman"/>
          <w:sz w:val="28"/>
        </w:rPr>
        <w:t>”</w:t>
      </w:r>
    </w:p>
    <w:p w:rsidR="00A94CE9" w:rsidRPr="00A6531B" w:rsidRDefault="008B2130" w:rsidP="00804A18">
      <w:pPr>
        <w:shd w:val="clear" w:color="auto" w:fill="FFFFFF"/>
        <w:spacing w:before="120" w:after="120" w:line="264" w:lineRule="auto"/>
        <w:ind w:firstLine="709"/>
        <w:jc w:val="both"/>
        <w:rPr>
          <w:rFonts w:ascii="Times New Roman" w:eastAsia="Times New Roman" w:hAnsi="Times New Roman" w:cs="Times New Roman"/>
          <w:b/>
          <w:bCs/>
          <w:sz w:val="28"/>
          <w:szCs w:val="28"/>
        </w:rPr>
      </w:pPr>
      <w:r w:rsidRPr="00A6531B">
        <w:rPr>
          <w:rFonts w:ascii="Times New Roman" w:eastAsia="Times New Roman" w:hAnsi="Times New Roman" w:cs="Times New Roman"/>
          <w:b/>
          <w:bCs/>
          <w:sz w:val="28"/>
          <w:szCs w:val="28"/>
        </w:rPr>
        <w:t>Điều 2.</w:t>
      </w:r>
      <w:r w:rsidR="00E448C5" w:rsidRPr="00A6531B">
        <w:rPr>
          <w:rFonts w:ascii="Times New Roman" w:eastAsia="Times New Roman" w:hAnsi="Times New Roman" w:cs="Times New Roman"/>
          <w:b/>
          <w:bCs/>
          <w:sz w:val="28"/>
          <w:szCs w:val="28"/>
        </w:rPr>
        <w:t xml:space="preserve"> </w:t>
      </w:r>
      <w:bookmarkStart w:id="3" w:name="dieu_2"/>
      <w:r w:rsidR="00A94CE9" w:rsidRPr="00A6531B">
        <w:rPr>
          <w:rFonts w:ascii="Times New Roman" w:eastAsia="Times New Roman" w:hAnsi="Times New Roman" w:cs="Times New Roman"/>
          <w:b/>
          <w:bCs/>
          <w:sz w:val="28"/>
          <w:szCs w:val="28"/>
        </w:rPr>
        <w:t>Hiệu lực thi hành</w:t>
      </w:r>
    </w:p>
    <w:p w:rsidR="00A94CE9" w:rsidRPr="00A6531B" w:rsidRDefault="00C92747" w:rsidP="00804A18">
      <w:pPr>
        <w:shd w:val="clear" w:color="auto" w:fill="FFFFFF"/>
        <w:spacing w:before="120" w:after="120" w:line="264"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1. </w:t>
      </w:r>
      <w:r w:rsidR="00A94CE9" w:rsidRPr="00A6531B">
        <w:rPr>
          <w:rFonts w:ascii="Times New Roman" w:eastAsia="Times New Roman" w:hAnsi="Times New Roman" w:cs="Times New Roman"/>
          <w:sz w:val="28"/>
          <w:szCs w:val="28"/>
          <w:lang w:val="vi-VN"/>
        </w:rPr>
        <w:t xml:space="preserve">Thông tư này có hiệu lực thi hành kể từ ngày </w:t>
      </w:r>
      <w:r w:rsidR="00837FD3">
        <w:rPr>
          <w:rFonts w:ascii="Times New Roman" w:eastAsia="Times New Roman" w:hAnsi="Times New Roman" w:cs="Times New Roman"/>
          <w:sz w:val="28"/>
          <w:szCs w:val="28"/>
        </w:rPr>
        <w:t xml:space="preserve">   </w:t>
      </w:r>
      <w:r w:rsidR="00D678FC" w:rsidRPr="00A6531B">
        <w:rPr>
          <w:rFonts w:ascii="Times New Roman" w:eastAsia="Times New Roman" w:hAnsi="Times New Roman" w:cs="Times New Roman"/>
          <w:sz w:val="28"/>
          <w:szCs w:val="28"/>
        </w:rPr>
        <w:t xml:space="preserve"> </w:t>
      </w:r>
      <w:r w:rsidR="00A94CE9" w:rsidRPr="00A6531B">
        <w:rPr>
          <w:rFonts w:ascii="Times New Roman" w:eastAsia="Times New Roman" w:hAnsi="Times New Roman" w:cs="Times New Roman"/>
          <w:sz w:val="28"/>
          <w:szCs w:val="28"/>
          <w:lang w:val="vi-VN"/>
        </w:rPr>
        <w:t>tháng</w:t>
      </w:r>
      <w:r w:rsidR="00E42A8E" w:rsidRPr="00A6531B">
        <w:rPr>
          <w:rFonts w:ascii="Times New Roman" w:eastAsia="Times New Roman" w:hAnsi="Times New Roman" w:cs="Times New Roman"/>
          <w:sz w:val="28"/>
          <w:szCs w:val="28"/>
        </w:rPr>
        <w:t xml:space="preserve"> </w:t>
      </w:r>
      <w:r w:rsidR="008F540E">
        <w:rPr>
          <w:rFonts w:ascii="Times New Roman" w:eastAsia="Times New Roman" w:hAnsi="Times New Roman" w:cs="Times New Roman"/>
          <w:sz w:val="28"/>
          <w:szCs w:val="28"/>
        </w:rPr>
        <w:t xml:space="preserve"> </w:t>
      </w:r>
      <w:r w:rsidR="00837FD3">
        <w:rPr>
          <w:rFonts w:ascii="Times New Roman" w:eastAsia="Times New Roman" w:hAnsi="Times New Roman" w:cs="Times New Roman"/>
          <w:sz w:val="28"/>
          <w:szCs w:val="28"/>
        </w:rPr>
        <w:t xml:space="preserve">  </w:t>
      </w:r>
      <w:r w:rsidR="00A94CE9" w:rsidRPr="00A6531B">
        <w:rPr>
          <w:rFonts w:ascii="Times New Roman" w:eastAsia="Times New Roman" w:hAnsi="Times New Roman" w:cs="Times New Roman"/>
          <w:sz w:val="28"/>
          <w:szCs w:val="28"/>
          <w:lang w:val="vi-VN"/>
        </w:rPr>
        <w:t xml:space="preserve"> năm 201</w:t>
      </w:r>
      <w:r w:rsidR="00A415FB" w:rsidRPr="00A6531B">
        <w:rPr>
          <w:rFonts w:ascii="Times New Roman" w:eastAsia="Times New Roman" w:hAnsi="Times New Roman" w:cs="Times New Roman"/>
          <w:sz w:val="28"/>
          <w:szCs w:val="28"/>
          <w:lang w:val="vi-VN"/>
        </w:rPr>
        <w:t>8</w:t>
      </w:r>
      <w:r w:rsidR="00A94CE9" w:rsidRPr="00A6531B">
        <w:rPr>
          <w:rFonts w:ascii="Times New Roman" w:eastAsia="Times New Roman" w:hAnsi="Times New Roman" w:cs="Times New Roman"/>
          <w:sz w:val="28"/>
          <w:szCs w:val="28"/>
          <w:lang w:val="vi-VN"/>
        </w:rPr>
        <w:t>.</w:t>
      </w:r>
    </w:p>
    <w:p w:rsidR="00C92747" w:rsidRPr="00D30208" w:rsidRDefault="00C92747" w:rsidP="00C92747">
      <w:pPr>
        <w:shd w:val="clear" w:color="auto" w:fill="FFFFFF"/>
        <w:spacing w:before="120" w:after="120" w:line="264"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Bãi bỏ khoản 15, khoản 16, khoản 17</w:t>
      </w:r>
      <w:r w:rsidR="00B96573">
        <w:rPr>
          <w:rFonts w:ascii="Times New Roman" w:eastAsia="Times New Roman" w:hAnsi="Times New Roman" w:cs="Times New Roman"/>
          <w:bCs/>
          <w:sz w:val="28"/>
          <w:szCs w:val="28"/>
        </w:rPr>
        <w:t xml:space="preserve"> và</w:t>
      </w:r>
      <w:r>
        <w:rPr>
          <w:rFonts w:ascii="Times New Roman" w:eastAsia="Times New Roman" w:hAnsi="Times New Roman" w:cs="Times New Roman"/>
          <w:bCs/>
          <w:sz w:val="28"/>
          <w:szCs w:val="28"/>
        </w:rPr>
        <w:t xml:space="preserve"> khoản 22 Điều 1 Thông tư số 19/2017/TT-NHNN ngày 28/12/2017 của Thống đốc Ngân hàng Nhà nước sửa đổi, bổ sung một số điều của Thông tư số 36/2014/TT-NHNN ngày 20/11/2014 của Thống đốc Ngân hàng Nhà nước quy định các giới hạn, tỷ lệ bảo đảm an toàn của tổ chức tín dụng, chi nhánh ngân hàng nước ngoài.</w:t>
      </w:r>
    </w:p>
    <w:p w:rsidR="00A909A5" w:rsidRPr="00A6531B" w:rsidRDefault="00A909A5" w:rsidP="00804A18">
      <w:pPr>
        <w:shd w:val="clear" w:color="auto" w:fill="FFFFFF"/>
        <w:spacing w:before="120" w:after="120" w:line="264" w:lineRule="auto"/>
        <w:ind w:firstLine="709"/>
        <w:jc w:val="both"/>
        <w:rPr>
          <w:rFonts w:ascii="Times New Roman" w:eastAsia="Times New Roman" w:hAnsi="Times New Roman" w:cs="Times New Roman"/>
          <w:b/>
          <w:bCs/>
          <w:sz w:val="28"/>
          <w:szCs w:val="28"/>
        </w:rPr>
      </w:pPr>
      <w:r w:rsidRPr="00A6531B">
        <w:rPr>
          <w:rFonts w:ascii="Times New Roman" w:eastAsia="Times New Roman" w:hAnsi="Times New Roman" w:cs="Times New Roman"/>
          <w:b/>
          <w:bCs/>
          <w:sz w:val="28"/>
          <w:szCs w:val="28"/>
        </w:rPr>
        <w:t xml:space="preserve">Điều </w:t>
      </w:r>
      <w:r w:rsidR="00870E3B">
        <w:rPr>
          <w:rFonts w:ascii="Times New Roman" w:eastAsia="Times New Roman" w:hAnsi="Times New Roman" w:cs="Times New Roman"/>
          <w:b/>
          <w:bCs/>
          <w:sz w:val="28"/>
          <w:szCs w:val="28"/>
        </w:rPr>
        <w:t>3</w:t>
      </w:r>
      <w:r w:rsidRPr="00A6531B">
        <w:rPr>
          <w:rFonts w:ascii="Times New Roman" w:eastAsia="Times New Roman" w:hAnsi="Times New Roman" w:cs="Times New Roman"/>
          <w:b/>
          <w:bCs/>
          <w:sz w:val="28"/>
          <w:szCs w:val="28"/>
        </w:rPr>
        <w:t>. Tổ chức thực hiện</w:t>
      </w:r>
    </w:p>
    <w:p w:rsidR="00A909A5" w:rsidRPr="00A6531B" w:rsidRDefault="00A909A5" w:rsidP="00804A18">
      <w:pPr>
        <w:spacing w:before="120" w:after="120" w:line="264" w:lineRule="auto"/>
        <w:ind w:firstLine="709"/>
        <w:jc w:val="both"/>
        <w:rPr>
          <w:rFonts w:ascii="Times New Roman" w:hAnsi="Times New Roman" w:cs="Times New Roman"/>
          <w:sz w:val="28"/>
        </w:rPr>
      </w:pPr>
      <w:r w:rsidRPr="00A6531B">
        <w:rPr>
          <w:rFonts w:ascii="Times New Roman" w:hAnsi="Times New Roman" w:cs="Times New Roman"/>
          <w:sz w:val="28"/>
        </w:rPr>
        <w:lastRenderedPageBreak/>
        <w:t xml:space="preserve">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w:t>
      </w:r>
      <w:r w:rsidR="00F65CDB" w:rsidRPr="00A6531B">
        <w:rPr>
          <w:rFonts w:ascii="Times New Roman" w:hAnsi="Times New Roman" w:cs="Times New Roman"/>
          <w:sz w:val="28"/>
        </w:rPr>
        <w:t>tổ chức tín dụng</w:t>
      </w:r>
      <w:r w:rsidRPr="00A6531B">
        <w:rPr>
          <w:rFonts w:ascii="Times New Roman" w:hAnsi="Times New Roman" w:cs="Times New Roman"/>
          <w:sz w:val="28"/>
        </w:rPr>
        <w:t>, chi nhánh ngân hàng nước ngoài chịu trách nhiệm tổ chức thực hiện Thông tư này./.</w:t>
      </w:r>
    </w:p>
    <w:tbl>
      <w:tblPr>
        <w:tblW w:w="9180" w:type="dxa"/>
        <w:tblLook w:val="00A0" w:firstRow="1" w:lastRow="0" w:firstColumn="1" w:lastColumn="0" w:noHBand="0" w:noVBand="0"/>
      </w:tblPr>
      <w:tblGrid>
        <w:gridCol w:w="4928"/>
        <w:gridCol w:w="4252"/>
      </w:tblGrid>
      <w:tr w:rsidR="00102EED" w:rsidRPr="00A6531B" w:rsidTr="004727CE">
        <w:trPr>
          <w:trHeight w:val="1985"/>
        </w:trPr>
        <w:tc>
          <w:tcPr>
            <w:tcW w:w="4928" w:type="dxa"/>
          </w:tcPr>
          <w:p w:rsidR="00C906E8" w:rsidRPr="00A6531B" w:rsidRDefault="00C906E8" w:rsidP="002B00C8">
            <w:pPr>
              <w:pStyle w:val="normal-p"/>
              <w:spacing w:before="240"/>
              <w:jc w:val="both"/>
              <w:rPr>
                <w:rStyle w:val="normal-h1"/>
                <w:b/>
                <w:i/>
                <w:sz w:val="24"/>
                <w:szCs w:val="24"/>
                <w:lang w:val="de-DE"/>
              </w:rPr>
            </w:pPr>
            <w:r w:rsidRPr="00A6531B">
              <w:rPr>
                <w:rStyle w:val="normal-h1"/>
                <w:b/>
                <w:i/>
                <w:sz w:val="24"/>
                <w:szCs w:val="24"/>
                <w:lang w:val="de-DE"/>
              </w:rPr>
              <w:t>Nơi nhận:</w:t>
            </w:r>
          </w:p>
          <w:p w:rsidR="00C906E8" w:rsidRPr="00A6531B" w:rsidRDefault="00C906E8" w:rsidP="002B00C8">
            <w:pPr>
              <w:pStyle w:val="normal-p"/>
              <w:jc w:val="both"/>
              <w:rPr>
                <w:rStyle w:val="normal-h1"/>
                <w:iCs/>
                <w:sz w:val="22"/>
                <w:szCs w:val="22"/>
                <w:lang w:val="de-DE"/>
              </w:rPr>
            </w:pPr>
            <w:r w:rsidRPr="00A6531B">
              <w:rPr>
                <w:rStyle w:val="normal-h1"/>
                <w:sz w:val="22"/>
                <w:szCs w:val="22"/>
                <w:lang w:val="de-DE"/>
              </w:rPr>
              <w:t xml:space="preserve">- Như </w:t>
            </w:r>
            <w:r w:rsidRPr="00870E3B">
              <w:rPr>
                <w:rStyle w:val="normal-h1"/>
                <w:sz w:val="22"/>
                <w:szCs w:val="22"/>
                <w:lang w:val="de-DE"/>
              </w:rPr>
              <w:t xml:space="preserve">Điều </w:t>
            </w:r>
            <w:r w:rsidR="00870E3B" w:rsidRPr="00870E3B">
              <w:rPr>
                <w:rStyle w:val="normal-h1"/>
                <w:sz w:val="22"/>
                <w:szCs w:val="22"/>
                <w:lang w:val="de-DE"/>
              </w:rPr>
              <w:t>3</w:t>
            </w:r>
            <w:r w:rsidRPr="00870E3B">
              <w:rPr>
                <w:rStyle w:val="normal-h1"/>
                <w:sz w:val="22"/>
                <w:szCs w:val="22"/>
                <w:lang w:val="de-DE"/>
              </w:rPr>
              <w:t>;</w:t>
            </w:r>
          </w:p>
          <w:p w:rsidR="00C906E8" w:rsidRPr="00A6531B" w:rsidRDefault="00C906E8" w:rsidP="002B00C8">
            <w:pPr>
              <w:pStyle w:val="normal-p"/>
              <w:jc w:val="both"/>
              <w:rPr>
                <w:rStyle w:val="normal-h1"/>
                <w:iCs/>
                <w:sz w:val="22"/>
                <w:szCs w:val="22"/>
                <w:lang w:val="de-DE"/>
              </w:rPr>
            </w:pPr>
            <w:r w:rsidRPr="00A6531B">
              <w:rPr>
                <w:rStyle w:val="normal-h1"/>
                <w:sz w:val="22"/>
                <w:szCs w:val="22"/>
                <w:lang w:val="de-DE"/>
              </w:rPr>
              <w:t>- Ban Lãnh đạo NHNN;</w:t>
            </w:r>
          </w:p>
          <w:p w:rsidR="00C906E8" w:rsidRPr="00A6531B" w:rsidRDefault="00C906E8" w:rsidP="002B00C8">
            <w:pPr>
              <w:pStyle w:val="normal-p"/>
              <w:jc w:val="both"/>
              <w:rPr>
                <w:rStyle w:val="normal-h1"/>
                <w:iCs/>
                <w:sz w:val="22"/>
                <w:szCs w:val="22"/>
                <w:lang w:val="de-DE"/>
              </w:rPr>
            </w:pPr>
            <w:r w:rsidRPr="00A6531B">
              <w:rPr>
                <w:rStyle w:val="normal-h1"/>
                <w:sz w:val="22"/>
                <w:szCs w:val="22"/>
                <w:lang w:val="de-DE"/>
              </w:rPr>
              <w:t>- Văn phòng Chính phủ;</w:t>
            </w:r>
          </w:p>
          <w:p w:rsidR="00C906E8" w:rsidRPr="00A6531B" w:rsidRDefault="00C906E8" w:rsidP="002B00C8">
            <w:pPr>
              <w:pStyle w:val="normal-p"/>
              <w:jc w:val="both"/>
              <w:rPr>
                <w:rStyle w:val="normal-h1"/>
                <w:iCs/>
                <w:sz w:val="22"/>
                <w:szCs w:val="22"/>
                <w:lang w:val="de-DE"/>
              </w:rPr>
            </w:pPr>
            <w:r w:rsidRPr="00A6531B">
              <w:rPr>
                <w:rStyle w:val="normal-h1"/>
                <w:sz w:val="22"/>
                <w:szCs w:val="22"/>
                <w:lang w:val="de-DE"/>
              </w:rPr>
              <w:t>- Bộ Tư pháp;</w:t>
            </w:r>
          </w:p>
          <w:p w:rsidR="00C906E8" w:rsidRPr="00A6531B" w:rsidRDefault="00C906E8" w:rsidP="002B00C8">
            <w:pPr>
              <w:pStyle w:val="normal-p"/>
              <w:jc w:val="both"/>
              <w:rPr>
                <w:rStyle w:val="normal-h1"/>
                <w:iCs/>
                <w:sz w:val="22"/>
                <w:szCs w:val="22"/>
                <w:lang w:val="de-DE"/>
              </w:rPr>
            </w:pPr>
            <w:r w:rsidRPr="00A6531B">
              <w:rPr>
                <w:rStyle w:val="normal-h1"/>
                <w:sz w:val="22"/>
                <w:szCs w:val="22"/>
                <w:lang w:val="de-DE"/>
              </w:rPr>
              <w:t>- Công báo;</w:t>
            </w:r>
          </w:p>
          <w:p w:rsidR="00C906E8" w:rsidRPr="00A6531B" w:rsidRDefault="00C906E8" w:rsidP="002B00C8">
            <w:pPr>
              <w:pStyle w:val="normal-p"/>
              <w:jc w:val="both"/>
              <w:rPr>
                <w:rStyle w:val="normal-h1"/>
                <w:iCs/>
                <w:lang w:val="de-DE"/>
              </w:rPr>
            </w:pPr>
            <w:r w:rsidRPr="00A6531B">
              <w:rPr>
                <w:rStyle w:val="normal-h1"/>
                <w:sz w:val="22"/>
                <w:szCs w:val="22"/>
                <w:lang w:val="de-DE"/>
              </w:rPr>
              <w:t>- Lưu: VP, Vụ PC, TTGSNH5.</w:t>
            </w:r>
          </w:p>
        </w:tc>
        <w:tc>
          <w:tcPr>
            <w:tcW w:w="4252" w:type="dxa"/>
          </w:tcPr>
          <w:p w:rsidR="00C906E8" w:rsidRPr="00A6531B" w:rsidRDefault="00C906E8" w:rsidP="002B00C8">
            <w:pPr>
              <w:pStyle w:val="normal-p"/>
              <w:spacing w:before="240"/>
              <w:jc w:val="center"/>
              <w:rPr>
                <w:rStyle w:val="normal-h1"/>
                <w:b/>
                <w:iCs/>
                <w:sz w:val="26"/>
              </w:rPr>
            </w:pPr>
            <w:r w:rsidRPr="00A6531B">
              <w:rPr>
                <w:rStyle w:val="normal-h1"/>
                <w:b/>
                <w:sz w:val="26"/>
              </w:rPr>
              <w:t>THỐNG ĐỐC</w:t>
            </w:r>
          </w:p>
          <w:p w:rsidR="00C906E8" w:rsidRPr="00A6531B" w:rsidRDefault="00C906E8" w:rsidP="002B00C8">
            <w:pPr>
              <w:pStyle w:val="normal-p"/>
              <w:spacing w:before="120" w:line="276" w:lineRule="auto"/>
              <w:jc w:val="center"/>
              <w:rPr>
                <w:rStyle w:val="normal-h1"/>
                <w:b/>
                <w:iCs/>
              </w:rPr>
            </w:pPr>
          </w:p>
          <w:p w:rsidR="00C906E8" w:rsidRPr="00A6531B" w:rsidRDefault="00C906E8" w:rsidP="002B00C8">
            <w:pPr>
              <w:pStyle w:val="normal-p"/>
              <w:spacing w:before="120" w:line="276" w:lineRule="auto"/>
              <w:jc w:val="center"/>
              <w:rPr>
                <w:rStyle w:val="normal-h1"/>
                <w:b/>
                <w:iCs/>
              </w:rPr>
            </w:pPr>
          </w:p>
        </w:tc>
      </w:tr>
      <w:bookmarkEnd w:id="3"/>
    </w:tbl>
    <w:p w:rsidR="00C93C62" w:rsidRPr="00102EED" w:rsidRDefault="00C93C62" w:rsidP="00837FD3">
      <w:pPr>
        <w:jc w:val="center"/>
        <w:rPr>
          <w:rFonts w:ascii="Times New Roman" w:hAnsi="Times New Roman"/>
          <w:sz w:val="28"/>
          <w:szCs w:val="28"/>
        </w:rPr>
      </w:pPr>
    </w:p>
    <w:sectPr w:rsidR="00C93C62" w:rsidRPr="00102EED" w:rsidSect="00837FD3">
      <w:headerReference w:type="default" r:id="rId9"/>
      <w:footerReference w:type="default" r:id="rId10"/>
      <w:pgSz w:w="11907" w:h="16840" w:code="9"/>
      <w:pgMar w:top="1134" w:right="1134" w:bottom="1134" w:left="1701" w:header="709" w:footer="45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8F6" w:rsidRDefault="009368F6" w:rsidP="00277D7A">
      <w:pPr>
        <w:spacing w:after="0" w:line="240" w:lineRule="auto"/>
      </w:pPr>
      <w:r>
        <w:separator/>
      </w:r>
    </w:p>
  </w:endnote>
  <w:endnote w:type="continuationSeparator" w:id="0">
    <w:p w:rsidR="009368F6" w:rsidRDefault="009368F6"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A3"/>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F" w:rsidRDefault="0053374F">
    <w:pPr>
      <w:pStyle w:val="Footer"/>
      <w:jc w:val="right"/>
    </w:pPr>
  </w:p>
  <w:p w:rsidR="0053374F" w:rsidRDefault="00533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8F6" w:rsidRDefault="009368F6" w:rsidP="00277D7A">
      <w:pPr>
        <w:spacing w:after="0" w:line="240" w:lineRule="auto"/>
      </w:pPr>
      <w:r>
        <w:separator/>
      </w:r>
    </w:p>
  </w:footnote>
  <w:footnote w:type="continuationSeparator" w:id="0">
    <w:p w:rsidR="009368F6" w:rsidRDefault="009368F6"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67045"/>
      <w:docPartObj>
        <w:docPartGallery w:val="Page Numbers (Top of Page)"/>
        <w:docPartUnique/>
      </w:docPartObj>
    </w:sdtPr>
    <w:sdtEndPr>
      <w:rPr>
        <w:rFonts w:ascii="Times New Roman" w:hAnsi="Times New Roman" w:cs="Times New Roman"/>
        <w:noProof/>
        <w:sz w:val="24"/>
        <w:szCs w:val="24"/>
      </w:rPr>
    </w:sdtEndPr>
    <w:sdtContent>
      <w:p w:rsidR="0053374F" w:rsidRPr="003A5798" w:rsidRDefault="0053374F">
        <w:pPr>
          <w:pStyle w:val="Header"/>
          <w:jc w:val="center"/>
          <w:rPr>
            <w:rFonts w:ascii="Times New Roman" w:hAnsi="Times New Roman" w:cs="Times New Roman"/>
            <w:sz w:val="24"/>
            <w:szCs w:val="24"/>
          </w:rPr>
        </w:pPr>
        <w:r w:rsidRPr="003A5798">
          <w:rPr>
            <w:rFonts w:ascii="Times New Roman" w:hAnsi="Times New Roman" w:cs="Times New Roman"/>
            <w:sz w:val="24"/>
            <w:szCs w:val="24"/>
          </w:rPr>
          <w:fldChar w:fldCharType="begin"/>
        </w:r>
        <w:r w:rsidRPr="003A5798">
          <w:rPr>
            <w:rFonts w:ascii="Times New Roman" w:hAnsi="Times New Roman" w:cs="Times New Roman"/>
            <w:sz w:val="24"/>
            <w:szCs w:val="24"/>
          </w:rPr>
          <w:instrText xml:space="preserve"> PAGE   \* MERGEFORMAT </w:instrText>
        </w:r>
        <w:r w:rsidRPr="003A5798">
          <w:rPr>
            <w:rFonts w:ascii="Times New Roman" w:hAnsi="Times New Roman" w:cs="Times New Roman"/>
            <w:sz w:val="24"/>
            <w:szCs w:val="24"/>
          </w:rPr>
          <w:fldChar w:fldCharType="separate"/>
        </w:r>
        <w:r w:rsidR="00E02DD6">
          <w:rPr>
            <w:rFonts w:ascii="Times New Roman" w:hAnsi="Times New Roman" w:cs="Times New Roman"/>
            <w:noProof/>
            <w:sz w:val="24"/>
            <w:szCs w:val="24"/>
          </w:rPr>
          <w:t>1</w:t>
        </w:r>
        <w:r w:rsidRPr="003A5798">
          <w:rPr>
            <w:rFonts w:ascii="Times New Roman" w:hAnsi="Times New Roman" w:cs="Times New Roman"/>
            <w:noProof/>
            <w:sz w:val="24"/>
            <w:szCs w:val="24"/>
          </w:rPr>
          <w:fldChar w:fldCharType="end"/>
        </w:r>
      </w:p>
    </w:sdtContent>
  </w:sdt>
  <w:p w:rsidR="0053374F" w:rsidRPr="007206DA" w:rsidRDefault="0053374F" w:rsidP="002B00C8">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95"/>
    <w:rsid w:val="0000354A"/>
    <w:rsid w:val="00003BDA"/>
    <w:rsid w:val="00004C3A"/>
    <w:rsid w:val="000071EC"/>
    <w:rsid w:val="00007AFC"/>
    <w:rsid w:val="00007E54"/>
    <w:rsid w:val="00014395"/>
    <w:rsid w:val="00015E19"/>
    <w:rsid w:val="000214BF"/>
    <w:rsid w:val="000232DC"/>
    <w:rsid w:val="00023C23"/>
    <w:rsid w:val="00025965"/>
    <w:rsid w:val="0002612F"/>
    <w:rsid w:val="00027060"/>
    <w:rsid w:val="00027197"/>
    <w:rsid w:val="00027395"/>
    <w:rsid w:val="00027CCB"/>
    <w:rsid w:val="000309DA"/>
    <w:rsid w:val="00032C08"/>
    <w:rsid w:val="00034DC8"/>
    <w:rsid w:val="000368D3"/>
    <w:rsid w:val="000376EA"/>
    <w:rsid w:val="00037DA6"/>
    <w:rsid w:val="000418A5"/>
    <w:rsid w:val="00043A06"/>
    <w:rsid w:val="00044B41"/>
    <w:rsid w:val="00045D07"/>
    <w:rsid w:val="000462D6"/>
    <w:rsid w:val="000469D2"/>
    <w:rsid w:val="00046A32"/>
    <w:rsid w:val="00046CDE"/>
    <w:rsid w:val="00053ADA"/>
    <w:rsid w:val="000562EC"/>
    <w:rsid w:val="00060A2A"/>
    <w:rsid w:val="00063274"/>
    <w:rsid w:val="000654A2"/>
    <w:rsid w:val="00065AB9"/>
    <w:rsid w:val="0006655F"/>
    <w:rsid w:val="000704D0"/>
    <w:rsid w:val="000719D1"/>
    <w:rsid w:val="000723D1"/>
    <w:rsid w:val="00073126"/>
    <w:rsid w:val="000735E2"/>
    <w:rsid w:val="00073621"/>
    <w:rsid w:val="000736E2"/>
    <w:rsid w:val="000740F4"/>
    <w:rsid w:val="00076309"/>
    <w:rsid w:val="0008126E"/>
    <w:rsid w:val="00081F09"/>
    <w:rsid w:val="00083983"/>
    <w:rsid w:val="00084811"/>
    <w:rsid w:val="00087A32"/>
    <w:rsid w:val="000907E6"/>
    <w:rsid w:val="000910B5"/>
    <w:rsid w:val="00091E3A"/>
    <w:rsid w:val="000950A7"/>
    <w:rsid w:val="00096B62"/>
    <w:rsid w:val="00096B94"/>
    <w:rsid w:val="000A05C6"/>
    <w:rsid w:val="000A1E1F"/>
    <w:rsid w:val="000A4C91"/>
    <w:rsid w:val="000A5543"/>
    <w:rsid w:val="000A7FC9"/>
    <w:rsid w:val="000B0DF2"/>
    <w:rsid w:val="000B2172"/>
    <w:rsid w:val="000B3C3E"/>
    <w:rsid w:val="000B40E5"/>
    <w:rsid w:val="000B49A6"/>
    <w:rsid w:val="000B747D"/>
    <w:rsid w:val="000B74D5"/>
    <w:rsid w:val="000C0026"/>
    <w:rsid w:val="000C1D1A"/>
    <w:rsid w:val="000C219D"/>
    <w:rsid w:val="000C3075"/>
    <w:rsid w:val="000C33E9"/>
    <w:rsid w:val="000C3D75"/>
    <w:rsid w:val="000C5010"/>
    <w:rsid w:val="000C67E6"/>
    <w:rsid w:val="000C7AC7"/>
    <w:rsid w:val="000D105D"/>
    <w:rsid w:val="000D1221"/>
    <w:rsid w:val="000D251F"/>
    <w:rsid w:val="000D6764"/>
    <w:rsid w:val="000D6924"/>
    <w:rsid w:val="000D7E45"/>
    <w:rsid w:val="000E003C"/>
    <w:rsid w:val="000E3EA4"/>
    <w:rsid w:val="000E3FDF"/>
    <w:rsid w:val="000E576A"/>
    <w:rsid w:val="000E60BA"/>
    <w:rsid w:val="000E7ED4"/>
    <w:rsid w:val="000F0685"/>
    <w:rsid w:val="000F0A52"/>
    <w:rsid w:val="000F12D8"/>
    <w:rsid w:val="000F29D6"/>
    <w:rsid w:val="000F2FAF"/>
    <w:rsid w:val="000F31DE"/>
    <w:rsid w:val="000F36AF"/>
    <w:rsid w:val="001018CA"/>
    <w:rsid w:val="00102361"/>
    <w:rsid w:val="00102BC3"/>
    <w:rsid w:val="00102EED"/>
    <w:rsid w:val="00103F1F"/>
    <w:rsid w:val="0010617C"/>
    <w:rsid w:val="00107371"/>
    <w:rsid w:val="00111DD2"/>
    <w:rsid w:val="0011223B"/>
    <w:rsid w:val="001137B5"/>
    <w:rsid w:val="00115272"/>
    <w:rsid w:val="001178FB"/>
    <w:rsid w:val="00120427"/>
    <w:rsid w:val="00122F16"/>
    <w:rsid w:val="001251AF"/>
    <w:rsid w:val="00127D4E"/>
    <w:rsid w:val="001310DA"/>
    <w:rsid w:val="00131C39"/>
    <w:rsid w:val="0013295C"/>
    <w:rsid w:val="0013482F"/>
    <w:rsid w:val="00135A8D"/>
    <w:rsid w:val="001363A5"/>
    <w:rsid w:val="00141092"/>
    <w:rsid w:val="00142413"/>
    <w:rsid w:val="00142A08"/>
    <w:rsid w:val="00145204"/>
    <w:rsid w:val="00146655"/>
    <w:rsid w:val="00147FCC"/>
    <w:rsid w:val="00150284"/>
    <w:rsid w:val="00150C74"/>
    <w:rsid w:val="0015127C"/>
    <w:rsid w:val="001513F3"/>
    <w:rsid w:val="001532CF"/>
    <w:rsid w:val="00153696"/>
    <w:rsid w:val="00154DC8"/>
    <w:rsid w:val="00155490"/>
    <w:rsid w:val="00156040"/>
    <w:rsid w:val="00156E0A"/>
    <w:rsid w:val="001600EE"/>
    <w:rsid w:val="001642BD"/>
    <w:rsid w:val="00165343"/>
    <w:rsid w:val="00166C8D"/>
    <w:rsid w:val="00167716"/>
    <w:rsid w:val="001708F3"/>
    <w:rsid w:val="00170BF2"/>
    <w:rsid w:val="0017119C"/>
    <w:rsid w:val="00171DDF"/>
    <w:rsid w:val="00173FDF"/>
    <w:rsid w:val="0017431F"/>
    <w:rsid w:val="00175FC5"/>
    <w:rsid w:val="00176072"/>
    <w:rsid w:val="001765A0"/>
    <w:rsid w:val="00176E08"/>
    <w:rsid w:val="00180D9E"/>
    <w:rsid w:val="0018248F"/>
    <w:rsid w:val="001847C5"/>
    <w:rsid w:val="001861A2"/>
    <w:rsid w:val="0018681B"/>
    <w:rsid w:val="00187C75"/>
    <w:rsid w:val="0019124B"/>
    <w:rsid w:val="00193020"/>
    <w:rsid w:val="00193025"/>
    <w:rsid w:val="001932C2"/>
    <w:rsid w:val="001934A0"/>
    <w:rsid w:val="00194780"/>
    <w:rsid w:val="0019532D"/>
    <w:rsid w:val="0019743D"/>
    <w:rsid w:val="00197594"/>
    <w:rsid w:val="00197670"/>
    <w:rsid w:val="00197871"/>
    <w:rsid w:val="001A0E71"/>
    <w:rsid w:val="001A4069"/>
    <w:rsid w:val="001A442A"/>
    <w:rsid w:val="001A4CE6"/>
    <w:rsid w:val="001A517B"/>
    <w:rsid w:val="001A5719"/>
    <w:rsid w:val="001A596C"/>
    <w:rsid w:val="001A74AD"/>
    <w:rsid w:val="001B07D2"/>
    <w:rsid w:val="001B09C9"/>
    <w:rsid w:val="001B259E"/>
    <w:rsid w:val="001B2A47"/>
    <w:rsid w:val="001B31EB"/>
    <w:rsid w:val="001B4565"/>
    <w:rsid w:val="001B459F"/>
    <w:rsid w:val="001B4B9F"/>
    <w:rsid w:val="001B4EF6"/>
    <w:rsid w:val="001C1369"/>
    <w:rsid w:val="001C3AEC"/>
    <w:rsid w:val="001C3F51"/>
    <w:rsid w:val="001C4338"/>
    <w:rsid w:val="001C4BEB"/>
    <w:rsid w:val="001C511E"/>
    <w:rsid w:val="001C68FA"/>
    <w:rsid w:val="001C6996"/>
    <w:rsid w:val="001C6EBC"/>
    <w:rsid w:val="001C7185"/>
    <w:rsid w:val="001D03F2"/>
    <w:rsid w:val="001D176B"/>
    <w:rsid w:val="001D212E"/>
    <w:rsid w:val="001D2256"/>
    <w:rsid w:val="001D3A84"/>
    <w:rsid w:val="001D4918"/>
    <w:rsid w:val="001D5D75"/>
    <w:rsid w:val="001D5EC3"/>
    <w:rsid w:val="001D63A7"/>
    <w:rsid w:val="001D654E"/>
    <w:rsid w:val="001D728C"/>
    <w:rsid w:val="001E04E7"/>
    <w:rsid w:val="001E1049"/>
    <w:rsid w:val="001E1178"/>
    <w:rsid w:val="001E17DC"/>
    <w:rsid w:val="001E1DB8"/>
    <w:rsid w:val="001E1E1C"/>
    <w:rsid w:val="001E2047"/>
    <w:rsid w:val="001E24D3"/>
    <w:rsid w:val="001E252B"/>
    <w:rsid w:val="001E265A"/>
    <w:rsid w:val="001E462A"/>
    <w:rsid w:val="001E4740"/>
    <w:rsid w:val="001E60CE"/>
    <w:rsid w:val="001E763C"/>
    <w:rsid w:val="001F0F34"/>
    <w:rsid w:val="001F0FB2"/>
    <w:rsid w:val="001F1E7D"/>
    <w:rsid w:val="001F2813"/>
    <w:rsid w:val="001F43D1"/>
    <w:rsid w:val="001F4C89"/>
    <w:rsid w:val="001F4EAD"/>
    <w:rsid w:val="001F5B6A"/>
    <w:rsid w:val="001F758C"/>
    <w:rsid w:val="001F7A9F"/>
    <w:rsid w:val="00202A76"/>
    <w:rsid w:val="00204679"/>
    <w:rsid w:val="0020653B"/>
    <w:rsid w:val="00210F78"/>
    <w:rsid w:val="002110BD"/>
    <w:rsid w:val="00211319"/>
    <w:rsid w:val="002113B6"/>
    <w:rsid w:val="00211E18"/>
    <w:rsid w:val="002120D1"/>
    <w:rsid w:val="00213F09"/>
    <w:rsid w:val="00215F3B"/>
    <w:rsid w:val="00217379"/>
    <w:rsid w:val="002219CF"/>
    <w:rsid w:val="00223EED"/>
    <w:rsid w:val="002242F4"/>
    <w:rsid w:val="00225BF8"/>
    <w:rsid w:val="00226851"/>
    <w:rsid w:val="00226E9A"/>
    <w:rsid w:val="002279F6"/>
    <w:rsid w:val="00231C39"/>
    <w:rsid w:val="00232EF3"/>
    <w:rsid w:val="00233319"/>
    <w:rsid w:val="00235447"/>
    <w:rsid w:val="00235FD8"/>
    <w:rsid w:val="002365F4"/>
    <w:rsid w:val="00236AED"/>
    <w:rsid w:val="00236ED5"/>
    <w:rsid w:val="00237C8F"/>
    <w:rsid w:val="00240E06"/>
    <w:rsid w:val="00240E88"/>
    <w:rsid w:val="00243088"/>
    <w:rsid w:val="00246187"/>
    <w:rsid w:val="00252313"/>
    <w:rsid w:val="002523B9"/>
    <w:rsid w:val="00252EDF"/>
    <w:rsid w:val="00257EED"/>
    <w:rsid w:val="00260B7E"/>
    <w:rsid w:val="00261010"/>
    <w:rsid w:val="002610D4"/>
    <w:rsid w:val="00262336"/>
    <w:rsid w:val="002624C1"/>
    <w:rsid w:val="00262E1C"/>
    <w:rsid w:val="0026643A"/>
    <w:rsid w:val="002710A1"/>
    <w:rsid w:val="00271E3F"/>
    <w:rsid w:val="0027356E"/>
    <w:rsid w:val="002737D0"/>
    <w:rsid w:val="00274271"/>
    <w:rsid w:val="0027466C"/>
    <w:rsid w:val="00275B19"/>
    <w:rsid w:val="00277148"/>
    <w:rsid w:val="00277309"/>
    <w:rsid w:val="00277D7A"/>
    <w:rsid w:val="00281973"/>
    <w:rsid w:val="00281A1B"/>
    <w:rsid w:val="00282080"/>
    <w:rsid w:val="00282FE2"/>
    <w:rsid w:val="00283CB4"/>
    <w:rsid w:val="002842F0"/>
    <w:rsid w:val="0028535B"/>
    <w:rsid w:val="00285655"/>
    <w:rsid w:val="00287A1E"/>
    <w:rsid w:val="00290D00"/>
    <w:rsid w:val="002916FF"/>
    <w:rsid w:val="0029265D"/>
    <w:rsid w:val="002928A1"/>
    <w:rsid w:val="00297242"/>
    <w:rsid w:val="00297AD2"/>
    <w:rsid w:val="002A07F6"/>
    <w:rsid w:val="002A14EA"/>
    <w:rsid w:val="002A29C8"/>
    <w:rsid w:val="002A40A9"/>
    <w:rsid w:val="002A4F1F"/>
    <w:rsid w:val="002A59AB"/>
    <w:rsid w:val="002A61DF"/>
    <w:rsid w:val="002A6930"/>
    <w:rsid w:val="002A6D6F"/>
    <w:rsid w:val="002A7AE8"/>
    <w:rsid w:val="002B00C8"/>
    <w:rsid w:val="002B063D"/>
    <w:rsid w:val="002B1918"/>
    <w:rsid w:val="002B24CE"/>
    <w:rsid w:val="002B2EA1"/>
    <w:rsid w:val="002B3908"/>
    <w:rsid w:val="002B4792"/>
    <w:rsid w:val="002C247D"/>
    <w:rsid w:val="002C30D1"/>
    <w:rsid w:val="002C4A6C"/>
    <w:rsid w:val="002D087F"/>
    <w:rsid w:val="002D3006"/>
    <w:rsid w:val="002D46AE"/>
    <w:rsid w:val="002D47C4"/>
    <w:rsid w:val="002E028F"/>
    <w:rsid w:val="002E1B00"/>
    <w:rsid w:val="002E2245"/>
    <w:rsid w:val="002E226F"/>
    <w:rsid w:val="002E31AC"/>
    <w:rsid w:val="002E3A23"/>
    <w:rsid w:val="002E4427"/>
    <w:rsid w:val="002F283A"/>
    <w:rsid w:val="002F3424"/>
    <w:rsid w:val="002F3BD8"/>
    <w:rsid w:val="002F42AD"/>
    <w:rsid w:val="002F55C7"/>
    <w:rsid w:val="002F6911"/>
    <w:rsid w:val="002F77C5"/>
    <w:rsid w:val="003021FE"/>
    <w:rsid w:val="00303102"/>
    <w:rsid w:val="00304892"/>
    <w:rsid w:val="003056FB"/>
    <w:rsid w:val="00310A52"/>
    <w:rsid w:val="00310B2F"/>
    <w:rsid w:val="003129E6"/>
    <w:rsid w:val="00314577"/>
    <w:rsid w:val="003158BE"/>
    <w:rsid w:val="003171CA"/>
    <w:rsid w:val="00317C1E"/>
    <w:rsid w:val="00323575"/>
    <w:rsid w:val="00324129"/>
    <w:rsid w:val="00325983"/>
    <w:rsid w:val="00325CE5"/>
    <w:rsid w:val="00330DFF"/>
    <w:rsid w:val="00331217"/>
    <w:rsid w:val="00332606"/>
    <w:rsid w:val="00334683"/>
    <w:rsid w:val="00335964"/>
    <w:rsid w:val="00336454"/>
    <w:rsid w:val="00337A12"/>
    <w:rsid w:val="003422EC"/>
    <w:rsid w:val="00342647"/>
    <w:rsid w:val="003426BB"/>
    <w:rsid w:val="00342EB9"/>
    <w:rsid w:val="00343631"/>
    <w:rsid w:val="00343CFD"/>
    <w:rsid w:val="00345C32"/>
    <w:rsid w:val="00346B7A"/>
    <w:rsid w:val="00347A06"/>
    <w:rsid w:val="0035082E"/>
    <w:rsid w:val="00350CA0"/>
    <w:rsid w:val="00350E2B"/>
    <w:rsid w:val="00351278"/>
    <w:rsid w:val="00352EF1"/>
    <w:rsid w:val="0035350D"/>
    <w:rsid w:val="003551BE"/>
    <w:rsid w:val="003556C0"/>
    <w:rsid w:val="0035612A"/>
    <w:rsid w:val="00356AC8"/>
    <w:rsid w:val="00357FD2"/>
    <w:rsid w:val="003618E4"/>
    <w:rsid w:val="003622CF"/>
    <w:rsid w:val="003626EE"/>
    <w:rsid w:val="003664D6"/>
    <w:rsid w:val="00366AFD"/>
    <w:rsid w:val="00366B03"/>
    <w:rsid w:val="00367917"/>
    <w:rsid w:val="00367D88"/>
    <w:rsid w:val="003708CE"/>
    <w:rsid w:val="00370981"/>
    <w:rsid w:val="003720E3"/>
    <w:rsid w:val="003723FC"/>
    <w:rsid w:val="00372CEF"/>
    <w:rsid w:val="00373319"/>
    <w:rsid w:val="00375E2B"/>
    <w:rsid w:val="003777FB"/>
    <w:rsid w:val="00377B55"/>
    <w:rsid w:val="003816D3"/>
    <w:rsid w:val="00383399"/>
    <w:rsid w:val="00387ABC"/>
    <w:rsid w:val="00387FEA"/>
    <w:rsid w:val="00395798"/>
    <w:rsid w:val="00397A6D"/>
    <w:rsid w:val="003A0377"/>
    <w:rsid w:val="003A1A30"/>
    <w:rsid w:val="003A204F"/>
    <w:rsid w:val="003A3C27"/>
    <w:rsid w:val="003A43CC"/>
    <w:rsid w:val="003A5046"/>
    <w:rsid w:val="003A5798"/>
    <w:rsid w:val="003A6258"/>
    <w:rsid w:val="003A64CD"/>
    <w:rsid w:val="003B0E32"/>
    <w:rsid w:val="003B3696"/>
    <w:rsid w:val="003B4EFC"/>
    <w:rsid w:val="003B51FD"/>
    <w:rsid w:val="003B551F"/>
    <w:rsid w:val="003B560A"/>
    <w:rsid w:val="003B62E2"/>
    <w:rsid w:val="003B79BF"/>
    <w:rsid w:val="003C1FB0"/>
    <w:rsid w:val="003C2600"/>
    <w:rsid w:val="003D0598"/>
    <w:rsid w:val="003D0C2E"/>
    <w:rsid w:val="003D127D"/>
    <w:rsid w:val="003D19FA"/>
    <w:rsid w:val="003D3869"/>
    <w:rsid w:val="003D498E"/>
    <w:rsid w:val="003D580E"/>
    <w:rsid w:val="003D6288"/>
    <w:rsid w:val="003D6F3D"/>
    <w:rsid w:val="003D779D"/>
    <w:rsid w:val="003E1219"/>
    <w:rsid w:val="003E241C"/>
    <w:rsid w:val="003E4956"/>
    <w:rsid w:val="003E4F19"/>
    <w:rsid w:val="003E5E38"/>
    <w:rsid w:val="003E6E7C"/>
    <w:rsid w:val="003E6EB3"/>
    <w:rsid w:val="003E7922"/>
    <w:rsid w:val="003F084A"/>
    <w:rsid w:val="003F6932"/>
    <w:rsid w:val="003F7A92"/>
    <w:rsid w:val="0040000D"/>
    <w:rsid w:val="00400A39"/>
    <w:rsid w:val="00402411"/>
    <w:rsid w:val="00402ECC"/>
    <w:rsid w:val="00403760"/>
    <w:rsid w:val="0040600A"/>
    <w:rsid w:val="0040670D"/>
    <w:rsid w:val="0040792C"/>
    <w:rsid w:val="00410AC9"/>
    <w:rsid w:val="00410CB6"/>
    <w:rsid w:val="00410EED"/>
    <w:rsid w:val="00411B0E"/>
    <w:rsid w:val="0041307A"/>
    <w:rsid w:val="00413B63"/>
    <w:rsid w:val="0041451F"/>
    <w:rsid w:val="00414AB3"/>
    <w:rsid w:val="004155CE"/>
    <w:rsid w:val="004162F2"/>
    <w:rsid w:val="00421682"/>
    <w:rsid w:val="00422925"/>
    <w:rsid w:val="00422E01"/>
    <w:rsid w:val="00423DCB"/>
    <w:rsid w:val="004259CF"/>
    <w:rsid w:val="00425C00"/>
    <w:rsid w:val="00426CBB"/>
    <w:rsid w:val="004275C0"/>
    <w:rsid w:val="00430081"/>
    <w:rsid w:val="0043146C"/>
    <w:rsid w:val="004314A8"/>
    <w:rsid w:val="00436EF2"/>
    <w:rsid w:val="00440398"/>
    <w:rsid w:val="00442889"/>
    <w:rsid w:val="00442F75"/>
    <w:rsid w:val="004449C0"/>
    <w:rsid w:val="00445D43"/>
    <w:rsid w:val="004467DF"/>
    <w:rsid w:val="00450E5E"/>
    <w:rsid w:val="00450FAB"/>
    <w:rsid w:val="004515A0"/>
    <w:rsid w:val="00451671"/>
    <w:rsid w:val="00453054"/>
    <w:rsid w:val="00453B8E"/>
    <w:rsid w:val="004550E9"/>
    <w:rsid w:val="004551D5"/>
    <w:rsid w:val="00456A04"/>
    <w:rsid w:val="0045759E"/>
    <w:rsid w:val="00457B52"/>
    <w:rsid w:val="004608A2"/>
    <w:rsid w:val="00462E13"/>
    <w:rsid w:val="00463FEF"/>
    <w:rsid w:val="00464D0D"/>
    <w:rsid w:val="004671A6"/>
    <w:rsid w:val="00470DEF"/>
    <w:rsid w:val="004727CE"/>
    <w:rsid w:val="00472D70"/>
    <w:rsid w:val="00473F7B"/>
    <w:rsid w:val="00474A21"/>
    <w:rsid w:val="004754B7"/>
    <w:rsid w:val="004754ED"/>
    <w:rsid w:val="00475941"/>
    <w:rsid w:val="00475F82"/>
    <w:rsid w:val="00476B61"/>
    <w:rsid w:val="00480F89"/>
    <w:rsid w:val="00484D16"/>
    <w:rsid w:val="0048505E"/>
    <w:rsid w:val="00486051"/>
    <w:rsid w:val="0049123A"/>
    <w:rsid w:val="0049159E"/>
    <w:rsid w:val="00492F45"/>
    <w:rsid w:val="004932BD"/>
    <w:rsid w:val="00497084"/>
    <w:rsid w:val="004A11A3"/>
    <w:rsid w:val="004A2B79"/>
    <w:rsid w:val="004A2CF6"/>
    <w:rsid w:val="004A34D2"/>
    <w:rsid w:val="004A3FD3"/>
    <w:rsid w:val="004A41D2"/>
    <w:rsid w:val="004A5E48"/>
    <w:rsid w:val="004A648A"/>
    <w:rsid w:val="004B0E75"/>
    <w:rsid w:val="004B1C1F"/>
    <w:rsid w:val="004B2642"/>
    <w:rsid w:val="004B4C77"/>
    <w:rsid w:val="004B5FAE"/>
    <w:rsid w:val="004C0D37"/>
    <w:rsid w:val="004C1004"/>
    <w:rsid w:val="004C3ECD"/>
    <w:rsid w:val="004C57E8"/>
    <w:rsid w:val="004C7D63"/>
    <w:rsid w:val="004D01B2"/>
    <w:rsid w:val="004D07C8"/>
    <w:rsid w:val="004D0F62"/>
    <w:rsid w:val="004D1906"/>
    <w:rsid w:val="004D50EC"/>
    <w:rsid w:val="004D5B56"/>
    <w:rsid w:val="004D6334"/>
    <w:rsid w:val="004D69A6"/>
    <w:rsid w:val="004E04A5"/>
    <w:rsid w:val="004E2CB2"/>
    <w:rsid w:val="004E2E29"/>
    <w:rsid w:val="004E4515"/>
    <w:rsid w:val="004E4B9A"/>
    <w:rsid w:val="004E731D"/>
    <w:rsid w:val="004E7A78"/>
    <w:rsid w:val="004F5AB7"/>
    <w:rsid w:val="004F712F"/>
    <w:rsid w:val="004F71AC"/>
    <w:rsid w:val="0050343A"/>
    <w:rsid w:val="00504B3E"/>
    <w:rsid w:val="00505A2E"/>
    <w:rsid w:val="0051066C"/>
    <w:rsid w:val="0051085D"/>
    <w:rsid w:val="00511067"/>
    <w:rsid w:val="005111E1"/>
    <w:rsid w:val="0051219F"/>
    <w:rsid w:val="00513B5E"/>
    <w:rsid w:val="005150B2"/>
    <w:rsid w:val="00515FE6"/>
    <w:rsid w:val="00516979"/>
    <w:rsid w:val="0051785C"/>
    <w:rsid w:val="00517AC2"/>
    <w:rsid w:val="005202F7"/>
    <w:rsid w:val="0052053E"/>
    <w:rsid w:val="00520E11"/>
    <w:rsid w:val="00522A05"/>
    <w:rsid w:val="00522F55"/>
    <w:rsid w:val="00526066"/>
    <w:rsid w:val="0052646B"/>
    <w:rsid w:val="0052687F"/>
    <w:rsid w:val="005274B2"/>
    <w:rsid w:val="0053164E"/>
    <w:rsid w:val="00532B69"/>
    <w:rsid w:val="00533036"/>
    <w:rsid w:val="005332C0"/>
    <w:rsid w:val="0053374F"/>
    <w:rsid w:val="005339CA"/>
    <w:rsid w:val="00533EFB"/>
    <w:rsid w:val="005342A8"/>
    <w:rsid w:val="0053460C"/>
    <w:rsid w:val="00534796"/>
    <w:rsid w:val="00534CBE"/>
    <w:rsid w:val="0053616C"/>
    <w:rsid w:val="005369DC"/>
    <w:rsid w:val="00540318"/>
    <w:rsid w:val="0054251A"/>
    <w:rsid w:val="005427CA"/>
    <w:rsid w:val="00543DE4"/>
    <w:rsid w:val="0054614F"/>
    <w:rsid w:val="00550530"/>
    <w:rsid w:val="00550C39"/>
    <w:rsid w:val="00552430"/>
    <w:rsid w:val="005527DE"/>
    <w:rsid w:val="005538B1"/>
    <w:rsid w:val="0055576F"/>
    <w:rsid w:val="00556023"/>
    <w:rsid w:val="00557253"/>
    <w:rsid w:val="00561024"/>
    <w:rsid w:val="0056103F"/>
    <w:rsid w:val="00570769"/>
    <w:rsid w:val="00570ADD"/>
    <w:rsid w:val="00570D96"/>
    <w:rsid w:val="005710BE"/>
    <w:rsid w:val="00571453"/>
    <w:rsid w:val="005756C0"/>
    <w:rsid w:val="005758F1"/>
    <w:rsid w:val="005768DB"/>
    <w:rsid w:val="00576D08"/>
    <w:rsid w:val="0057786D"/>
    <w:rsid w:val="005801AF"/>
    <w:rsid w:val="005802D2"/>
    <w:rsid w:val="00580D5B"/>
    <w:rsid w:val="0058162A"/>
    <w:rsid w:val="005828A5"/>
    <w:rsid w:val="00583B12"/>
    <w:rsid w:val="00583B26"/>
    <w:rsid w:val="00585F92"/>
    <w:rsid w:val="00586222"/>
    <w:rsid w:val="00592703"/>
    <w:rsid w:val="005929E0"/>
    <w:rsid w:val="00594D10"/>
    <w:rsid w:val="005965E8"/>
    <w:rsid w:val="00597048"/>
    <w:rsid w:val="005A0A65"/>
    <w:rsid w:val="005A0C4A"/>
    <w:rsid w:val="005A0E03"/>
    <w:rsid w:val="005A100F"/>
    <w:rsid w:val="005A10AB"/>
    <w:rsid w:val="005A24DD"/>
    <w:rsid w:val="005A3421"/>
    <w:rsid w:val="005A682D"/>
    <w:rsid w:val="005A7288"/>
    <w:rsid w:val="005B040F"/>
    <w:rsid w:val="005B13B9"/>
    <w:rsid w:val="005B190A"/>
    <w:rsid w:val="005B30DF"/>
    <w:rsid w:val="005B37FA"/>
    <w:rsid w:val="005B4785"/>
    <w:rsid w:val="005B5E58"/>
    <w:rsid w:val="005B5FD3"/>
    <w:rsid w:val="005C0118"/>
    <w:rsid w:val="005C01E1"/>
    <w:rsid w:val="005C0C48"/>
    <w:rsid w:val="005C0FB0"/>
    <w:rsid w:val="005C120E"/>
    <w:rsid w:val="005C1CA5"/>
    <w:rsid w:val="005C33A1"/>
    <w:rsid w:val="005C59DF"/>
    <w:rsid w:val="005C70B1"/>
    <w:rsid w:val="005C7A2F"/>
    <w:rsid w:val="005C7CEC"/>
    <w:rsid w:val="005D2EB0"/>
    <w:rsid w:val="005D31CC"/>
    <w:rsid w:val="005D37CF"/>
    <w:rsid w:val="005D3D89"/>
    <w:rsid w:val="005D3D8C"/>
    <w:rsid w:val="005D499D"/>
    <w:rsid w:val="005D6734"/>
    <w:rsid w:val="005D6C0B"/>
    <w:rsid w:val="005D7097"/>
    <w:rsid w:val="005E049E"/>
    <w:rsid w:val="005E0A9E"/>
    <w:rsid w:val="005E1E40"/>
    <w:rsid w:val="005F1471"/>
    <w:rsid w:val="005F2B80"/>
    <w:rsid w:val="005F325D"/>
    <w:rsid w:val="005F32EA"/>
    <w:rsid w:val="005F45DA"/>
    <w:rsid w:val="005F4B4F"/>
    <w:rsid w:val="005F591D"/>
    <w:rsid w:val="005F76EB"/>
    <w:rsid w:val="005F7AAF"/>
    <w:rsid w:val="00600A15"/>
    <w:rsid w:val="0060109E"/>
    <w:rsid w:val="00602543"/>
    <w:rsid w:val="00603E2E"/>
    <w:rsid w:val="006045F3"/>
    <w:rsid w:val="00604BA8"/>
    <w:rsid w:val="006057EC"/>
    <w:rsid w:val="00605BF3"/>
    <w:rsid w:val="00606712"/>
    <w:rsid w:val="0061011C"/>
    <w:rsid w:val="006114BC"/>
    <w:rsid w:val="00611C8B"/>
    <w:rsid w:val="00612F7F"/>
    <w:rsid w:val="0061605A"/>
    <w:rsid w:val="00616900"/>
    <w:rsid w:val="00617091"/>
    <w:rsid w:val="0061759A"/>
    <w:rsid w:val="00617C68"/>
    <w:rsid w:val="00620A2D"/>
    <w:rsid w:val="00621708"/>
    <w:rsid w:val="00622313"/>
    <w:rsid w:val="006237BD"/>
    <w:rsid w:val="00623946"/>
    <w:rsid w:val="006243B4"/>
    <w:rsid w:val="00624559"/>
    <w:rsid w:val="00625B0C"/>
    <w:rsid w:val="0062632E"/>
    <w:rsid w:val="00627A36"/>
    <w:rsid w:val="0063241E"/>
    <w:rsid w:val="00632E0C"/>
    <w:rsid w:val="006379B6"/>
    <w:rsid w:val="00641B78"/>
    <w:rsid w:val="00641C09"/>
    <w:rsid w:val="00642944"/>
    <w:rsid w:val="0065035A"/>
    <w:rsid w:val="00650BDE"/>
    <w:rsid w:val="00650FA9"/>
    <w:rsid w:val="00651266"/>
    <w:rsid w:val="006537E6"/>
    <w:rsid w:val="0065395F"/>
    <w:rsid w:val="00655858"/>
    <w:rsid w:val="00655D61"/>
    <w:rsid w:val="0065646D"/>
    <w:rsid w:val="006570F2"/>
    <w:rsid w:val="00657B8C"/>
    <w:rsid w:val="006601F5"/>
    <w:rsid w:val="00660D34"/>
    <w:rsid w:val="0066266E"/>
    <w:rsid w:val="006638A7"/>
    <w:rsid w:val="00663CE9"/>
    <w:rsid w:val="006644EA"/>
    <w:rsid w:val="00665432"/>
    <w:rsid w:val="00665725"/>
    <w:rsid w:val="00665E33"/>
    <w:rsid w:val="00667B9E"/>
    <w:rsid w:val="00667BC7"/>
    <w:rsid w:val="00670379"/>
    <w:rsid w:val="006704A9"/>
    <w:rsid w:val="006720C9"/>
    <w:rsid w:val="00673D3E"/>
    <w:rsid w:val="0067438A"/>
    <w:rsid w:val="00674EAC"/>
    <w:rsid w:val="006751AF"/>
    <w:rsid w:val="006769AF"/>
    <w:rsid w:val="0067787D"/>
    <w:rsid w:val="0068110A"/>
    <w:rsid w:val="0068121E"/>
    <w:rsid w:val="0068139C"/>
    <w:rsid w:val="006827F5"/>
    <w:rsid w:val="00687046"/>
    <w:rsid w:val="00692274"/>
    <w:rsid w:val="006931AA"/>
    <w:rsid w:val="00695F4F"/>
    <w:rsid w:val="00696E39"/>
    <w:rsid w:val="0069718F"/>
    <w:rsid w:val="0069792F"/>
    <w:rsid w:val="006A1C0B"/>
    <w:rsid w:val="006A3065"/>
    <w:rsid w:val="006A4689"/>
    <w:rsid w:val="006A69A0"/>
    <w:rsid w:val="006A7092"/>
    <w:rsid w:val="006A7B6B"/>
    <w:rsid w:val="006A7C57"/>
    <w:rsid w:val="006B0B0F"/>
    <w:rsid w:val="006B0B80"/>
    <w:rsid w:val="006B0ED1"/>
    <w:rsid w:val="006B135C"/>
    <w:rsid w:val="006B2223"/>
    <w:rsid w:val="006B2BDA"/>
    <w:rsid w:val="006B65C3"/>
    <w:rsid w:val="006B6E45"/>
    <w:rsid w:val="006B79A7"/>
    <w:rsid w:val="006C02C3"/>
    <w:rsid w:val="006C0E1B"/>
    <w:rsid w:val="006C1797"/>
    <w:rsid w:val="006C2036"/>
    <w:rsid w:val="006C4915"/>
    <w:rsid w:val="006C56E5"/>
    <w:rsid w:val="006C627E"/>
    <w:rsid w:val="006D0C46"/>
    <w:rsid w:val="006D0C8B"/>
    <w:rsid w:val="006D162E"/>
    <w:rsid w:val="006D18B1"/>
    <w:rsid w:val="006D1D64"/>
    <w:rsid w:val="006D54C3"/>
    <w:rsid w:val="006D5508"/>
    <w:rsid w:val="006D6120"/>
    <w:rsid w:val="006D659D"/>
    <w:rsid w:val="006E06D7"/>
    <w:rsid w:val="006E1576"/>
    <w:rsid w:val="006E18D1"/>
    <w:rsid w:val="006E3B2A"/>
    <w:rsid w:val="006E65FC"/>
    <w:rsid w:val="006F03EA"/>
    <w:rsid w:val="006F28AC"/>
    <w:rsid w:val="006F2B43"/>
    <w:rsid w:val="006F2E2D"/>
    <w:rsid w:val="006F30D3"/>
    <w:rsid w:val="006F579F"/>
    <w:rsid w:val="006F754B"/>
    <w:rsid w:val="006F7BD1"/>
    <w:rsid w:val="00701A2F"/>
    <w:rsid w:val="00702358"/>
    <w:rsid w:val="00702979"/>
    <w:rsid w:val="00704F50"/>
    <w:rsid w:val="00704F7E"/>
    <w:rsid w:val="00705998"/>
    <w:rsid w:val="00705F96"/>
    <w:rsid w:val="00706443"/>
    <w:rsid w:val="00707D58"/>
    <w:rsid w:val="0071028C"/>
    <w:rsid w:val="007103F9"/>
    <w:rsid w:val="0071090B"/>
    <w:rsid w:val="00712312"/>
    <w:rsid w:val="007127E4"/>
    <w:rsid w:val="00712D93"/>
    <w:rsid w:val="00713B97"/>
    <w:rsid w:val="007143B4"/>
    <w:rsid w:val="007148AB"/>
    <w:rsid w:val="007173EE"/>
    <w:rsid w:val="0072027E"/>
    <w:rsid w:val="007207B7"/>
    <w:rsid w:val="00720F05"/>
    <w:rsid w:val="00722150"/>
    <w:rsid w:val="00722FDC"/>
    <w:rsid w:val="00723B4C"/>
    <w:rsid w:val="00726BBC"/>
    <w:rsid w:val="00727A72"/>
    <w:rsid w:val="00731DB3"/>
    <w:rsid w:val="007320FA"/>
    <w:rsid w:val="00736AAE"/>
    <w:rsid w:val="00740C6E"/>
    <w:rsid w:val="00741064"/>
    <w:rsid w:val="007426E2"/>
    <w:rsid w:val="00742CDB"/>
    <w:rsid w:val="007439E8"/>
    <w:rsid w:val="00743C4C"/>
    <w:rsid w:val="00744C9A"/>
    <w:rsid w:val="00745572"/>
    <w:rsid w:val="007461E1"/>
    <w:rsid w:val="00747121"/>
    <w:rsid w:val="0075014C"/>
    <w:rsid w:val="0075023C"/>
    <w:rsid w:val="0075026B"/>
    <w:rsid w:val="007502A2"/>
    <w:rsid w:val="007525EE"/>
    <w:rsid w:val="00753234"/>
    <w:rsid w:val="0075375B"/>
    <w:rsid w:val="00753C81"/>
    <w:rsid w:val="007564E3"/>
    <w:rsid w:val="00756EC9"/>
    <w:rsid w:val="00760E3E"/>
    <w:rsid w:val="00762260"/>
    <w:rsid w:val="00765FE3"/>
    <w:rsid w:val="0076607C"/>
    <w:rsid w:val="00770EDC"/>
    <w:rsid w:val="00770FCC"/>
    <w:rsid w:val="00771F9E"/>
    <w:rsid w:val="007733B4"/>
    <w:rsid w:val="00773B27"/>
    <w:rsid w:val="007740A6"/>
    <w:rsid w:val="00774DBF"/>
    <w:rsid w:val="007751DE"/>
    <w:rsid w:val="007755A5"/>
    <w:rsid w:val="007763FA"/>
    <w:rsid w:val="0077795F"/>
    <w:rsid w:val="007779BA"/>
    <w:rsid w:val="00781F9D"/>
    <w:rsid w:val="00782614"/>
    <w:rsid w:val="00783000"/>
    <w:rsid w:val="00783DA5"/>
    <w:rsid w:val="00785036"/>
    <w:rsid w:val="00786DFD"/>
    <w:rsid w:val="007873DF"/>
    <w:rsid w:val="0079007D"/>
    <w:rsid w:val="0079082E"/>
    <w:rsid w:val="007917B6"/>
    <w:rsid w:val="00792A2C"/>
    <w:rsid w:val="00792CB6"/>
    <w:rsid w:val="00795D1A"/>
    <w:rsid w:val="00796030"/>
    <w:rsid w:val="007969A4"/>
    <w:rsid w:val="00796BD7"/>
    <w:rsid w:val="007978AD"/>
    <w:rsid w:val="007A18AF"/>
    <w:rsid w:val="007A286A"/>
    <w:rsid w:val="007A2AF8"/>
    <w:rsid w:val="007A2D1D"/>
    <w:rsid w:val="007A4663"/>
    <w:rsid w:val="007A5BB6"/>
    <w:rsid w:val="007A79DD"/>
    <w:rsid w:val="007B0D40"/>
    <w:rsid w:val="007B30C6"/>
    <w:rsid w:val="007B385F"/>
    <w:rsid w:val="007B5910"/>
    <w:rsid w:val="007B6AB5"/>
    <w:rsid w:val="007C1B51"/>
    <w:rsid w:val="007C1F92"/>
    <w:rsid w:val="007D02FB"/>
    <w:rsid w:val="007D2C3B"/>
    <w:rsid w:val="007D34A1"/>
    <w:rsid w:val="007D4AE2"/>
    <w:rsid w:val="007D5B0C"/>
    <w:rsid w:val="007D75A4"/>
    <w:rsid w:val="007E0620"/>
    <w:rsid w:val="007E0757"/>
    <w:rsid w:val="007E0EE2"/>
    <w:rsid w:val="007E2F43"/>
    <w:rsid w:val="007E33D9"/>
    <w:rsid w:val="007E7963"/>
    <w:rsid w:val="007F011E"/>
    <w:rsid w:val="007F1D48"/>
    <w:rsid w:val="007F6EAB"/>
    <w:rsid w:val="00800369"/>
    <w:rsid w:val="00801014"/>
    <w:rsid w:val="0080341D"/>
    <w:rsid w:val="00803DC6"/>
    <w:rsid w:val="0080486F"/>
    <w:rsid w:val="00804A18"/>
    <w:rsid w:val="0080592A"/>
    <w:rsid w:val="00806842"/>
    <w:rsid w:val="008068C9"/>
    <w:rsid w:val="008118EA"/>
    <w:rsid w:val="00812A2B"/>
    <w:rsid w:val="008154EA"/>
    <w:rsid w:val="00820463"/>
    <w:rsid w:val="0082079B"/>
    <w:rsid w:val="00820D06"/>
    <w:rsid w:val="008215DD"/>
    <w:rsid w:val="00821CB8"/>
    <w:rsid w:val="008228D1"/>
    <w:rsid w:val="008233B1"/>
    <w:rsid w:val="00823DC1"/>
    <w:rsid w:val="00824C56"/>
    <w:rsid w:val="00827D45"/>
    <w:rsid w:val="00830ED2"/>
    <w:rsid w:val="0083128C"/>
    <w:rsid w:val="00832C6B"/>
    <w:rsid w:val="00832DA4"/>
    <w:rsid w:val="0083303C"/>
    <w:rsid w:val="008343D9"/>
    <w:rsid w:val="00834746"/>
    <w:rsid w:val="008352A2"/>
    <w:rsid w:val="008378CD"/>
    <w:rsid w:val="00837FD3"/>
    <w:rsid w:val="008400DB"/>
    <w:rsid w:val="0084297D"/>
    <w:rsid w:val="00843382"/>
    <w:rsid w:val="0084421B"/>
    <w:rsid w:val="00846951"/>
    <w:rsid w:val="008470DF"/>
    <w:rsid w:val="008477A6"/>
    <w:rsid w:val="008478C5"/>
    <w:rsid w:val="008503A6"/>
    <w:rsid w:val="00850AFA"/>
    <w:rsid w:val="00851324"/>
    <w:rsid w:val="00851477"/>
    <w:rsid w:val="00851851"/>
    <w:rsid w:val="00853D58"/>
    <w:rsid w:val="0085567C"/>
    <w:rsid w:val="008573F0"/>
    <w:rsid w:val="00857A17"/>
    <w:rsid w:val="00860C0A"/>
    <w:rsid w:val="0086117E"/>
    <w:rsid w:val="00861324"/>
    <w:rsid w:val="008619B2"/>
    <w:rsid w:val="0086242F"/>
    <w:rsid w:val="00862706"/>
    <w:rsid w:val="00862986"/>
    <w:rsid w:val="00862D3D"/>
    <w:rsid w:val="008644FF"/>
    <w:rsid w:val="00864927"/>
    <w:rsid w:val="00864DFE"/>
    <w:rsid w:val="00866E80"/>
    <w:rsid w:val="00870884"/>
    <w:rsid w:val="00870E3B"/>
    <w:rsid w:val="0087177E"/>
    <w:rsid w:val="0087194F"/>
    <w:rsid w:val="0087280F"/>
    <w:rsid w:val="00873818"/>
    <w:rsid w:val="00873CD6"/>
    <w:rsid w:val="00881E85"/>
    <w:rsid w:val="00883CC0"/>
    <w:rsid w:val="0089024A"/>
    <w:rsid w:val="00890738"/>
    <w:rsid w:val="00893728"/>
    <w:rsid w:val="008957FF"/>
    <w:rsid w:val="00896445"/>
    <w:rsid w:val="0089781B"/>
    <w:rsid w:val="008A1198"/>
    <w:rsid w:val="008A12A2"/>
    <w:rsid w:val="008A166A"/>
    <w:rsid w:val="008A2F1D"/>
    <w:rsid w:val="008A3FA8"/>
    <w:rsid w:val="008A6D8F"/>
    <w:rsid w:val="008B2130"/>
    <w:rsid w:val="008B3335"/>
    <w:rsid w:val="008B431B"/>
    <w:rsid w:val="008B45E5"/>
    <w:rsid w:val="008B618D"/>
    <w:rsid w:val="008B7251"/>
    <w:rsid w:val="008B75AC"/>
    <w:rsid w:val="008C23CC"/>
    <w:rsid w:val="008C249D"/>
    <w:rsid w:val="008C25C2"/>
    <w:rsid w:val="008C2E3C"/>
    <w:rsid w:val="008C3417"/>
    <w:rsid w:val="008C7934"/>
    <w:rsid w:val="008D0FF0"/>
    <w:rsid w:val="008D12D0"/>
    <w:rsid w:val="008D561D"/>
    <w:rsid w:val="008E0D22"/>
    <w:rsid w:val="008E22C4"/>
    <w:rsid w:val="008E37FD"/>
    <w:rsid w:val="008E4B89"/>
    <w:rsid w:val="008E4BA4"/>
    <w:rsid w:val="008E4E8F"/>
    <w:rsid w:val="008E585C"/>
    <w:rsid w:val="008E67F2"/>
    <w:rsid w:val="008E6B88"/>
    <w:rsid w:val="008E780C"/>
    <w:rsid w:val="008F1078"/>
    <w:rsid w:val="008F540E"/>
    <w:rsid w:val="008F7B1D"/>
    <w:rsid w:val="008F7B4B"/>
    <w:rsid w:val="00901CF8"/>
    <w:rsid w:val="00901D73"/>
    <w:rsid w:val="00902715"/>
    <w:rsid w:val="00905160"/>
    <w:rsid w:val="009059E0"/>
    <w:rsid w:val="00907557"/>
    <w:rsid w:val="0091127E"/>
    <w:rsid w:val="00912182"/>
    <w:rsid w:val="00912689"/>
    <w:rsid w:val="0091293F"/>
    <w:rsid w:val="00912BEA"/>
    <w:rsid w:val="00912C1C"/>
    <w:rsid w:val="00912D39"/>
    <w:rsid w:val="00913744"/>
    <w:rsid w:val="009157AB"/>
    <w:rsid w:val="009157B3"/>
    <w:rsid w:val="00915B52"/>
    <w:rsid w:val="00916D03"/>
    <w:rsid w:val="00916F13"/>
    <w:rsid w:val="00920E90"/>
    <w:rsid w:val="009220E5"/>
    <w:rsid w:val="009226C7"/>
    <w:rsid w:val="00924744"/>
    <w:rsid w:val="00925945"/>
    <w:rsid w:val="00925C37"/>
    <w:rsid w:val="00925FFD"/>
    <w:rsid w:val="0092641B"/>
    <w:rsid w:val="00926A11"/>
    <w:rsid w:val="009275A7"/>
    <w:rsid w:val="00931AE3"/>
    <w:rsid w:val="00933BDC"/>
    <w:rsid w:val="009353F6"/>
    <w:rsid w:val="009358D0"/>
    <w:rsid w:val="0093642E"/>
    <w:rsid w:val="009368F6"/>
    <w:rsid w:val="00936E54"/>
    <w:rsid w:val="00936EA0"/>
    <w:rsid w:val="00937C91"/>
    <w:rsid w:val="00937E5B"/>
    <w:rsid w:val="00940FE4"/>
    <w:rsid w:val="0094110F"/>
    <w:rsid w:val="00941F01"/>
    <w:rsid w:val="00942BC9"/>
    <w:rsid w:val="00942D46"/>
    <w:rsid w:val="00943840"/>
    <w:rsid w:val="009444B0"/>
    <w:rsid w:val="00947332"/>
    <w:rsid w:val="009509B6"/>
    <w:rsid w:val="00950D31"/>
    <w:rsid w:val="0095234F"/>
    <w:rsid w:val="00954734"/>
    <w:rsid w:val="00956467"/>
    <w:rsid w:val="00957CCD"/>
    <w:rsid w:val="00957E15"/>
    <w:rsid w:val="00960BE8"/>
    <w:rsid w:val="00962A7A"/>
    <w:rsid w:val="00963C58"/>
    <w:rsid w:val="009656F0"/>
    <w:rsid w:val="00966062"/>
    <w:rsid w:val="00970546"/>
    <w:rsid w:val="00970831"/>
    <w:rsid w:val="009712B2"/>
    <w:rsid w:val="0097222F"/>
    <w:rsid w:val="0097366F"/>
    <w:rsid w:val="00974110"/>
    <w:rsid w:val="00977E9F"/>
    <w:rsid w:val="00980754"/>
    <w:rsid w:val="009811FC"/>
    <w:rsid w:val="00981688"/>
    <w:rsid w:val="009817A0"/>
    <w:rsid w:val="00985C4A"/>
    <w:rsid w:val="00985F1C"/>
    <w:rsid w:val="009911CF"/>
    <w:rsid w:val="009913E7"/>
    <w:rsid w:val="009917F6"/>
    <w:rsid w:val="009922A2"/>
    <w:rsid w:val="00993274"/>
    <w:rsid w:val="00993603"/>
    <w:rsid w:val="00993C8E"/>
    <w:rsid w:val="009943BD"/>
    <w:rsid w:val="00995261"/>
    <w:rsid w:val="00995704"/>
    <w:rsid w:val="009958BF"/>
    <w:rsid w:val="00995B9D"/>
    <w:rsid w:val="009979B2"/>
    <w:rsid w:val="00997DF1"/>
    <w:rsid w:val="00997F23"/>
    <w:rsid w:val="009A06DD"/>
    <w:rsid w:val="009A159B"/>
    <w:rsid w:val="009A1942"/>
    <w:rsid w:val="009A5B43"/>
    <w:rsid w:val="009A68BA"/>
    <w:rsid w:val="009A7B16"/>
    <w:rsid w:val="009B0A87"/>
    <w:rsid w:val="009B1B2A"/>
    <w:rsid w:val="009B29B5"/>
    <w:rsid w:val="009C03C9"/>
    <w:rsid w:val="009C2B36"/>
    <w:rsid w:val="009C3B99"/>
    <w:rsid w:val="009C69FD"/>
    <w:rsid w:val="009D2DB0"/>
    <w:rsid w:val="009D4672"/>
    <w:rsid w:val="009D56F5"/>
    <w:rsid w:val="009D5D70"/>
    <w:rsid w:val="009E5254"/>
    <w:rsid w:val="009E6B5D"/>
    <w:rsid w:val="009E6D2C"/>
    <w:rsid w:val="009E7DAE"/>
    <w:rsid w:val="009F0719"/>
    <w:rsid w:val="009F22A2"/>
    <w:rsid w:val="009F3C5B"/>
    <w:rsid w:val="009F52E1"/>
    <w:rsid w:val="00A0170F"/>
    <w:rsid w:val="00A02A5F"/>
    <w:rsid w:val="00A02ABB"/>
    <w:rsid w:val="00A03E74"/>
    <w:rsid w:val="00A05365"/>
    <w:rsid w:val="00A0674A"/>
    <w:rsid w:val="00A07110"/>
    <w:rsid w:val="00A07678"/>
    <w:rsid w:val="00A10007"/>
    <w:rsid w:val="00A10F13"/>
    <w:rsid w:val="00A12614"/>
    <w:rsid w:val="00A1262C"/>
    <w:rsid w:val="00A14C93"/>
    <w:rsid w:val="00A15C66"/>
    <w:rsid w:val="00A15D45"/>
    <w:rsid w:val="00A15F7D"/>
    <w:rsid w:val="00A17FD0"/>
    <w:rsid w:val="00A22C4C"/>
    <w:rsid w:val="00A232C8"/>
    <w:rsid w:val="00A23BFC"/>
    <w:rsid w:val="00A24CC9"/>
    <w:rsid w:val="00A24D76"/>
    <w:rsid w:val="00A25D7A"/>
    <w:rsid w:val="00A2620B"/>
    <w:rsid w:val="00A263DA"/>
    <w:rsid w:val="00A276EF"/>
    <w:rsid w:val="00A30F72"/>
    <w:rsid w:val="00A31438"/>
    <w:rsid w:val="00A3189D"/>
    <w:rsid w:val="00A31B1A"/>
    <w:rsid w:val="00A31CD0"/>
    <w:rsid w:val="00A32399"/>
    <w:rsid w:val="00A32E78"/>
    <w:rsid w:val="00A345C8"/>
    <w:rsid w:val="00A359B4"/>
    <w:rsid w:val="00A3637C"/>
    <w:rsid w:val="00A37A4B"/>
    <w:rsid w:val="00A40951"/>
    <w:rsid w:val="00A415FB"/>
    <w:rsid w:val="00A4275B"/>
    <w:rsid w:val="00A43D13"/>
    <w:rsid w:val="00A43F6B"/>
    <w:rsid w:val="00A44C94"/>
    <w:rsid w:val="00A4587B"/>
    <w:rsid w:val="00A4785A"/>
    <w:rsid w:val="00A47F2A"/>
    <w:rsid w:val="00A5482A"/>
    <w:rsid w:val="00A55162"/>
    <w:rsid w:val="00A56204"/>
    <w:rsid w:val="00A575FE"/>
    <w:rsid w:val="00A57BC3"/>
    <w:rsid w:val="00A6133E"/>
    <w:rsid w:val="00A61FBD"/>
    <w:rsid w:val="00A6247F"/>
    <w:rsid w:val="00A631AA"/>
    <w:rsid w:val="00A635E8"/>
    <w:rsid w:val="00A6368D"/>
    <w:rsid w:val="00A6407C"/>
    <w:rsid w:val="00A64A4E"/>
    <w:rsid w:val="00A64C88"/>
    <w:rsid w:val="00A65142"/>
    <w:rsid w:val="00A6531B"/>
    <w:rsid w:val="00A707A3"/>
    <w:rsid w:val="00A75CB4"/>
    <w:rsid w:val="00A776FE"/>
    <w:rsid w:val="00A80065"/>
    <w:rsid w:val="00A82539"/>
    <w:rsid w:val="00A8377E"/>
    <w:rsid w:val="00A83852"/>
    <w:rsid w:val="00A83AD2"/>
    <w:rsid w:val="00A84693"/>
    <w:rsid w:val="00A84A93"/>
    <w:rsid w:val="00A87D5B"/>
    <w:rsid w:val="00A87FA3"/>
    <w:rsid w:val="00A909A5"/>
    <w:rsid w:val="00A91841"/>
    <w:rsid w:val="00A93136"/>
    <w:rsid w:val="00A94CE9"/>
    <w:rsid w:val="00A970E4"/>
    <w:rsid w:val="00AA5AAB"/>
    <w:rsid w:val="00AA5B28"/>
    <w:rsid w:val="00AA6A42"/>
    <w:rsid w:val="00AA7938"/>
    <w:rsid w:val="00AB021C"/>
    <w:rsid w:val="00AB1AED"/>
    <w:rsid w:val="00AB497D"/>
    <w:rsid w:val="00AB5376"/>
    <w:rsid w:val="00AB6096"/>
    <w:rsid w:val="00AB65A4"/>
    <w:rsid w:val="00AB75C7"/>
    <w:rsid w:val="00AB7D0D"/>
    <w:rsid w:val="00AC26A5"/>
    <w:rsid w:val="00AC29A7"/>
    <w:rsid w:val="00AC2CD8"/>
    <w:rsid w:val="00AC311D"/>
    <w:rsid w:val="00AC4775"/>
    <w:rsid w:val="00AC523A"/>
    <w:rsid w:val="00AC736D"/>
    <w:rsid w:val="00AD11F0"/>
    <w:rsid w:val="00AD3692"/>
    <w:rsid w:val="00AD6CA1"/>
    <w:rsid w:val="00AE02BF"/>
    <w:rsid w:val="00AE249B"/>
    <w:rsid w:val="00AE36ED"/>
    <w:rsid w:val="00AE5213"/>
    <w:rsid w:val="00AE6BC4"/>
    <w:rsid w:val="00AE7036"/>
    <w:rsid w:val="00AE77D6"/>
    <w:rsid w:val="00AF1001"/>
    <w:rsid w:val="00AF182A"/>
    <w:rsid w:val="00AF3D45"/>
    <w:rsid w:val="00AF481D"/>
    <w:rsid w:val="00AF48B8"/>
    <w:rsid w:val="00AF49AB"/>
    <w:rsid w:val="00AF56F5"/>
    <w:rsid w:val="00B00BB6"/>
    <w:rsid w:val="00B03976"/>
    <w:rsid w:val="00B05B84"/>
    <w:rsid w:val="00B05BE9"/>
    <w:rsid w:val="00B11A0F"/>
    <w:rsid w:val="00B129AE"/>
    <w:rsid w:val="00B12DCC"/>
    <w:rsid w:val="00B12EFE"/>
    <w:rsid w:val="00B13784"/>
    <w:rsid w:val="00B15737"/>
    <w:rsid w:val="00B17822"/>
    <w:rsid w:val="00B2262C"/>
    <w:rsid w:val="00B24630"/>
    <w:rsid w:val="00B24DE2"/>
    <w:rsid w:val="00B25457"/>
    <w:rsid w:val="00B25C30"/>
    <w:rsid w:val="00B26835"/>
    <w:rsid w:val="00B2697A"/>
    <w:rsid w:val="00B27D81"/>
    <w:rsid w:val="00B27F50"/>
    <w:rsid w:val="00B32837"/>
    <w:rsid w:val="00B328E0"/>
    <w:rsid w:val="00B339B3"/>
    <w:rsid w:val="00B360D9"/>
    <w:rsid w:val="00B407BC"/>
    <w:rsid w:val="00B40B37"/>
    <w:rsid w:val="00B411A4"/>
    <w:rsid w:val="00B417B0"/>
    <w:rsid w:val="00B4266E"/>
    <w:rsid w:val="00B4551C"/>
    <w:rsid w:val="00B4561B"/>
    <w:rsid w:val="00B46438"/>
    <w:rsid w:val="00B47764"/>
    <w:rsid w:val="00B50BE4"/>
    <w:rsid w:val="00B5248D"/>
    <w:rsid w:val="00B52764"/>
    <w:rsid w:val="00B53C2D"/>
    <w:rsid w:val="00B540C3"/>
    <w:rsid w:val="00B543C6"/>
    <w:rsid w:val="00B549E5"/>
    <w:rsid w:val="00B57652"/>
    <w:rsid w:val="00B579BA"/>
    <w:rsid w:val="00B62997"/>
    <w:rsid w:val="00B634A9"/>
    <w:rsid w:val="00B6393F"/>
    <w:rsid w:val="00B63ABE"/>
    <w:rsid w:val="00B66386"/>
    <w:rsid w:val="00B66858"/>
    <w:rsid w:val="00B66A96"/>
    <w:rsid w:val="00B670D0"/>
    <w:rsid w:val="00B71130"/>
    <w:rsid w:val="00B72513"/>
    <w:rsid w:val="00B7343F"/>
    <w:rsid w:val="00B73F2C"/>
    <w:rsid w:val="00B80538"/>
    <w:rsid w:val="00B82D0B"/>
    <w:rsid w:val="00B839E2"/>
    <w:rsid w:val="00B847E7"/>
    <w:rsid w:val="00B84ADC"/>
    <w:rsid w:val="00B903A8"/>
    <w:rsid w:val="00B91233"/>
    <w:rsid w:val="00B91655"/>
    <w:rsid w:val="00B924DA"/>
    <w:rsid w:val="00B924E2"/>
    <w:rsid w:val="00B92A4B"/>
    <w:rsid w:val="00B96573"/>
    <w:rsid w:val="00B972F4"/>
    <w:rsid w:val="00B97470"/>
    <w:rsid w:val="00B97FD9"/>
    <w:rsid w:val="00BA0836"/>
    <w:rsid w:val="00BA0DD1"/>
    <w:rsid w:val="00BA1711"/>
    <w:rsid w:val="00BA1859"/>
    <w:rsid w:val="00BA27A0"/>
    <w:rsid w:val="00BA2D50"/>
    <w:rsid w:val="00BA3010"/>
    <w:rsid w:val="00BA35F9"/>
    <w:rsid w:val="00BA56A3"/>
    <w:rsid w:val="00BB12C7"/>
    <w:rsid w:val="00BB12E5"/>
    <w:rsid w:val="00BB339F"/>
    <w:rsid w:val="00BB4721"/>
    <w:rsid w:val="00BB54D9"/>
    <w:rsid w:val="00BC0F92"/>
    <w:rsid w:val="00BC2242"/>
    <w:rsid w:val="00BC2CA0"/>
    <w:rsid w:val="00BC7A89"/>
    <w:rsid w:val="00BD0E9F"/>
    <w:rsid w:val="00BD2C34"/>
    <w:rsid w:val="00BD579C"/>
    <w:rsid w:val="00BE10B9"/>
    <w:rsid w:val="00BE160D"/>
    <w:rsid w:val="00BE5395"/>
    <w:rsid w:val="00BE5599"/>
    <w:rsid w:val="00BE5831"/>
    <w:rsid w:val="00BE5EE9"/>
    <w:rsid w:val="00BE69D9"/>
    <w:rsid w:val="00BE78E3"/>
    <w:rsid w:val="00BE7940"/>
    <w:rsid w:val="00BE7BB6"/>
    <w:rsid w:val="00BE7F34"/>
    <w:rsid w:val="00BF04A3"/>
    <w:rsid w:val="00BF22FA"/>
    <w:rsid w:val="00BF4B93"/>
    <w:rsid w:val="00BF5CDB"/>
    <w:rsid w:val="00C003C4"/>
    <w:rsid w:val="00C01B7C"/>
    <w:rsid w:val="00C023A6"/>
    <w:rsid w:val="00C02501"/>
    <w:rsid w:val="00C026CA"/>
    <w:rsid w:val="00C0421E"/>
    <w:rsid w:val="00C04E67"/>
    <w:rsid w:val="00C1048B"/>
    <w:rsid w:val="00C1113F"/>
    <w:rsid w:val="00C1236A"/>
    <w:rsid w:val="00C12BB4"/>
    <w:rsid w:val="00C1359A"/>
    <w:rsid w:val="00C14F16"/>
    <w:rsid w:val="00C16054"/>
    <w:rsid w:val="00C16225"/>
    <w:rsid w:val="00C20DB3"/>
    <w:rsid w:val="00C23D9D"/>
    <w:rsid w:val="00C23E7B"/>
    <w:rsid w:val="00C250B0"/>
    <w:rsid w:val="00C30464"/>
    <w:rsid w:val="00C30614"/>
    <w:rsid w:val="00C30D59"/>
    <w:rsid w:val="00C31D93"/>
    <w:rsid w:val="00C32934"/>
    <w:rsid w:val="00C32E32"/>
    <w:rsid w:val="00C330C5"/>
    <w:rsid w:val="00C3330A"/>
    <w:rsid w:val="00C344BF"/>
    <w:rsid w:val="00C34CEF"/>
    <w:rsid w:val="00C358BE"/>
    <w:rsid w:val="00C35AA4"/>
    <w:rsid w:val="00C35C4F"/>
    <w:rsid w:val="00C36765"/>
    <w:rsid w:val="00C36823"/>
    <w:rsid w:val="00C44274"/>
    <w:rsid w:val="00C45234"/>
    <w:rsid w:val="00C462CA"/>
    <w:rsid w:val="00C46BFF"/>
    <w:rsid w:val="00C50895"/>
    <w:rsid w:val="00C55230"/>
    <w:rsid w:val="00C55806"/>
    <w:rsid w:val="00C56696"/>
    <w:rsid w:val="00C56A82"/>
    <w:rsid w:val="00C571A2"/>
    <w:rsid w:val="00C57516"/>
    <w:rsid w:val="00C6064E"/>
    <w:rsid w:val="00C619A8"/>
    <w:rsid w:val="00C63AAA"/>
    <w:rsid w:val="00C63DE9"/>
    <w:rsid w:val="00C64C38"/>
    <w:rsid w:val="00C658DB"/>
    <w:rsid w:val="00C664F4"/>
    <w:rsid w:val="00C66F80"/>
    <w:rsid w:val="00C6734B"/>
    <w:rsid w:val="00C6749F"/>
    <w:rsid w:val="00C70573"/>
    <w:rsid w:val="00C705EF"/>
    <w:rsid w:val="00C7156A"/>
    <w:rsid w:val="00C741FD"/>
    <w:rsid w:val="00C746D6"/>
    <w:rsid w:val="00C76603"/>
    <w:rsid w:val="00C772FF"/>
    <w:rsid w:val="00C806F6"/>
    <w:rsid w:val="00C813CD"/>
    <w:rsid w:val="00C81C0A"/>
    <w:rsid w:val="00C81D4C"/>
    <w:rsid w:val="00C81EC4"/>
    <w:rsid w:val="00C83DB6"/>
    <w:rsid w:val="00C84BC1"/>
    <w:rsid w:val="00C86F77"/>
    <w:rsid w:val="00C906E8"/>
    <w:rsid w:val="00C911C3"/>
    <w:rsid w:val="00C9140C"/>
    <w:rsid w:val="00C91F66"/>
    <w:rsid w:val="00C92120"/>
    <w:rsid w:val="00C92747"/>
    <w:rsid w:val="00C93C62"/>
    <w:rsid w:val="00C95422"/>
    <w:rsid w:val="00C95DC3"/>
    <w:rsid w:val="00C96CFA"/>
    <w:rsid w:val="00C97777"/>
    <w:rsid w:val="00CA03D1"/>
    <w:rsid w:val="00CA060B"/>
    <w:rsid w:val="00CA0AA1"/>
    <w:rsid w:val="00CA18DE"/>
    <w:rsid w:val="00CA2180"/>
    <w:rsid w:val="00CA2615"/>
    <w:rsid w:val="00CA2C97"/>
    <w:rsid w:val="00CA34E5"/>
    <w:rsid w:val="00CA3B92"/>
    <w:rsid w:val="00CA3C7F"/>
    <w:rsid w:val="00CA4572"/>
    <w:rsid w:val="00CA4C09"/>
    <w:rsid w:val="00CA5BA9"/>
    <w:rsid w:val="00CA6E32"/>
    <w:rsid w:val="00CA7DB1"/>
    <w:rsid w:val="00CB7318"/>
    <w:rsid w:val="00CC004F"/>
    <w:rsid w:val="00CC1212"/>
    <w:rsid w:val="00CC5876"/>
    <w:rsid w:val="00CC5EAB"/>
    <w:rsid w:val="00CC7425"/>
    <w:rsid w:val="00CC7FD2"/>
    <w:rsid w:val="00CD1435"/>
    <w:rsid w:val="00CD197A"/>
    <w:rsid w:val="00CD654C"/>
    <w:rsid w:val="00CD7043"/>
    <w:rsid w:val="00CE0208"/>
    <w:rsid w:val="00CE2132"/>
    <w:rsid w:val="00CE2806"/>
    <w:rsid w:val="00CE2F38"/>
    <w:rsid w:val="00CE48B7"/>
    <w:rsid w:val="00CE4BB6"/>
    <w:rsid w:val="00CF089E"/>
    <w:rsid w:val="00CF4805"/>
    <w:rsid w:val="00CF52EA"/>
    <w:rsid w:val="00CF6795"/>
    <w:rsid w:val="00CF6E1F"/>
    <w:rsid w:val="00CF768B"/>
    <w:rsid w:val="00CF7BB0"/>
    <w:rsid w:val="00CF7E3E"/>
    <w:rsid w:val="00D02403"/>
    <w:rsid w:val="00D028B5"/>
    <w:rsid w:val="00D035FE"/>
    <w:rsid w:val="00D03E7B"/>
    <w:rsid w:val="00D03EF9"/>
    <w:rsid w:val="00D05CBE"/>
    <w:rsid w:val="00D05E52"/>
    <w:rsid w:val="00D060AA"/>
    <w:rsid w:val="00D10C1D"/>
    <w:rsid w:val="00D117CC"/>
    <w:rsid w:val="00D1288E"/>
    <w:rsid w:val="00D12F05"/>
    <w:rsid w:val="00D13092"/>
    <w:rsid w:val="00D13A59"/>
    <w:rsid w:val="00D13E44"/>
    <w:rsid w:val="00D14385"/>
    <w:rsid w:val="00D14BB8"/>
    <w:rsid w:val="00D14E40"/>
    <w:rsid w:val="00D15E88"/>
    <w:rsid w:val="00D1619B"/>
    <w:rsid w:val="00D2026F"/>
    <w:rsid w:val="00D20668"/>
    <w:rsid w:val="00D21C8F"/>
    <w:rsid w:val="00D21E8B"/>
    <w:rsid w:val="00D220AD"/>
    <w:rsid w:val="00D2416A"/>
    <w:rsid w:val="00D24561"/>
    <w:rsid w:val="00D24B98"/>
    <w:rsid w:val="00D251DD"/>
    <w:rsid w:val="00D25257"/>
    <w:rsid w:val="00D263B2"/>
    <w:rsid w:val="00D26513"/>
    <w:rsid w:val="00D2689E"/>
    <w:rsid w:val="00D27B56"/>
    <w:rsid w:val="00D30208"/>
    <w:rsid w:val="00D30793"/>
    <w:rsid w:val="00D32039"/>
    <w:rsid w:val="00D36C9B"/>
    <w:rsid w:val="00D41A69"/>
    <w:rsid w:val="00D41E35"/>
    <w:rsid w:val="00D420C8"/>
    <w:rsid w:val="00D43314"/>
    <w:rsid w:val="00D438C5"/>
    <w:rsid w:val="00D43CCB"/>
    <w:rsid w:val="00D444F7"/>
    <w:rsid w:val="00D4652E"/>
    <w:rsid w:val="00D46603"/>
    <w:rsid w:val="00D469AE"/>
    <w:rsid w:val="00D47100"/>
    <w:rsid w:val="00D47F99"/>
    <w:rsid w:val="00D51FE5"/>
    <w:rsid w:val="00D53720"/>
    <w:rsid w:val="00D53943"/>
    <w:rsid w:val="00D555CD"/>
    <w:rsid w:val="00D5570C"/>
    <w:rsid w:val="00D5663F"/>
    <w:rsid w:val="00D5666F"/>
    <w:rsid w:val="00D609CD"/>
    <w:rsid w:val="00D60B00"/>
    <w:rsid w:val="00D62A7E"/>
    <w:rsid w:val="00D66A97"/>
    <w:rsid w:val="00D66AC6"/>
    <w:rsid w:val="00D674DC"/>
    <w:rsid w:val="00D678FC"/>
    <w:rsid w:val="00D70630"/>
    <w:rsid w:val="00D71B2C"/>
    <w:rsid w:val="00D71D82"/>
    <w:rsid w:val="00D73DC6"/>
    <w:rsid w:val="00D750FC"/>
    <w:rsid w:val="00D75B2A"/>
    <w:rsid w:val="00D77B82"/>
    <w:rsid w:val="00D77C3B"/>
    <w:rsid w:val="00D81C8B"/>
    <w:rsid w:val="00D85CB8"/>
    <w:rsid w:val="00D902B0"/>
    <w:rsid w:val="00D90403"/>
    <w:rsid w:val="00D9126D"/>
    <w:rsid w:val="00D9168A"/>
    <w:rsid w:val="00D91802"/>
    <w:rsid w:val="00D93058"/>
    <w:rsid w:val="00D95B9D"/>
    <w:rsid w:val="00D9643D"/>
    <w:rsid w:val="00D967C2"/>
    <w:rsid w:val="00D9746C"/>
    <w:rsid w:val="00D97908"/>
    <w:rsid w:val="00DA0748"/>
    <w:rsid w:val="00DA1292"/>
    <w:rsid w:val="00DA20F6"/>
    <w:rsid w:val="00DA24B8"/>
    <w:rsid w:val="00DA3D7C"/>
    <w:rsid w:val="00DA4695"/>
    <w:rsid w:val="00DA5711"/>
    <w:rsid w:val="00DA6747"/>
    <w:rsid w:val="00DB1229"/>
    <w:rsid w:val="00DB155D"/>
    <w:rsid w:val="00DB2946"/>
    <w:rsid w:val="00DC0BE6"/>
    <w:rsid w:val="00DC1359"/>
    <w:rsid w:val="00DC46B6"/>
    <w:rsid w:val="00DC6201"/>
    <w:rsid w:val="00DC7D14"/>
    <w:rsid w:val="00DD0549"/>
    <w:rsid w:val="00DD1077"/>
    <w:rsid w:val="00DD1D8C"/>
    <w:rsid w:val="00DD1E36"/>
    <w:rsid w:val="00DD2F7A"/>
    <w:rsid w:val="00DD7463"/>
    <w:rsid w:val="00DD74C3"/>
    <w:rsid w:val="00DE0371"/>
    <w:rsid w:val="00DE084C"/>
    <w:rsid w:val="00DE1201"/>
    <w:rsid w:val="00DE20AA"/>
    <w:rsid w:val="00DE291E"/>
    <w:rsid w:val="00DE3942"/>
    <w:rsid w:val="00DE3F6C"/>
    <w:rsid w:val="00DE53A9"/>
    <w:rsid w:val="00DE5E76"/>
    <w:rsid w:val="00DE69D0"/>
    <w:rsid w:val="00DF076D"/>
    <w:rsid w:val="00DF31F7"/>
    <w:rsid w:val="00DF3A3B"/>
    <w:rsid w:val="00DF5204"/>
    <w:rsid w:val="00DF596E"/>
    <w:rsid w:val="00DF5F67"/>
    <w:rsid w:val="00E012BE"/>
    <w:rsid w:val="00E01571"/>
    <w:rsid w:val="00E02DD6"/>
    <w:rsid w:val="00E02EDE"/>
    <w:rsid w:val="00E0318B"/>
    <w:rsid w:val="00E03751"/>
    <w:rsid w:val="00E03D66"/>
    <w:rsid w:val="00E05876"/>
    <w:rsid w:val="00E05B74"/>
    <w:rsid w:val="00E05D49"/>
    <w:rsid w:val="00E07E36"/>
    <w:rsid w:val="00E11163"/>
    <w:rsid w:val="00E1437E"/>
    <w:rsid w:val="00E14F8A"/>
    <w:rsid w:val="00E15192"/>
    <w:rsid w:val="00E15A18"/>
    <w:rsid w:val="00E17ACC"/>
    <w:rsid w:val="00E2284E"/>
    <w:rsid w:val="00E245D5"/>
    <w:rsid w:val="00E2564C"/>
    <w:rsid w:val="00E2566D"/>
    <w:rsid w:val="00E26145"/>
    <w:rsid w:val="00E266C0"/>
    <w:rsid w:val="00E27E7F"/>
    <w:rsid w:val="00E32DBF"/>
    <w:rsid w:val="00E3330D"/>
    <w:rsid w:val="00E33B05"/>
    <w:rsid w:val="00E3686B"/>
    <w:rsid w:val="00E37F13"/>
    <w:rsid w:val="00E40949"/>
    <w:rsid w:val="00E422D4"/>
    <w:rsid w:val="00E427D9"/>
    <w:rsid w:val="00E42A8E"/>
    <w:rsid w:val="00E436AA"/>
    <w:rsid w:val="00E43D32"/>
    <w:rsid w:val="00E448C5"/>
    <w:rsid w:val="00E44D9D"/>
    <w:rsid w:val="00E46E53"/>
    <w:rsid w:val="00E46ECA"/>
    <w:rsid w:val="00E4744B"/>
    <w:rsid w:val="00E509B1"/>
    <w:rsid w:val="00E5198C"/>
    <w:rsid w:val="00E51A75"/>
    <w:rsid w:val="00E51D17"/>
    <w:rsid w:val="00E5234F"/>
    <w:rsid w:val="00E5618F"/>
    <w:rsid w:val="00E5719B"/>
    <w:rsid w:val="00E5787C"/>
    <w:rsid w:val="00E61759"/>
    <w:rsid w:val="00E633D1"/>
    <w:rsid w:val="00E646BD"/>
    <w:rsid w:val="00E647E1"/>
    <w:rsid w:val="00E66DAA"/>
    <w:rsid w:val="00E717C1"/>
    <w:rsid w:val="00E71939"/>
    <w:rsid w:val="00E71E47"/>
    <w:rsid w:val="00E726FC"/>
    <w:rsid w:val="00E747C2"/>
    <w:rsid w:val="00E74E26"/>
    <w:rsid w:val="00E768D3"/>
    <w:rsid w:val="00E7733B"/>
    <w:rsid w:val="00E81831"/>
    <w:rsid w:val="00E82B30"/>
    <w:rsid w:val="00E83584"/>
    <w:rsid w:val="00E83C52"/>
    <w:rsid w:val="00E84111"/>
    <w:rsid w:val="00E842BB"/>
    <w:rsid w:val="00E90DAA"/>
    <w:rsid w:val="00E912C6"/>
    <w:rsid w:val="00E922C9"/>
    <w:rsid w:val="00E927F0"/>
    <w:rsid w:val="00E93AA7"/>
    <w:rsid w:val="00E93D55"/>
    <w:rsid w:val="00EA33A3"/>
    <w:rsid w:val="00EA40EC"/>
    <w:rsid w:val="00EA51B5"/>
    <w:rsid w:val="00EA6000"/>
    <w:rsid w:val="00EA63C9"/>
    <w:rsid w:val="00EA6D12"/>
    <w:rsid w:val="00EA7A3A"/>
    <w:rsid w:val="00EB007E"/>
    <w:rsid w:val="00EB03EE"/>
    <w:rsid w:val="00EB2146"/>
    <w:rsid w:val="00EB3F76"/>
    <w:rsid w:val="00EB5275"/>
    <w:rsid w:val="00EB5F86"/>
    <w:rsid w:val="00EB6371"/>
    <w:rsid w:val="00EC28E4"/>
    <w:rsid w:val="00EC2D4E"/>
    <w:rsid w:val="00EC3E04"/>
    <w:rsid w:val="00EC5E3A"/>
    <w:rsid w:val="00EC7DD6"/>
    <w:rsid w:val="00ED069C"/>
    <w:rsid w:val="00ED1024"/>
    <w:rsid w:val="00ED2E9C"/>
    <w:rsid w:val="00ED3978"/>
    <w:rsid w:val="00ED3B97"/>
    <w:rsid w:val="00ED3BB9"/>
    <w:rsid w:val="00ED503B"/>
    <w:rsid w:val="00ED5BAA"/>
    <w:rsid w:val="00ED5DB4"/>
    <w:rsid w:val="00ED6753"/>
    <w:rsid w:val="00ED7D61"/>
    <w:rsid w:val="00EE0138"/>
    <w:rsid w:val="00EE0C49"/>
    <w:rsid w:val="00EE10CB"/>
    <w:rsid w:val="00EE12CB"/>
    <w:rsid w:val="00EE28A8"/>
    <w:rsid w:val="00EE395F"/>
    <w:rsid w:val="00EE4B19"/>
    <w:rsid w:val="00EE7BAF"/>
    <w:rsid w:val="00EF0CD3"/>
    <w:rsid w:val="00EF312B"/>
    <w:rsid w:val="00EF4B79"/>
    <w:rsid w:val="00EF4C4F"/>
    <w:rsid w:val="00EF60E7"/>
    <w:rsid w:val="00EF6DDA"/>
    <w:rsid w:val="00F00576"/>
    <w:rsid w:val="00F02349"/>
    <w:rsid w:val="00F03469"/>
    <w:rsid w:val="00F04D67"/>
    <w:rsid w:val="00F06758"/>
    <w:rsid w:val="00F1110D"/>
    <w:rsid w:val="00F132B4"/>
    <w:rsid w:val="00F1558D"/>
    <w:rsid w:val="00F166D1"/>
    <w:rsid w:val="00F16B20"/>
    <w:rsid w:val="00F202F3"/>
    <w:rsid w:val="00F20A51"/>
    <w:rsid w:val="00F2145C"/>
    <w:rsid w:val="00F21696"/>
    <w:rsid w:val="00F21BB9"/>
    <w:rsid w:val="00F21F7B"/>
    <w:rsid w:val="00F22F6F"/>
    <w:rsid w:val="00F24816"/>
    <w:rsid w:val="00F25C06"/>
    <w:rsid w:val="00F27DFC"/>
    <w:rsid w:val="00F30057"/>
    <w:rsid w:val="00F306BB"/>
    <w:rsid w:val="00F31677"/>
    <w:rsid w:val="00F31EE9"/>
    <w:rsid w:val="00F322D3"/>
    <w:rsid w:val="00F32968"/>
    <w:rsid w:val="00F33E66"/>
    <w:rsid w:val="00F35AD2"/>
    <w:rsid w:val="00F37953"/>
    <w:rsid w:val="00F40781"/>
    <w:rsid w:val="00F407F4"/>
    <w:rsid w:val="00F40F96"/>
    <w:rsid w:val="00F4284A"/>
    <w:rsid w:val="00F42A3D"/>
    <w:rsid w:val="00F42EE6"/>
    <w:rsid w:val="00F4440E"/>
    <w:rsid w:val="00F447C2"/>
    <w:rsid w:val="00F45DAE"/>
    <w:rsid w:val="00F478BB"/>
    <w:rsid w:val="00F50BFE"/>
    <w:rsid w:val="00F51556"/>
    <w:rsid w:val="00F535BA"/>
    <w:rsid w:val="00F54959"/>
    <w:rsid w:val="00F573C6"/>
    <w:rsid w:val="00F61A81"/>
    <w:rsid w:val="00F61BC1"/>
    <w:rsid w:val="00F6329C"/>
    <w:rsid w:val="00F65A06"/>
    <w:rsid w:val="00F65CDB"/>
    <w:rsid w:val="00F66D37"/>
    <w:rsid w:val="00F70668"/>
    <w:rsid w:val="00F7266D"/>
    <w:rsid w:val="00F7471A"/>
    <w:rsid w:val="00F74A4B"/>
    <w:rsid w:val="00F74A5E"/>
    <w:rsid w:val="00F74C35"/>
    <w:rsid w:val="00F76F7B"/>
    <w:rsid w:val="00F82386"/>
    <w:rsid w:val="00F84CE1"/>
    <w:rsid w:val="00F851D6"/>
    <w:rsid w:val="00F87E30"/>
    <w:rsid w:val="00F90D24"/>
    <w:rsid w:val="00F916D2"/>
    <w:rsid w:val="00F94FBA"/>
    <w:rsid w:val="00F94FC0"/>
    <w:rsid w:val="00F95E0F"/>
    <w:rsid w:val="00F96554"/>
    <w:rsid w:val="00F97273"/>
    <w:rsid w:val="00FA6D5F"/>
    <w:rsid w:val="00FA712A"/>
    <w:rsid w:val="00FA729E"/>
    <w:rsid w:val="00FA7617"/>
    <w:rsid w:val="00FA7BD8"/>
    <w:rsid w:val="00FB0592"/>
    <w:rsid w:val="00FB409F"/>
    <w:rsid w:val="00FC14C2"/>
    <w:rsid w:val="00FC1AD8"/>
    <w:rsid w:val="00FC1E70"/>
    <w:rsid w:val="00FC43D0"/>
    <w:rsid w:val="00FC5A88"/>
    <w:rsid w:val="00FC68E1"/>
    <w:rsid w:val="00FC69A5"/>
    <w:rsid w:val="00FD0081"/>
    <w:rsid w:val="00FD17E3"/>
    <w:rsid w:val="00FD1865"/>
    <w:rsid w:val="00FD2D73"/>
    <w:rsid w:val="00FD3221"/>
    <w:rsid w:val="00FD5E5E"/>
    <w:rsid w:val="00FD6C27"/>
    <w:rsid w:val="00FD7215"/>
    <w:rsid w:val="00FD7350"/>
    <w:rsid w:val="00FD7F63"/>
    <w:rsid w:val="00FE1572"/>
    <w:rsid w:val="00FE3131"/>
    <w:rsid w:val="00FE43C0"/>
    <w:rsid w:val="00FE4BFD"/>
    <w:rsid w:val="00FE5619"/>
    <w:rsid w:val="00FE5676"/>
    <w:rsid w:val="00FF292B"/>
    <w:rsid w:val="00FF3330"/>
    <w:rsid w:val="00FF4750"/>
    <w:rsid w:val="00FF4887"/>
    <w:rsid w:val="00FF53F1"/>
    <w:rsid w:val="00FF569E"/>
    <w:rsid w:val="00FF56AE"/>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
    <w:name w:val="Heading #2_"/>
    <w:link w:val="Heading20"/>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0">
    <w:name w:val="Heading #2"/>
    <w:basedOn w:val="Normal"/>
    <w:link w:val="Heading2"/>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
    <w:name w:val="Heading #2_"/>
    <w:link w:val="Heading20"/>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0">
    <w:name w:val="Heading #2"/>
    <w:basedOn w:val="Normal"/>
    <w:link w:val="Heading2"/>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rsid w:val="00707D58"/>
    <w:rPr>
      <w:rFonts w:ascii="Courier New" w:eastAsia="Courier New" w:hAnsi="Courier New" w:cs="Times New Roman"/>
      <w:color w:val="000000"/>
      <w:sz w:val="20"/>
      <w:szCs w:val="20"/>
      <w:lang w:val="x-none" w:eastAsia="x-none"/>
    </w:rPr>
  </w:style>
  <w:style w:type="character" w:styleId="FootnoteReference">
    <w:name w:val="footnote reference"/>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793DB-6FE3-4763-A0CF-19A0D140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Thuong</cp:lastModifiedBy>
  <cp:revision>3</cp:revision>
  <cp:lastPrinted>2018-05-21T03:27:00Z</cp:lastPrinted>
  <dcterms:created xsi:type="dcterms:W3CDTF">2018-06-08T08:52:00Z</dcterms:created>
  <dcterms:modified xsi:type="dcterms:W3CDTF">2018-06-08T08:52:00Z</dcterms:modified>
</cp:coreProperties>
</file>