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3348"/>
        <w:gridCol w:w="5923"/>
      </w:tblGrid>
      <w:tr w:rsidR="005B2368" w:rsidRPr="00297550" w:rsidTr="007531E5">
        <w:tc>
          <w:tcPr>
            <w:tcW w:w="3348" w:type="dxa"/>
            <w:tcMar>
              <w:top w:w="0" w:type="dxa"/>
              <w:left w:w="108" w:type="dxa"/>
              <w:bottom w:w="0" w:type="dxa"/>
              <w:right w:w="108" w:type="dxa"/>
            </w:tcMar>
          </w:tcPr>
          <w:p w:rsidR="005B2368" w:rsidRPr="00297550" w:rsidRDefault="005B2368" w:rsidP="005B2368">
            <w:pPr>
              <w:spacing w:before="120" w:after="100" w:afterAutospacing="1" w:line="240" w:lineRule="auto"/>
              <w:jc w:val="center"/>
              <w:rPr>
                <w:rFonts w:ascii="Times New Roman" w:eastAsia="Times New Roman" w:hAnsi="Times New Roman" w:cs="Times New Roman"/>
                <w:sz w:val="26"/>
                <w:szCs w:val="28"/>
              </w:rPr>
            </w:pPr>
            <w:r w:rsidRPr="00297550">
              <w:rPr>
                <w:rFonts w:ascii="Times New Roman" w:eastAsia="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3A67D512" wp14:editId="3C65DB9F">
                      <wp:simplePos x="0" y="0"/>
                      <wp:positionH relativeFrom="column">
                        <wp:posOffset>622300</wp:posOffset>
                      </wp:positionH>
                      <wp:positionV relativeFrom="paragraph">
                        <wp:posOffset>533400</wp:posOffset>
                      </wp:positionV>
                      <wp:extent cx="712470" cy="0"/>
                      <wp:effectExtent l="6985" t="5715" r="1397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2pt" to="105.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HcHAIAADU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Apy4sn6CC9uRJS3vKMdf4T1z0KRoWlUEE1UpLji/OB&#10;BylvIeFY6bWQMnZeKjRUeD7JJzHBaSlYcIYwZ/e7Wlp0JGF24heLAs9jmNUHxSJYxwlbXW1PhLzY&#10;cLlUAQ8qATpX6zIcP+bpfDVbzYpRkU9XoyJtmtHHdV2MpuvsadJ8aOq6yX4GallRdoIxrgK726Bm&#10;xd8NwvXJXEbsPqp3GZK36FEvIHv7R9KxlaF7lznYaXbe2FuLYTZj8PUdheF/3IP9+NqXvwAAAP//&#10;AwBQSwMEFAAGAAgAAAAhAJBlFGDdAAAACAEAAA8AAABkcnMvZG93bnJldi54bWxMj0FPwzAMhe9I&#10;/IfISFymLV1BqJSmEwJ648IA7eo1pq1onK7JtsKvx2gHOFn2e3r+XrGaXK8ONIbOs4HlIgFFXHvb&#10;cWPg7bWaZ6BCRLbYeyYDXxRgVZ6fFZhbf+QXOqxjoySEQ44G2hiHXOtQt+QwLPxALNqHHx1GWcdG&#10;2xGPEu56nSbJjXbYsXxocaCHlurP9d4ZCNU77arvWT1LNleNp3T3+PyExlxeTPd3oCJN8c8Mv/iC&#10;DqUwbf2ebVC9gdtMqkQD2bVM0dNlkoLang66LPT/AuUPAAAA//8DAFBLAQItABQABgAIAAAAIQC2&#10;gziS/gAAAOEBAAATAAAAAAAAAAAAAAAAAAAAAABbQ29udGVudF9UeXBlc10ueG1sUEsBAi0AFAAG&#10;AAgAAAAhADj9If/WAAAAlAEAAAsAAAAAAAAAAAAAAAAALwEAAF9yZWxzLy5yZWxzUEsBAi0AFAAG&#10;AAgAAAAhAHyo0dwcAgAANQQAAA4AAAAAAAAAAAAAAAAALgIAAGRycy9lMm9Eb2MueG1sUEsBAi0A&#10;FAAGAAgAAAAhAJBlFGDdAAAACAEAAA8AAAAAAAAAAAAAAAAAdgQAAGRycy9kb3ducmV2LnhtbFBL&#10;BQYAAAAABAAEAPMAAACABQAAAAA=&#10;"/>
                  </w:pict>
                </mc:Fallback>
              </mc:AlternateContent>
            </w:r>
            <w:r w:rsidRPr="00297550">
              <w:rPr>
                <w:rFonts w:ascii="Times New Roman" w:eastAsia="Times New Roman" w:hAnsi="Times New Roman" w:cs="Times New Roman"/>
                <w:b/>
                <w:bCs/>
                <w:sz w:val="26"/>
                <w:szCs w:val="28"/>
              </w:rPr>
              <w:t xml:space="preserve">NGÂN HÀNG NHÀ NƯỚC </w:t>
            </w:r>
            <w:r w:rsidRPr="00297550">
              <w:rPr>
                <w:rFonts w:ascii="Times New Roman" w:eastAsia="Times New Roman" w:hAnsi="Times New Roman" w:cs="Times New Roman"/>
                <w:b/>
                <w:bCs/>
                <w:sz w:val="26"/>
                <w:szCs w:val="28"/>
              </w:rPr>
              <w:br/>
              <w:t>VIỆT NAM</w:t>
            </w:r>
            <w:r w:rsidRPr="00297550">
              <w:rPr>
                <w:rFonts w:ascii="Times New Roman" w:eastAsia="Times New Roman" w:hAnsi="Times New Roman" w:cs="Times New Roman"/>
                <w:b/>
                <w:bCs/>
                <w:sz w:val="26"/>
                <w:szCs w:val="28"/>
              </w:rPr>
              <w:br/>
            </w:r>
          </w:p>
        </w:tc>
        <w:tc>
          <w:tcPr>
            <w:tcW w:w="5923" w:type="dxa"/>
            <w:tcMar>
              <w:top w:w="0" w:type="dxa"/>
              <w:left w:w="108" w:type="dxa"/>
              <w:bottom w:w="0" w:type="dxa"/>
              <w:right w:w="108" w:type="dxa"/>
            </w:tcMar>
          </w:tcPr>
          <w:p w:rsidR="005B2368" w:rsidRPr="00297550" w:rsidRDefault="005B2368" w:rsidP="005B2368">
            <w:pPr>
              <w:spacing w:before="120" w:after="100" w:afterAutospacing="1" w:line="240" w:lineRule="auto"/>
              <w:jc w:val="center"/>
              <w:rPr>
                <w:rFonts w:ascii="Times New Roman" w:eastAsia="Times New Roman" w:hAnsi="Times New Roman" w:cs="Times New Roman"/>
                <w:sz w:val="26"/>
                <w:szCs w:val="28"/>
              </w:rPr>
            </w:pPr>
            <w:r w:rsidRPr="00297550">
              <w:rPr>
                <w:rFonts w:ascii="Times New Roman" w:eastAsia="Times New Roman" w:hAnsi="Times New Roman" w:cs="Times New Roman"/>
                <w:b/>
                <w:bCs/>
                <w:noProof/>
                <w:sz w:val="26"/>
                <w:szCs w:val="28"/>
              </w:rPr>
              <mc:AlternateContent>
                <mc:Choice Requires="wps">
                  <w:drawing>
                    <wp:anchor distT="0" distB="0" distL="114300" distR="114300" simplePos="0" relativeHeight="251659264" behindDoc="0" locked="0" layoutInCell="1" allowOverlap="1" wp14:anchorId="2AA73290" wp14:editId="6B4B82F2">
                      <wp:simplePos x="0" y="0"/>
                      <wp:positionH relativeFrom="column">
                        <wp:posOffset>736269</wp:posOffset>
                      </wp:positionH>
                      <wp:positionV relativeFrom="paragraph">
                        <wp:posOffset>527685</wp:posOffset>
                      </wp:positionV>
                      <wp:extent cx="216275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41.55pt" to="228.2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uN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s1n+NJ1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AwSyY+3QAAAAkBAAAPAAAAZHJzL2Rvd25yZXYueG1sTI+xTsNADIZ3&#10;JN7hZCSWqr2kJVUJuVQIyMbSQsXqJiaJyPnS3LUNPD1GDDD+9qffn7P1aDt1osG3jg3EswgUcemq&#10;lmsDry/FdAXKB+QKO8dk4JM8rPPLiwzTyp15Q6dtqJWUsE/RQBNCn2rty4Ys+pnriWX37gaLQeJQ&#10;62rAs5TbTs+jaKkttiwXGuzpoaHyY3u0Bnyxo0PxNSkn0duidjQ/PD4/oTHXV+P9HahAY/iD4Udf&#10;1CEXp707cuVVJzlObgU1sFrEoAS4SZYJqP3vQOeZ/v9B/g0AAP//AwBQSwECLQAUAAYACAAAACEA&#10;toM4kv4AAADhAQAAEwAAAAAAAAAAAAAAAAAAAAAAW0NvbnRlbnRfVHlwZXNdLnhtbFBLAQItABQA&#10;BgAIAAAAIQA4/SH/1gAAAJQBAAALAAAAAAAAAAAAAAAAAC8BAABfcmVscy8ucmVsc1BLAQItABQA&#10;BgAIAAAAIQCcD9uNHQIAADYEAAAOAAAAAAAAAAAAAAAAAC4CAABkcnMvZTJvRG9jLnhtbFBLAQIt&#10;ABQABgAIAAAAIQAwSyY+3QAAAAkBAAAPAAAAAAAAAAAAAAAAAHcEAABkcnMvZG93bnJldi54bWxQ&#10;SwUGAAAAAAQABADzAAAAgQUAAAAA&#10;"/>
                  </w:pict>
                </mc:Fallback>
              </mc:AlternateContent>
            </w:r>
            <w:r w:rsidRPr="00297550">
              <w:rPr>
                <w:rFonts w:ascii="Times New Roman" w:eastAsia="Times New Roman" w:hAnsi="Times New Roman" w:cs="Times New Roman"/>
                <w:b/>
                <w:bCs/>
                <w:sz w:val="26"/>
                <w:szCs w:val="28"/>
              </w:rPr>
              <w:t>CỘNG HÒA XÃ HỘI CHỦ NGHĨA VIỆT NAM</w:t>
            </w:r>
            <w:r w:rsidRPr="00297550">
              <w:rPr>
                <w:rFonts w:ascii="Times New Roman" w:eastAsia="Times New Roman" w:hAnsi="Times New Roman" w:cs="Times New Roman"/>
                <w:b/>
                <w:bCs/>
                <w:sz w:val="26"/>
                <w:szCs w:val="28"/>
              </w:rPr>
              <w:br/>
            </w:r>
            <w:r w:rsidRPr="00297550">
              <w:rPr>
                <w:rFonts w:ascii="Times New Roman" w:eastAsia="Times New Roman" w:hAnsi="Times New Roman" w:cs="Times New Roman"/>
                <w:b/>
                <w:bCs/>
                <w:sz w:val="28"/>
                <w:szCs w:val="28"/>
              </w:rPr>
              <w:t xml:space="preserve">Độc lập - Tự do - Hạnh phúc </w:t>
            </w:r>
            <w:r w:rsidRPr="00297550">
              <w:rPr>
                <w:rFonts w:ascii="Times New Roman" w:eastAsia="Times New Roman" w:hAnsi="Times New Roman" w:cs="Times New Roman"/>
                <w:b/>
                <w:bCs/>
                <w:sz w:val="28"/>
                <w:szCs w:val="28"/>
              </w:rPr>
              <w:br/>
            </w:r>
          </w:p>
        </w:tc>
      </w:tr>
      <w:tr w:rsidR="005B2368" w:rsidRPr="00297550" w:rsidTr="007531E5">
        <w:tc>
          <w:tcPr>
            <w:tcW w:w="3348" w:type="dxa"/>
            <w:tcMar>
              <w:top w:w="0" w:type="dxa"/>
              <w:left w:w="108" w:type="dxa"/>
              <w:bottom w:w="0" w:type="dxa"/>
              <w:right w:w="108" w:type="dxa"/>
            </w:tcMar>
          </w:tcPr>
          <w:p w:rsidR="005B2368" w:rsidRPr="00297550" w:rsidRDefault="005B2368" w:rsidP="009A100C">
            <w:pPr>
              <w:spacing w:before="120" w:after="100" w:afterAutospacing="1" w:line="240" w:lineRule="auto"/>
              <w:jc w:val="center"/>
              <w:rPr>
                <w:rFonts w:ascii="Times New Roman" w:eastAsia="Times New Roman" w:hAnsi="Times New Roman" w:cs="Times New Roman"/>
                <w:sz w:val="26"/>
                <w:szCs w:val="28"/>
              </w:rPr>
            </w:pPr>
            <w:r w:rsidRPr="00297550">
              <w:rPr>
                <w:rFonts w:ascii="Times New Roman" w:eastAsia="Times New Roman" w:hAnsi="Times New Roman" w:cs="Times New Roman"/>
                <w:sz w:val="26"/>
                <w:szCs w:val="28"/>
              </w:rPr>
              <w:t>Số</w:t>
            </w:r>
            <w:r w:rsidR="00DC5A7E" w:rsidRPr="00297550">
              <w:rPr>
                <w:rFonts w:ascii="Times New Roman" w:eastAsia="Times New Roman" w:hAnsi="Times New Roman" w:cs="Times New Roman"/>
                <w:sz w:val="26"/>
                <w:szCs w:val="28"/>
              </w:rPr>
              <w:t xml:space="preserve">: </w:t>
            </w:r>
            <w:r w:rsidR="009A100C">
              <w:rPr>
                <w:rFonts w:ascii="Times New Roman" w:eastAsia="Times New Roman" w:hAnsi="Times New Roman" w:cs="Times New Roman"/>
                <w:sz w:val="26"/>
                <w:szCs w:val="28"/>
              </w:rPr>
              <w:t xml:space="preserve">            </w:t>
            </w:r>
            <w:r w:rsidRPr="00297550">
              <w:rPr>
                <w:rFonts w:ascii="Times New Roman" w:eastAsia="Times New Roman" w:hAnsi="Times New Roman" w:cs="Times New Roman"/>
                <w:sz w:val="26"/>
                <w:szCs w:val="28"/>
              </w:rPr>
              <w:t>/</w:t>
            </w:r>
            <w:r w:rsidR="009A100C" w:rsidRPr="00297550">
              <w:rPr>
                <w:rFonts w:ascii="Times New Roman" w:eastAsia="Times New Roman" w:hAnsi="Times New Roman" w:cs="Times New Roman"/>
                <w:sz w:val="26"/>
                <w:szCs w:val="28"/>
              </w:rPr>
              <w:t>20</w:t>
            </w:r>
            <w:r w:rsidR="009A100C">
              <w:rPr>
                <w:rFonts w:ascii="Times New Roman" w:eastAsia="Times New Roman" w:hAnsi="Times New Roman" w:cs="Times New Roman"/>
                <w:sz w:val="26"/>
                <w:szCs w:val="28"/>
              </w:rPr>
              <w:t>21</w:t>
            </w:r>
            <w:r w:rsidRPr="00297550">
              <w:rPr>
                <w:rFonts w:ascii="Times New Roman" w:eastAsia="Times New Roman" w:hAnsi="Times New Roman" w:cs="Times New Roman"/>
                <w:sz w:val="26"/>
                <w:szCs w:val="28"/>
              </w:rPr>
              <w:t>/TT-NHNN</w:t>
            </w:r>
          </w:p>
        </w:tc>
        <w:tc>
          <w:tcPr>
            <w:tcW w:w="5923" w:type="dxa"/>
            <w:tcMar>
              <w:top w:w="0" w:type="dxa"/>
              <w:left w:w="108" w:type="dxa"/>
              <w:bottom w:w="0" w:type="dxa"/>
              <w:right w:w="108" w:type="dxa"/>
            </w:tcMar>
          </w:tcPr>
          <w:p w:rsidR="005B2368" w:rsidRPr="00297550" w:rsidRDefault="00444BF6" w:rsidP="009A100C">
            <w:pPr>
              <w:spacing w:before="120" w:after="100" w:afterAutospacing="1" w:line="240" w:lineRule="auto"/>
              <w:jc w:val="center"/>
              <w:rPr>
                <w:rFonts w:ascii="Times New Roman" w:eastAsia="Times New Roman" w:hAnsi="Times New Roman" w:cs="Times New Roman"/>
                <w:sz w:val="26"/>
                <w:szCs w:val="28"/>
              </w:rPr>
            </w:pPr>
            <w:r w:rsidRPr="00297550">
              <w:rPr>
                <w:rFonts w:ascii="Times New Roman" w:eastAsia="Times New Roman" w:hAnsi="Times New Roman" w:cs="Times New Roman"/>
                <w:i/>
                <w:iCs/>
                <w:sz w:val="26"/>
                <w:szCs w:val="28"/>
              </w:rPr>
              <w:t xml:space="preserve">                       </w:t>
            </w:r>
            <w:r w:rsidR="005B2368" w:rsidRPr="00297550">
              <w:rPr>
                <w:rFonts w:ascii="Times New Roman" w:eastAsia="Times New Roman" w:hAnsi="Times New Roman" w:cs="Times New Roman"/>
                <w:i/>
                <w:iCs/>
                <w:sz w:val="26"/>
                <w:szCs w:val="28"/>
              </w:rPr>
              <w:t xml:space="preserve">Hà Nội, </w:t>
            </w:r>
            <w:r w:rsidR="00DC5A7E" w:rsidRPr="00297550">
              <w:rPr>
                <w:rFonts w:ascii="Times New Roman" w:eastAsia="Times New Roman" w:hAnsi="Times New Roman" w:cs="Times New Roman"/>
                <w:i/>
                <w:iCs/>
                <w:sz w:val="26"/>
                <w:szCs w:val="28"/>
              </w:rPr>
              <w:t xml:space="preserve">ngày </w:t>
            </w:r>
            <w:r w:rsidR="009A100C">
              <w:rPr>
                <w:rFonts w:ascii="Times New Roman" w:eastAsia="Times New Roman" w:hAnsi="Times New Roman" w:cs="Times New Roman"/>
                <w:i/>
                <w:iCs/>
                <w:sz w:val="26"/>
                <w:szCs w:val="28"/>
              </w:rPr>
              <w:t xml:space="preserve">     </w:t>
            </w:r>
            <w:r w:rsidR="009A100C" w:rsidRPr="00297550">
              <w:rPr>
                <w:rFonts w:ascii="Times New Roman" w:eastAsia="Times New Roman" w:hAnsi="Times New Roman" w:cs="Times New Roman"/>
                <w:i/>
                <w:iCs/>
                <w:sz w:val="26"/>
                <w:szCs w:val="28"/>
              </w:rPr>
              <w:t xml:space="preserve"> </w:t>
            </w:r>
            <w:r w:rsidR="00DC5A7E" w:rsidRPr="00297550">
              <w:rPr>
                <w:rFonts w:ascii="Times New Roman" w:eastAsia="Times New Roman" w:hAnsi="Times New Roman" w:cs="Times New Roman"/>
                <w:i/>
                <w:iCs/>
                <w:sz w:val="26"/>
                <w:szCs w:val="28"/>
              </w:rPr>
              <w:t xml:space="preserve">tháng </w:t>
            </w:r>
            <w:r w:rsidR="009A100C">
              <w:rPr>
                <w:rFonts w:ascii="Times New Roman" w:eastAsia="Times New Roman" w:hAnsi="Times New Roman" w:cs="Times New Roman"/>
                <w:i/>
                <w:iCs/>
                <w:sz w:val="26"/>
                <w:szCs w:val="28"/>
              </w:rPr>
              <w:t xml:space="preserve">      </w:t>
            </w:r>
            <w:r w:rsidR="009A100C" w:rsidRPr="00297550">
              <w:rPr>
                <w:rFonts w:ascii="Times New Roman" w:eastAsia="Times New Roman" w:hAnsi="Times New Roman" w:cs="Times New Roman"/>
                <w:i/>
                <w:iCs/>
                <w:sz w:val="26"/>
                <w:szCs w:val="28"/>
              </w:rPr>
              <w:t xml:space="preserve"> </w:t>
            </w:r>
            <w:r w:rsidR="005B2368" w:rsidRPr="00297550">
              <w:rPr>
                <w:rFonts w:ascii="Times New Roman" w:eastAsia="Times New Roman" w:hAnsi="Times New Roman" w:cs="Times New Roman"/>
                <w:i/>
                <w:iCs/>
                <w:sz w:val="26"/>
                <w:szCs w:val="28"/>
              </w:rPr>
              <w:t xml:space="preserve">năm </w:t>
            </w:r>
            <w:r w:rsidR="009A100C" w:rsidRPr="00297550">
              <w:rPr>
                <w:rFonts w:ascii="Times New Roman" w:eastAsia="Times New Roman" w:hAnsi="Times New Roman" w:cs="Times New Roman"/>
                <w:i/>
                <w:iCs/>
                <w:sz w:val="26"/>
                <w:szCs w:val="28"/>
              </w:rPr>
              <w:t>20</w:t>
            </w:r>
            <w:r w:rsidR="009A100C">
              <w:rPr>
                <w:rFonts w:ascii="Times New Roman" w:eastAsia="Times New Roman" w:hAnsi="Times New Roman" w:cs="Times New Roman"/>
                <w:i/>
                <w:iCs/>
                <w:sz w:val="26"/>
                <w:szCs w:val="28"/>
              </w:rPr>
              <w:t>21</w:t>
            </w:r>
          </w:p>
        </w:tc>
      </w:tr>
    </w:tbl>
    <w:p w:rsidR="005E0AF0" w:rsidRPr="00C53B39" w:rsidRDefault="004115C3" w:rsidP="00C53B39">
      <w:pPr>
        <w:spacing w:after="0" w:line="240" w:lineRule="auto"/>
        <w:jc w:val="center"/>
        <w:rPr>
          <w:rFonts w:ascii="Times New Roman" w:eastAsia="Times New Roman" w:hAnsi="Times New Roman" w:cs="Times New Roman"/>
          <w:i/>
          <w:iCs/>
          <w:sz w:val="28"/>
          <w:szCs w:val="28"/>
        </w:rPr>
      </w:pPr>
      <w:r w:rsidRPr="00C53B39">
        <w:rPr>
          <w:rFonts w:ascii="Times New Roman" w:eastAsia="Times New Roman" w:hAnsi="Times New Roman" w:cs="Times New Roman"/>
          <w:i/>
          <w:iCs/>
          <w:noProof/>
          <w:sz w:val="28"/>
          <w:szCs w:val="28"/>
        </w:rPr>
        <mc:AlternateContent>
          <mc:Choice Requires="wps">
            <w:drawing>
              <wp:anchor distT="0" distB="0" distL="114300" distR="114300" simplePos="0" relativeHeight="251661312" behindDoc="0" locked="0" layoutInCell="1" allowOverlap="1" wp14:anchorId="3C545CDF" wp14:editId="0B7BB427">
                <wp:simplePos x="0" y="0"/>
                <wp:positionH relativeFrom="column">
                  <wp:posOffset>9275</wp:posOffset>
                </wp:positionH>
                <wp:positionV relativeFrom="paragraph">
                  <wp:posOffset>105335</wp:posOffset>
                </wp:positionV>
                <wp:extent cx="1065475" cy="294199"/>
                <wp:effectExtent l="0" t="0" r="20955" b="10795"/>
                <wp:wrapNone/>
                <wp:docPr id="3" name="Rectangle 3"/>
                <wp:cNvGraphicFramePr/>
                <a:graphic xmlns:a="http://schemas.openxmlformats.org/drawingml/2006/main">
                  <a:graphicData uri="http://schemas.microsoft.com/office/word/2010/wordprocessingShape">
                    <wps:wsp>
                      <wps:cNvSpPr/>
                      <wps:spPr>
                        <a:xfrm>
                          <a:off x="0" y="0"/>
                          <a:ext cx="1065475" cy="294199"/>
                        </a:xfrm>
                        <a:prstGeom prst="rect">
                          <a:avLst/>
                        </a:prstGeom>
                      </wps:spPr>
                      <wps:style>
                        <a:lnRef idx="2">
                          <a:schemeClr val="accent6"/>
                        </a:lnRef>
                        <a:fillRef idx="1">
                          <a:schemeClr val="lt1"/>
                        </a:fillRef>
                        <a:effectRef idx="0">
                          <a:schemeClr val="accent6"/>
                        </a:effectRef>
                        <a:fontRef idx="minor">
                          <a:schemeClr val="dk1"/>
                        </a:fontRef>
                      </wps:style>
                      <wps:txbx>
                        <w:txbxContent>
                          <w:p w:rsidR="004115C3" w:rsidRPr="004115C3" w:rsidRDefault="004115C3" w:rsidP="004115C3">
                            <w:pPr>
                              <w:jc w:val="center"/>
                              <w:rPr>
                                <w:rFonts w:ascii="Times New Roman" w:hAnsi="Times New Roman" w:cs="Times New Roman"/>
                                <w:sz w:val="28"/>
                                <w:szCs w:val="28"/>
                              </w:rPr>
                            </w:pPr>
                            <w:r w:rsidRPr="004115C3">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75pt;margin-top:8.3pt;width:83.9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AawIAAB0FAAAOAAAAZHJzL2Uyb0RvYy54bWysVE1v2zAMvQ/YfxB0Xx2n6UeCOkXQosOA&#10;og3aDj0rspQYk0WNUmJnv36U7Lhdl9OwiyyafKT49Kir67Y2bKfQV2ALnp+MOFNWQlnZdcG/v9x9&#10;ueTMB2FLYcCqgu+V59fzz5+uGjdTY9iAKRUySmL9rHEF34TgZlnm5UbVwp+AU5acGrAWgUxcZyWK&#10;hrLXJhuPRudZA1g6BKm8p7+3nZPPU36tlQyPWnsVmCk4nS2kFdO6ims2vxKzNQq3qWR/DPEPp6hF&#10;ZanokOpWBMG2WP2Vqq4kggcdTiTUGWhdSZV6oG7y0YdunjfCqdQLkePdQJP/f2nlw26JrCoLfsqZ&#10;FTVd0RORJuzaKHYa6Wmcn1HUs1tib3naxl5bjXX8UhesTZTuB0pVG5ikn/no/GxyccaZJN94Osmn&#10;05g0e0M79OGrgprFTcGRqicmxe7ehy70EEK4eJquftqFvVHxCMY+KU1tUMVxQicBqRuDbCfo6oWU&#10;yobzvnSKjjBdGTMA82NAE/Ie1MdGmErCGoCjY8A/Kw6IVBVsGMB1ZQGPJSh/DJW7+EP3Xc+x/dCu&#10;2v5OVlDu6SIROoV7J+8q4vNe+LAUSJIm8dOYhkdatIGm4NDvONsA/jr2P8aT0sjLWUMjUnD/cytQ&#10;cWa+WdLgNJ9M4kwlY3J2MSYD33tW7z12W98AXUVOD4KTaRvjgzlsNUL9StO8iFXJJayk2gWXAQ/G&#10;TehGl94DqRaLFEZz5ES4t89OxuSR4KiXl/ZVoOtFFUiOD3AYJzH7oK0uNiItLLYBdJWEFynueO2p&#10;pxlM0u3fizjk7+0U9faqzX8DAAD//wMAUEsDBBQABgAIAAAAIQCsOHmY3AAAAAcBAAAPAAAAZHJz&#10;L2Rvd25yZXYueG1sTI5BS8NAFITvgv9heYI3u2nE1abZFCl4yCGI1eD1NfuahGbfhuy2jf/e7UlP&#10;wzDDzJdvZjuIM02+d6xhuUhAEDfO9Nxq+Pp8e3gB4QOywcExafghD5vi9ibHzLgLf9B5F1oRR9hn&#10;qKELYcyk9E1HFv3CjcQxO7jJYoh2aqWZ8BLH7SDTJFHSYs/xocORth01x93JaqhUVaVY1t91WW9L&#10;/7w07+FgtL6/m1/XIALN4a8MV/yIDkVk2rsTGy+G6J9iMYpSIK6xWj2C2GtQ6Qpkkcv//MUvAAAA&#10;//8DAFBLAQItABQABgAIAAAAIQC2gziS/gAAAOEBAAATAAAAAAAAAAAAAAAAAAAAAABbQ29udGVu&#10;dF9UeXBlc10ueG1sUEsBAi0AFAAGAAgAAAAhADj9If/WAAAAlAEAAAsAAAAAAAAAAAAAAAAALwEA&#10;AF9yZWxzLy5yZWxzUEsBAi0AFAAGAAgAAAAhAAb46ABrAgAAHQUAAA4AAAAAAAAAAAAAAAAALgIA&#10;AGRycy9lMm9Eb2MueG1sUEsBAi0AFAAGAAgAAAAhAKw4eZjcAAAABwEAAA8AAAAAAAAAAAAAAAAA&#10;xQQAAGRycy9kb3ducmV2LnhtbFBLBQYAAAAABAAEAPMAAADOBQAAAAA=&#10;" fillcolor="white [3201]" strokecolor="#f79646 [3209]" strokeweight="2pt">
                <v:textbox>
                  <w:txbxContent>
                    <w:p w:rsidR="004115C3" w:rsidRPr="004115C3" w:rsidRDefault="004115C3" w:rsidP="004115C3">
                      <w:pPr>
                        <w:jc w:val="center"/>
                        <w:rPr>
                          <w:rFonts w:ascii="Times New Roman" w:hAnsi="Times New Roman" w:cs="Times New Roman"/>
                          <w:sz w:val="28"/>
                          <w:szCs w:val="28"/>
                        </w:rPr>
                      </w:pPr>
                      <w:r w:rsidRPr="004115C3">
                        <w:rPr>
                          <w:rFonts w:ascii="Times New Roman" w:hAnsi="Times New Roman" w:cs="Times New Roman"/>
                          <w:sz w:val="28"/>
                          <w:szCs w:val="28"/>
                        </w:rPr>
                        <w:t>DỰ THẢO</w:t>
                      </w:r>
                    </w:p>
                  </w:txbxContent>
                </v:textbox>
              </v:rect>
            </w:pict>
          </mc:Fallback>
        </mc:AlternateContent>
      </w:r>
    </w:p>
    <w:p w:rsidR="005B2368" w:rsidRDefault="005B2368" w:rsidP="005E0AF0">
      <w:pPr>
        <w:spacing w:before="120" w:after="120" w:line="240" w:lineRule="auto"/>
        <w:jc w:val="center"/>
        <w:rPr>
          <w:rFonts w:ascii="Times New Roman" w:eastAsia="Times New Roman" w:hAnsi="Times New Roman" w:cs="Times New Roman"/>
          <w:b/>
          <w:bCs/>
          <w:sz w:val="28"/>
          <w:szCs w:val="24"/>
        </w:rPr>
      </w:pPr>
      <w:r w:rsidRPr="00297550">
        <w:rPr>
          <w:rFonts w:ascii="Times New Roman" w:eastAsia="Times New Roman" w:hAnsi="Times New Roman" w:cs="Times New Roman"/>
          <w:b/>
          <w:bCs/>
          <w:sz w:val="28"/>
          <w:szCs w:val="24"/>
          <w:lang w:val="vi-VN"/>
        </w:rPr>
        <w:t>THÔNG TƯ</w:t>
      </w:r>
    </w:p>
    <w:p w:rsidR="005B2368" w:rsidRPr="00DC75C2" w:rsidRDefault="00E86B6F" w:rsidP="00E86B6F">
      <w:pPr>
        <w:spacing w:after="0" w:line="240" w:lineRule="auto"/>
        <w:jc w:val="center"/>
        <w:rPr>
          <w:rFonts w:ascii="Times New Roman" w:eastAsia="Times New Roman" w:hAnsi="Times New Roman" w:cs="Times New Roman"/>
          <w:b/>
          <w:sz w:val="16"/>
          <w:szCs w:val="24"/>
        </w:rPr>
      </w:pPr>
      <w:r w:rsidRPr="00DC75C2">
        <w:rPr>
          <w:rFonts w:ascii="Times New Roman" w:eastAsia="Times New Roman" w:hAnsi="Times New Roman" w:cs="Times New Roman"/>
          <w:b/>
          <w:iCs/>
          <w:sz w:val="28"/>
          <w:szCs w:val="24"/>
        </w:rPr>
        <w:t>S</w:t>
      </w:r>
      <w:r w:rsidRPr="00DC75C2">
        <w:rPr>
          <w:rFonts w:ascii="Times New Roman" w:eastAsia="Times New Roman" w:hAnsi="Times New Roman" w:cs="Times New Roman"/>
          <w:b/>
          <w:iCs/>
          <w:sz w:val="28"/>
          <w:szCs w:val="24"/>
          <w:lang w:val="vi-VN"/>
        </w:rPr>
        <w:t>ửa đổi, bổ sung một số điều của Thông tư số </w:t>
      </w:r>
      <w:hyperlink r:id="rId9" w:tgtFrame="_blank" w:tooltip="Thông tư 39/2013/TT-NHNN" w:history="1">
        <w:r w:rsidRPr="00DC75C2">
          <w:rPr>
            <w:rStyle w:val="Hyperlink"/>
            <w:rFonts w:ascii="Times New Roman" w:eastAsia="Times New Roman" w:hAnsi="Times New Roman" w:cs="Times New Roman"/>
            <w:b/>
            <w:iCs/>
            <w:color w:val="auto"/>
            <w:sz w:val="28"/>
            <w:szCs w:val="24"/>
            <w:u w:val="none"/>
            <w:lang w:val="vi-VN"/>
          </w:rPr>
          <w:t>39/2013/TT-NHNN</w:t>
        </w:r>
      </w:hyperlink>
      <w:r w:rsidRPr="00DC75C2">
        <w:rPr>
          <w:rFonts w:ascii="Times New Roman" w:eastAsia="Times New Roman" w:hAnsi="Times New Roman" w:cs="Times New Roman"/>
          <w:b/>
          <w:iCs/>
          <w:sz w:val="28"/>
          <w:szCs w:val="24"/>
          <w:lang w:val="vi-VN"/>
        </w:rPr>
        <w:t> ngày 31/12/2013 của Thống đốc Ngân hàng Nhà nước quy định về xác định, trích lập, quản lý và sử dụng khoản dự phòng rủi ro của Ngân hàng Nhà nước Việt Nam</w:t>
      </w:r>
    </w:p>
    <w:p w:rsidR="00E86B6F" w:rsidRDefault="00E86B6F" w:rsidP="006B4122">
      <w:pPr>
        <w:spacing w:after="0" w:line="245" w:lineRule="auto"/>
        <w:ind w:firstLine="720"/>
        <w:jc w:val="both"/>
        <w:rPr>
          <w:rFonts w:ascii="Times New Roman" w:eastAsia="Times New Roman" w:hAnsi="Times New Roman" w:cs="Times New Roman"/>
          <w:i/>
          <w:iCs/>
          <w:sz w:val="28"/>
          <w:szCs w:val="24"/>
        </w:rPr>
      </w:pPr>
    </w:p>
    <w:p w:rsidR="005B2368" w:rsidRPr="00297550" w:rsidRDefault="005B2368" w:rsidP="006B4122">
      <w:pPr>
        <w:spacing w:after="0" w:line="245" w:lineRule="auto"/>
        <w:ind w:firstLine="720"/>
        <w:jc w:val="both"/>
        <w:rPr>
          <w:rFonts w:ascii="Times New Roman" w:eastAsia="Times New Roman" w:hAnsi="Times New Roman" w:cs="Times New Roman"/>
          <w:sz w:val="28"/>
          <w:szCs w:val="24"/>
        </w:rPr>
      </w:pPr>
      <w:r w:rsidRPr="00297550">
        <w:rPr>
          <w:rFonts w:ascii="Times New Roman" w:eastAsia="Times New Roman" w:hAnsi="Times New Roman" w:cs="Times New Roman"/>
          <w:i/>
          <w:iCs/>
          <w:sz w:val="28"/>
          <w:szCs w:val="24"/>
          <w:lang w:val="vi-VN"/>
        </w:rPr>
        <w:t xml:space="preserve">Căn cứ Luật Ngân hàng Nhà nước Việt Nam </w:t>
      </w:r>
      <w:r w:rsidR="00971C12" w:rsidRPr="00297550">
        <w:rPr>
          <w:rFonts w:ascii="Times New Roman" w:eastAsia="Times New Roman" w:hAnsi="Times New Roman" w:cs="Times New Roman"/>
          <w:i/>
          <w:iCs/>
          <w:sz w:val="28"/>
          <w:szCs w:val="24"/>
        </w:rPr>
        <w:t xml:space="preserve">năm </w:t>
      </w:r>
      <w:r w:rsidRPr="00297550">
        <w:rPr>
          <w:rFonts w:ascii="Times New Roman" w:eastAsia="Times New Roman" w:hAnsi="Times New Roman" w:cs="Times New Roman"/>
          <w:i/>
          <w:iCs/>
          <w:sz w:val="28"/>
          <w:szCs w:val="24"/>
          <w:lang w:val="vi-VN"/>
        </w:rPr>
        <w:t>2010;</w:t>
      </w:r>
    </w:p>
    <w:p w:rsidR="005B2368" w:rsidRPr="00590AFF" w:rsidRDefault="005B2368" w:rsidP="002D234F">
      <w:pPr>
        <w:spacing w:before="120" w:after="120" w:line="245" w:lineRule="auto"/>
        <w:ind w:firstLine="720"/>
        <w:jc w:val="both"/>
        <w:rPr>
          <w:rFonts w:ascii="Times New Roman" w:eastAsia="Times New Roman" w:hAnsi="Times New Roman" w:cs="Times New Roman"/>
          <w:sz w:val="28"/>
          <w:szCs w:val="24"/>
        </w:rPr>
      </w:pPr>
      <w:r w:rsidRPr="00590AFF">
        <w:rPr>
          <w:rFonts w:ascii="Times New Roman" w:eastAsia="Times New Roman" w:hAnsi="Times New Roman" w:cs="Times New Roman"/>
          <w:i/>
          <w:iCs/>
          <w:sz w:val="28"/>
          <w:szCs w:val="24"/>
          <w:lang w:val="vi-VN"/>
        </w:rPr>
        <w:t xml:space="preserve">Căn cứ Nghị định </w:t>
      </w:r>
      <w:r w:rsidR="00D870C0">
        <w:rPr>
          <w:rFonts w:ascii="Times New Roman" w:eastAsia="Times New Roman" w:hAnsi="Times New Roman" w:cs="Times New Roman"/>
          <w:i/>
          <w:iCs/>
          <w:sz w:val="28"/>
          <w:szCs w:val="24"/>
        </w:rPr>
        <w:t xml:space="preserve">số </w:t>
      </w:r>
      <w:r w:rsidRPr="00590AFF">
        <w:rPr>
          <w:rFonts w:ascii="Times New Roman" w:eastAsia="Times New Roman" w:hAnsi="Times New Roman" w:cs="Times New Roman"/>
          <w:i/>
          <w:iCs/>
          <w:sz w:val="28"/>
          <w:szCs w:val="24"/>
        </w:rPr>
        <w:t>1</w:t>
      </w:r>
      <w:r w:rsidRPr="00590AFF">
        <w:rPr>
          <w:rFonts w:ascii="Times New Roman" w:eastAsia="Times New Roman" w:hAnsi="Times New Roman" w:cs="Times New Roman"/>
          <w:i/>
          <w:iCs/>
          <w:sz w:val="28"/>
          <w:szCs w:val="24"/>
          <w:lang w:val="vi-VN"/>
        </w:rPr>
        <w:t>6/201</w:t>
      </w:r>
      <w:r w:rsidRPr="00590AFF">
        <w:rPr>
          <w:rFonts w:ascii="Times New Roman" w:eastAsia="Times New Roman" w:hAnsi="Times New Roman" w:cs="Times New Roman"/>
          <w:i/>
          <w:iCs/>
          <w:sz w:val="28"/>
          <w:szCs w:val="24"/>
        </w:rPr>
        <w:t>7</w:t>
      </w:r>
      <w:r w:rsidRPr="00590AFF">
        <w:rPr>
          <w:rFonts w:ascii="Times New Roman" w:eastAsia="Times New Roman" w:hAnsi="Times New Roman" w:cs="Times New Roman"/>
          <w:i/>
          <w:iCs/>
          <w:sz w:val="28"/>
          <w:szCs w:val="24"/>
          <w:lang w:val="vi-VN"/>
        </w:rPr>
        <w:t xml:space="preserve">/NĐ-CP ngày </w:t>
      </w:r>
      <w:r w:rsidRPr="00590AFF">
        <w:rPr>
          <w:rFonts w:ascii="Times New Roman" w:eastAsia="Times New Roman" w:hAnsi="Times New Roman" w:cs="Times New Roman"/>
          <w:i/>
          <w:iCs/>
          <w:sz w:val="28"/>
          <w:szCs w:val="24"/>
        </w:rPr>
        <w:t>17</w:t>
      </w:r>
      <w:r w:rsidR="00590AFF" w:rsidRPr="00FB1923">
        <w:rPr>
          <w:rFonts w:ascii="Times New Roman" w:eastAsia="Times New Roman" w:hAnsi="Times New Roman" w:cs="Times New Roman"/>
          <w:i/>
          <w:iCs/>
          <w:sz w:val="28"/>
          <w:szCs w:val="24"/>
        </w:rPr>
        <w:t xml:space="preserve"> tháng </w:t>
      </w:r>
      <w:r w:rsidRPr="003F7AE0">
        <w:rPr>
          <w:rFonts w:ascii="Times New Roman" w:eastAsia="Times New Roman" w:hAnsi="Times New Roman" w:cs="Times New Roman"/>
          <w:i/>
          <w:iCs/>
          <w:sz w:val="28"/>
          <w:szCs w:val="24"/>
        </w:rPr>
        <w:t>02</w:t>
      </w:r>
      <w:r w:rsidR="00590AFF" w:rsidRPr="00FB1923">
        <w:rPr>
          <w:rFonts w:ascii="Times New Roman" w:eastAsia="Times New Roman" w:hAnsi="Times New Roman" w:cs="Times New Roman"/>
          <w:i/>
          <w:iCs/>
          <w:sz w:val="28"/>
          <w:szCs w:val="24"/>
        </w:rPr>
        <w:t xml:space="preserve"> năm </w:t>
      </w:r>
      <w:r w:rsidRPr="003F7AE0">
        <w:rPr>
          <w:rFonts w:ascii="Times New Roman" w:eastAsia="Times New Roman" w:hAnsi="Times New Roman" w:cs="Times New Roman"/>
          <w:i/>
          <w:iCs/>
          <w:sz w:val="28"/>
          <w:szCs w:val="24"/>
          <w:lang w:val="vi-VN"/>
        </w:rPr>
        <w:t>201</w:t>
      </w:r>
      <w:r w:rsidRPr="00590AFF">
        <w:rPr>
          <w:rFonts w:ascii="Times New Roman" w:eastAsia="Times New Roman" w:hAnsi="Times New Roman" w:cs="Times New Roman"/>
          <w:i/>
          <w:iCs/>
          <w:sz w:val="28"/>
          <w:szCs w:val="24"/>
        </w:rPr>
        <w:t>7</w:t>
      </w:r>
      <w:r w:rsidRPr="00590AFF">
        <w:rPr>
          <w:rFonts w:ascii="Times New Roman" w:eastAsia="Times New Roman" w:hAnsi="Times New Roman" w:cs="Times New Roman"/>
          <w:i/>
          <w:iCs/>
          <w:sz w:val="28"/>
          <w:szCs w:val="24"/>
          <w:lang w:val="vi-VN"/>
        </w:rPr>
        <w:t xml:space="preserve"> của Chính phủ quy định chức năng, nhiệm vụ, quyền hạn và cơ cấu tổ chức của Ngân hàng Nhà nước Việt Nam;</w:t>
      </w:r>
    </w:p>
    <w:p w:rsidR="005B2368" w:rsidRPr="00297550" w:rsidRDefault="005B2368" w:rsidP="002D234F">
      <w:pPr>
        <w:spacing w:before="120" w:after="120" w:line="245" w:lineRule="auto"/>
        <w:ind w:firstLine="720"/>
        <w:jc w:val="both"/>
        <w:rPr>
          <w:rFonts w:ascii="Times New Roman" w:eastAsia="Times New Roman" w:hAnsi="Times New Roman" w:cs="Times New Roman"/>
          <w:sz w:val="28"/>
          <w:szCs w:val="24"/>
        </w:rPr>
      </w:pPr>
      <w:r w:rsidRPr="00590AFF">
        <w:rPr>
          <w:rFonts w:ascii="Times New Roman" w:eastAsia="Times New Roman" w:hAnsi="Times New Roman" w:cs="Times New Roman"/>
          <w:i/>
          <w:iCs/>
          <w:sz w:val="28"/>
          <w:szCs w:val="24"/>
          <w:lang w:val="vi-VN"/>
        </w:rPr>
        <w:t>Căn c</w:t>
      </w:r>
      <w:r w:rsidRPr="00590AFF">
        <w:rPr>
          <w:rFonts w:ascii="Times New Roman" w:eastAsia="Times New Roman" w:hAnsi="Times New Roman" w:cs="Times New Roman"/>
          <w:i/>
          <w:iCs/>
          <w:sz w:val="28"/>
          <w:szCs w:val="24"/>
        </w:rPr>
        <w:t>ứ</w:t>
      </w:r>
      <w:r w:rsidRPr="00590AFF">
        <w:rPr>
          <w:rFonts w:ascii="Times New Roman" w:eastAsia="Times New Roman" w:hAnsi="Times New Roman" w:cs="Times New Roman"/>
          <w:i/>
          <w:iCs/>
          <w:sz w:val="28"/>
          <w:szCs w:val="24"/>
          <w:lang w:val="vi-VN"/>
        </w:rPr>
        <w:t xml:space="preserve"> Q</w:t>
      </w:r>
      <w:r w:rsidRPr="00590AFF">
        <w:rPr>
          <w:rFonts w:ascii="Times New Roman" w:eastAsia="Times New Roman" w:hAnsi="Times New Roman" w:cs="Times New Roman"/>
          <w:i/>
          <w:iCs/>
          <w:sz w:val="28"/>
          <w:szCs w:val="24"/>
        </w:rPr>
        <w:t>uy</w:t>
      </w:r>
      <w:r w:rsidR="003A112E" w:rsidRPr="00590AFF">
        <w:rPr>
          <w:rFonts w:ascii="Times New Roman" w:eastAsia="Times New Roman" w:hAnsi="Times New Roman" w:cs="Times New Roman"/>
          <w:i/>
          <w:iCs/>
          <w:sz w:val="28"/>
          <w:szCs w:val="24"/>
          <w:lang w:val="vi-VN"/>
        </w:rPr>
        <w:t>ết định số 0</w:t>
      </w:r>
      <w:r w:rsidR="003A112E" w:rsidRPr="00590AFF">
        <w:rPr>
          <w:rFonts w:ascii="Times New Roman" w:eastAsia="Times New Roman" w:hAnsi="Times New Roman" w:cs="Times New Roman"/>
          <w:i/>
          <w:iCs/>
          <w:sz w:val="28"/>
          <w:szCs w:val="24"/>
        </w:rPr>
        <w:t>7</w:t>
      </w:r>
      <w:r w:rsidRPr="00590AFF">
        <w:rPr>
          <w:rFonts w:ascii="Times New Roman" w:eastAsia="Times New Roman" w:hAnsi="Times New Roman" w:cs="Times New Roman"/>
          <w:i/>
          <w:iCs/>
          <w:sz w:val="28"/>
          <w:szCs w:val="24"/>
          <w:lang w:val="vi-VN"/>
        </w:rPr>
        <w:t>/20</w:t>
      </w:r>
      <w:r w:rsidRPr="00590AFF">
        <w:rPr>
          <w:rFonts w:ascii="Times New Roman" w:eastAsia="Times New Roman" w:hAnsi="Times New Roman" w:cs="Times New Roman"/>
          <w:i/>
          <w:iCs/>
          <w:sz w:val="28"/>
          <w:szCs w:val="24"/>
        </w:rPr>
        <w:t>1</w:t>
      </w:r>
      <w:r w:rsidRPr="00590AFF">
        <w:rPr>
          <w:rFonts w:ascii="Times New Roman" w:eastAsia="Times New Roman" w:hAnsi="Times New Roman" w:cs="Times New Roman"/>
          <w:i/>
          <w:iCs/>
          <w:sz w:val="28"/>
          <w:szCs w:val="24"/>
          <w:lang w:val="vi-VN"/>
        </w:rPr>
        <w:t>3/QĐ-TTg ngày 24</w:t>
      </w:r>
      <w:r w:rsidR="00590AFF" w:rsidRPr="00FB1923">
        <w:rPr>
          <w:rFonts w:ascii="Times New Roman" w:eastAsia="Times New Roman" w:hAnsi="Times New Roman" w:cs="Times New Roman"/>
          <w:i/>
          <w:iCs/>
          <w:sz w:val="28"/>
          <w:szCs w:val="24"/>
        </w:rPr>
        <w:t xml:space="preserve"> tháng </w:t>
      </w:r>
      <w:r w:rsidRPr="003F7AE0">
        <w:rPr>
          <w:rFonts w:ascii="Times New Roman" w:eastAsia="Times New Roman" w:hAnsi="Times New Roman" w:cs="Times New Roman"/>
          <w:i/>
          <w:iCs/>
          <w:sz w:val="28"/>
          <w:szCs w:val="24"/>
          <w:lang w:val="vi-VN"/>
        </w:rPr>
        <w:t>0</w:t>
      </w:r>
      <w:r w:rsidRPr="00590AFF">
        <w:rPr>
          <w:rFonts w:ascii="Times New Roman" w:eastAsia="Times New Roman" w:hAnsi="Times New Roman" w:cs="Times New Roman"/>
          <w:i/>
          <w:iCs/>
          <w:sz w:val="28"/>
          <w:szCs w:val="24"/>
        </w:rPr>
        <w:t>1</w:t>
      </w:r>
      <w:r w:rsidR="00590AFF" w:rsidRPr="00FB1923">
        <w:rPr>
          <w:rFonts w:ascii="Times New Roman" w:eastAsia="Times New Roman" w:hAnsi="Times New Roman" w:cs="Times New Roman"/>
          <w:i/>
          <w:iCs/>
          <w:sz w:val="28"/>
          <w:szCs w:val="24"/>
        </w:rPr>
        <w:t xml:space="preserve"> năm </w:t>
      </w:r>
      <w:r w:rsidRPr="003F7AE0">
        <w:rPr>
          <w:rFonts w:ascii="Times New Roman" w:eastAsia="Times New Roman" w:hAnsi="Times New Roman" w:cs="Times New Roman"/>
          <w:i/>
          <w:iCs/>
          <w:sz w:val="28"/>
          <w:szCs w:val="24"/>
          <w:lang w:val="vi-VN"/>
        </w:rPr>
        <w:t>20</w:t>
      </w:r>
      <w:r w:rsidRPr="00590AFF">
        <w:rPr>
          <w:rFonts w:ascii="Times New Roman" w:eastAsia="Times New Roman" w:hAnsi="Times New Roman" w:cs="Times New Roman"/>
          <w:i/>
          <w:iCs/>
          <w:sz w:val="28"/>
          <w:szCs w:val="24"/>
        </w:rPr>
        <w:t>1</w:t>
      </w:r>
      <w:r w:rsidRPr="00590AFF">
        <w:rPr>
          <w:rFonts w:ascii="Times New Roman" w:eastAsia="Times New Roman" w:hAnsi="Times New Roman" w:cs="Times New Roman"/>
          <w:i/>
          <w:iCs/>
          <w:sz w:val="28"/>
          <w:szCs w:val="24"/>
          <w:lang w:val="vi-VN"/>
        </w:rPr>
        <w:t xml:space="preserve">3 </w:t>
      </w:r>
      <w:r w:rsidRPr="00297550">
        <w:rPr>
          <w:rFonts w:ascii="Times New Roman" w:eastAsia="Times New Roman" w:hAnsi="Times New Roman" w:cs="Times New Roman"/>
          <w:i/>
          <w:iCs/>
          <w:sz w:val="28"/>
          <w:szCs w:val="24"/>
          <w:lang w:val="vi-VN"/>
        </w:rPr>
        <w:t>của Thủ tướng Chính phủ v</w:t>
      </w:r>
      <w:r w:rsidRPr="00297550">
        <w:rPr>
          <w:rFonts w:ascii="Times New Roman" w:eastAsia="Times New Roman" w:hAnsi="Times New Roman" w:cs="Times New Roman"/>
          <w:i/>
          <w:iCs/>
          <w:sz w:val="28"/>
          <w:szCs w:val="24"/>
        </w:rPr>
        <w:t xml:space="preserve">ề </w:t>
      </w:r>
      <w:r w:rsidR="00D870C0">
        <w:rPr>
          <w:rFonts w:ascii="Times New Roman" w:eastAsia="Times New Roman" w:hAnsi="Times New Roman" w:cs="Times New Roman"/>
          <w:i/>
          <w:iCs/>
          <w:sz w:val="28"/>
          <w:szCs w:val="24"/>
        </w:rPr>
        <w:t>c</w:t>
      </w:r>
      <w:r w:rsidR="003A112E" w:rsidRPr="00297550">
        <w:rPr>
          <w:rFonts w:ascii="Times New Roman" w:eastAsia="Times New Roman" w:hAnsi="Times New Roman" w:cs="Times New Roman"/>
          <w:i/>
          <w:iCs/>
          <w:sz w:val="28"/>
          <w:szCs w:val="24"/>
          <w:lang w:val="vi-VN"/>
        </w:rPr>
        <w:t>hế độ tài chính của</w:t>
      </w:r>
      <w:r w:rsidRPr="00297550">
        <w:rPr>
          <w:rFonts w:ascii="Times New Roman" w:eastAsia="Times New Roman" w:hAnsi="Times New Roman" w:cs="Times New Roman"/>
          <w:i/>
          <w:iCs/>
          <w:sz w:val="28"/>
          <w:szCs w:val="24"/>
          <w:lang w:val="vi-VN"/>
        </w:rPr>
        <w:t xml:space="preserve"> Ngân hàng Nhà nước Việt Nam;</w:t>
      </w:r>
    </w:p>
    <w:p w:rsidR="005B2368" w:rsidRPr="00297550" w:rsidRDefault="005B2368" w:rsidP="002D234F">
      <w:pPr>
        <w:spacing w:before="120" w:after="120" w:line="245" w:lineRule="auto"/>
        <w:ind w:firstLine="720"/>
        <w:jc w:val="both"/>
        <w:rPr>
          <w:rFonts w:ascii="Times New Roman" w:eastAsia="Times New Roman" w:hAnsi="Times New Roman" w:cs="Times New Roman"/>
          <w:sz w:val="28"/>
          <w:szCs w:val="24"/>
        </w:rPr>
      </w:pPr>
      <w:r w:rsidRPr="00297550">
        <w:rPr>
          <w:rFonts w:ascii="Times New Roman" w:eastAsia="Times New Roman" w:hAnsi="Times New Roman" w:cs="Times New Roman"/>
          <w:i/>
          <w:iCs/>
          <w:sz w:val="28"/>
          <w:szCs w:val="24"/>
          <w:lang w:val="vi-VN"/>
        </w:rPr>
        <w:t xml:space="preserve">Theo đề </w:t>
      </w:r>
      <w:r w:rsidR="00D826D8" w:rsidRPr="00297550">
        <w:rPr>
          <w:rFonts w:ascii="Times New Roman" w:eastAsia="Times New Roman" w:hAnsi="Times New Roman" w:cs="Times New Roman"/>
          <w:i/>
          <w:iCs/>
          <w:sz w:val="28"/>
          <w:szCs w:val="24"/>
          <w:lang w:val="vi-VN"/>
        </w:rPr>
        <w:t>nghị của Vụ trưởng Vụ Tài chính</w:t>
      </w:r>
      <w:r w:rsidR="00300506">
        <w:rPr>
          <w:rFonts w:ascii="Times New Roman" w:eastAsia="Times New Roman" w:hAnsi="Times New Roman" w:cs="Times New Roman"/>
          <w:i/>
          <w:iCs/>
          <w:sz w:val="28"/>
          <w:szCs w:val="24"/>
        </w:rPr>
        <w:t xml:space="preserve"> </w:t>
      </w:r>
      <w:r w:rsidRPr="00297550">
        <w:rPr>
          <w:rFonts w:ascii="Times New Roman" w:eastAsia="Times New Roman" w:hAnsi="Times New Roman" w:cs="Times New Roman"/>
          <w:i/>
          <w:iCs/>
          <w:sz w:val="28"/>
          <w:szCs w:val="24"/>
          <w:lang w:val="vi-VN"/>
        </w:rPr>
        <w:t>- Kế toán;</w:t>
      </w:r>
    </w:p>
    <w:p w:rsidR="005B2368" w:rsidRPr="00297550" w:rsidRDefault="005B2368" w:rsidP="002D234F">
      <w:pPr>
        <w:spacing w:before="120" w:after="120" w:line="245" w:lineRule="auto"/>
        <w:ind w:firstLine="720"/>
        <w:jc w:val="both"/>
        <w:rPr>
          <w:rFonts w:ascii="Times New Roman" w:eastAsia="Times New Roman" w:hAnsi="Times New Roman" w:cs="Times New Roman"/>
          <w:i/>
          <w:iCs/>
          <w:sz w:val="28"/>
          <w:szCs w:val="24"/>
        </w:rPr>
      </w:pPr>
      <w:r w:rsidRPr="00297550">
        <w:rPr>
          <w:rFonts w:ascii="Times New Roman" w:eastAsia="Times New Roman" w:hAnsi="Times New Roman" w:cs="Times New Roman"/>
          <w:i/>
          <w:iCs/>
          <w:sz w:val="28"/>
          <w:szCs w:val="24"/>
          <w:lang w:val="vi-VN"/>
        </w:rPr>
        <w:t>Th</w:t>
      </w:r>
      <w:r w:rsidRPr="00297550">
        <w:rPr>
          <w:rFonts w:ascii="Times New Roman" w:eastAsia="Times New Roman" w:hAnsi="Times New Roman" w:cs="Times New Roman"/>
          <w:i/>
          <w:iCs/>
          <w:sz w:val="28"/>
          <w:szCs w:val="24"/>
        </w:rPr>
        <w:t>ố</w:t>
      </w:r>
      <w:r w:rsidRPr="00297550">
        <w:rPr>
          <w:rFonts w:ascii="Times New Roman" w:eastAsia="Times New Roman" w:hAnsi="Times New Roman" w:cs="Times New Roman"/>
          <w:i/>
          <w:iCs/>
          <w:sz w:val="28"/>
          <w:szCs w:val="24"/>
          <w:lang w:val="vi-VN"/>
        </w:rPr>
        <w:t xml:space="preserve">ng </w:t>
      </w:r>
      <w:r w:rsidRPr="00297550">
        <w:rPr>
          <w:rFonts w:ascii="Times New Roman" w:eastAsia="Times New Roman" w:hAnsi="Times New Roman" w:cs="Times New Roman"/>
          <w:i/>
          <w:iCs/>
          <w:sz w:val="28"/>
          <w:szCs w:val="24"/>
        </w:rPr>
        <w:t>đ</w:t>
      </w:r>
      <w:r w:rsidRPr="00297550">
        <w:rPr>
          <w:rFonts w:ascii="Times New Roman" w:eastAsia="Times New Roman" w:hAnsi="Times New Roman" w:cs="Times New Roman"/>
          <w:i/>
          <w:iCs/>
          <w:sz w:val="28"/>
          <w:szCs w:val="24"/>
          <w:lang w:val="vi-VN"/>
        </w:rPr>
        <w:t xml:space="preserve">ốc Ngân hàng Nhà nước Việt Nam </w:t>
      </w:r>
      <w:r w:rsidR="00E86B6F" w:rsidRPr="00E86B6F">
        <w:rPr>
          <w:rFonts w:ascii="Times New Roman" w:eastAsia="Times New Roman" w:hAnsi="Times New Roman" w:cs="Times New Roman"/>
          <w:i/>
          <w:iCs/>
          <w:sz w:val="28"/>
          <w:szCs w:val="24"/>
          <w:lang w:val="vi-VN"/>
        </w:rPr>
        <w:t>ban hành Thông tư sửa đổi, bổ sung một số điều của Thông tư số </w:t>
      </w:r>
      <w:hyperlink r:id="rId10" w:tgtFrame="_blank" w:tooltip="Thông tư 39/2013/TT-NHNN" w:history="1">
        <w:r w:rsidR="00E86B6F" w:rsidRPr="00E86B6F">
          <w:rPr>
            <w:rStyle w:val="Hyperlink"/>
            <w:rFonts w:ascii="Times New Roman" w:eastAsia="Times New Roman" w:hAnsi="Times New Roman" w:cs="Times New Roman"/>
            <w:i/>
            <w:iCs/>
            <w:color w:val="auto"/>
            <w:sz w:val="28"/>
            <w:szCs w:val="24"/>
            <w:u w:val="none"/>
            <w:lang w:val="vi-VN"/>
          </w:rPr>
          <w:t>39/2013/TT-NHNN</w:t>
        </w:r>
      </w:hyperlink>
      <w:r w:rsidR="00E86B6F" w:rsidRPr="00E86B6F">
        <w:rPr>
          <w:rFonts w:ascii="Times New Roman" w:eastAsia="Times New Roman" w:hAnsi="Times New Roman" w:cs="Times New Roman"/>
          <w:i/>
          <w:iCs/>
          <w:sz w:val="28"/>
          <w:szCs w:val="24"/>
          <w:lang w:val="vi-VN"/>
        </w:rPr>
        <w:t> ngày 31/12/2013 của Thống đốc Ngân hàng Nhà nước quy định về xác định, trích lập, quản lý và sử dụng khoản dự phòng rủi ro của Ngân hàng Nhà nước Việt Nam (sau đây gọi là Thông tư 39/2013/TT-NHNN)</w:t>
      </w:r>
      <w:r w:rsidRPr="00297550">
        <w:rPr>
          <w:rFonts w:ascii="Times New Roman" w:eastAsia="Times New Roman" w:hAnsi="Times New Roman" w:cs="Times New Roman"/>
          <w:i/>
          <w:iCs/>
          <w:sz w:val="28"/>
          <w:szCs w:val="24"/>
        </w:rPr>
        <w:t>.</w:t>
      </w:r>
    </w:p>
    <w:p w:rsidR="005B2368" w:rsidRDefault="005B2368" w:rsidP="0053072B">
      <w:pPr>
        <w:spacing w:before="240" w:after="120" w:line="240" w:lineRule="auto"/>
        <w:ind w:firstLine="720"/>
        <w:jc w:val="both"/>
        <w:rPr>
          <w:rFonts w:ascii="Times New Roman" w:hAnsi="Times New Roman" w:cs="Times New Roman"/>
          <w:b/>
          <w:sz w:val="28"/>
          <w:szCs w:val="28"/>
        </w:rPr>
      </w:pPr>
      <w:r w:rsidRPr="00297550">
        <w:rPr>
          <w:rFonts w:ascii="Times New Roman" w:hAnsi="Times New Roman" w:cs="Times New Roman"/>
          <w:b/>
          <w:sz w:val="28"/>
          <w:szCs w:val="28"/>
        </w:rPr>
        <w:t>Điều 1.</w:t>
      </w:r>
      <w:r w:rsidR="007E3DFB" w:rsidRPr="00297550">
        <w:rPr>
          <w:rFonts w:ascii="Times New Roman" w:hAnsi="Times New Roman" w:cs="Times New Roman"/>
          <w:b/>
          <w:sz w:val="28"/>
          <w:szCs w:val="28"/>
        </w:rPr>
        <w:t xml:space="preserve"> </w:t>
      </w:r>
      <w:r w:rsidR="00E86B6F">
        <w:rPr>
          <w:rFonts w:ascii="Times New Roman" w:hAnsi="Times New Roman" w:cs="Times New Roman"/>
          <w:b/>
          <w:sz w:val="28"/>
          <w:szCs w:val="28"/>
        </w:rPr>
        <w:t>Sửa đổi, bổ sung một số điều của Thông tư 39/2013/TT-NHNN</w:t>
      </w:r>
    </w:p>
    <w:p w:rsidR="00037660" w:rsidRDefault="00037660" w:rsidP="0053072B">
      <w:pPr>
        <w:pStyle w:val="ListParagraph"/>
        <w:numPr>
          <w:ilvl w:val="0"/>
          <w:numId w:val="10"/>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Sửa đổi, bổ sung Khoản 3 Điều 6 như sau:</w:t>
      </w:r>
    </w:p>
    <w:p w:rsidR="00037660" w:rsidRPr="000615AB" w:rsidRDefault="00037660" w:rsidP="00037F6E">
      <w:pPr>
        <w:pStyle w:val="abc"/>
        <w:spacing w:before="120" w:after="120"/>
        <w:ind w:firstLine="720"/>
        <w:jc w:val="both"/>
        <w:rPr>
          <w:rFonts w:ascii="Times New Roman" w:hAnsi="Times New Roman"/>
          <w:spacing w:val="2"/>
          <w:sz w:val="28"/>
          <w:szCs w:val="28"/>
          <w:lang w:val="vi-VN"/>
        </w:rPr>
      </w:pPr>
      <w:r w:rsidRPr="000615AB">
        <w:rPr>
          <w:rFonts w:ascii="Times New Roman" w:hAnsi="Times New Roman"/>
          <w:spacing w:val="2"/>
          <w:sz w:val="28"/>
          <w:szCs w:val="28"/>
        </w:rPr>
        <w:t>“</w:t>
      </w:r>
      <w:r w:rsidRPr="000615AB">
        <w:rPr>
          <w:rFonts w:ascii="Times New Roman" w:hAnsi="Times New Roman"/>
          <w:spacing w:val="2"/>
          <w:sz w:val="28"/>
          <w:szCs w:val="28"/>
          <w:lang w:val="vi-VN"/>
        </w:rPr>
        <w:t xml:space="preserve">3. Các khoản tái cấp vốn được phân loại theo mức độ rủi ro </w:t>
      </w:r>
      <w:r w:rsidRPr="000615AB">
        <w:rPr>
          <w:rFonts w:ascii="Times New Roman" w:hAnsi="Times New Roman"/>
          <w:spacing w:val="2"/>
          <w:sz w:val="28"/>
          <w:szCs w:val="28"/>
        </w:rPr>
        <w:t xml:space="preserve">tăng dần </w:t>
      </w:r>
      <w:r w:rsidRPr="000615AB">
        <w:rPr>
          <w:rFonts w:ascii="Times New Roman" w:hAnsi="Times New Roman"/>
          <w:spacing w:val="2"/>
          <w:sz w:val="28"/>
          <w:szCs w:val="28"/>
          <w:lang w:val="vi-VN"/>
        </w:rPr>
        <w:t>như sau:</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a) Nhóm 1: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(i) Các khoản tái cấp vốn trong hạn (bao gồm cả các sản phẩm tái cấp vốn được gia hạn tự động theo quy định của </w:t>
      </w:r>
      <w:r w:rsidRPr="00BB4E06">
        <w:rPr>
          <w:rFonts w:ascii="Times New Roman" w:hAnsi="Times New Roman"/>
          <w:bCs/>
          <w:color w:val="000000"/>
          <w:sz w:val="28"/>
          <w:szCs w:val="28"/>
          <w:lang w:val="vi-VN"/>
        </w:rPr>
        <w:t>Ngân hàng Nhà nước</w:t>
      </w:r>
      <w:r w:rsidRPr="00BB4E06">
        <w:rPr>
          <w:rFonts w:ascii="Times New Roman" w:hAnsi="Times New Roman"/>
          <w:sz w:val="28"/>
          <w:szCs w:val="28"/>
          <w:lang w:val="vi-VN"/>
        </w:rPr>
        <w:t>);</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(ii) Các khoản tái cấp vốn không quy định thời hạn thanh toán phát sinh dưới 0</w:t>
      </w:r>
      <w:r w:rsidR="00C417C3">
        <w:rPr>
          <w:rFonts w:ascii="Times New Roman" w:hAnsi="Times New Roman"/>
          <w:sz w:val="28"/>
          <w:szCs w:val="28"/>
        </w:rPr>
        <w:t>6</w:t>
      </w:r>
      <w:r w:rsidRPr="00BB4E06">
        <w:rPr>
          <w:rFonts w:ascii="Times New Roman" w:hAnsi="Times New Roman"/>
          <w:sz w:val="28"/>
          <w:szCs w:val="28"/>
          <w:lang w:val="vi-VN"/>
        </w:rPr>
        <w:t xml:space="preserve"> </w:t>
      </w:r>
      <w:r w:rsidR="00C417C3">
        <w:rPr>
          <w:rFonts w:ascii="Times New Roman" w:hAnsi="Times New Roman"/>
          <w:sz w:val="28"/>
          <w:szCs w:val="28"/>
        </w:rPr>
        <w:t>tháng</w:t>
      </w:r>
      <w:r w:rsidRPr="00BB4E06">
        <w:rPr>
          <w:rFonts w:ascii="Times New Roman" w:hAnsi="Times New Roman"/>
          <w:sz w:val="28"/>
          <w:szCs w:val="28"/>
          <w:lang w:val="vi-VN"/>
        </w:rPr>
        <w:t>;</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b) Nhóm 2: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(i) Các khoản tái cấp vốn đã quá hạn dưới </w:t>
      </w:r>
      <w:r w:rsidR="00DA70B1">
        <w:rPr>
          <w:rFonts w:ascii="Times New Roman" w:hAnsi="Times New Roman"/>
          <w:sz w:val="28"/>
          <w:szCs w:val="28"/>
        </w:rPr>
        <w:t>06 tháng</w:t>
      </w:r>
      <w:r w:rsidRPr="00BB4E06">
        <w:rPr>
          <w:rFonts w:ascii="Times New Roman" w:hAnsi="Times New Roman"/>
          <w:sz w:val="28"/>
          <w:szCs w:val="28"/>
          <w:lang w:val="vi-VN"/>
        </w:rPr>
        <w:t>;</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(ii) Các khoản tái cấp vốn không quy định thời hạn thanh toán phát sinh từ </w:t>
      </w:r>
      <w:r w:rsidR="00C417C3">
        <w:rPr>
          <w:rFonts w:ascii="Times New Roman" w:hAnsi="Times New Roman"/>
          <w:sz w:val="28"/>
          <w:szCs w:val="28"/>
        </w:rPr>
        <w:t>06 tháng</w:t>
      </w:r>
      <w:r w:rsidRPr="00BB4E06">
        <w:rPr>
          <w:rFonts w:ascii="Times New Roman" w:hAnsi="Times New Roman"/>
          <w:sz w:val="28"/>
          <w:szCs w:val="28"/>
          <w:lang w:val="vi-VN"/>
        </w:rPr>
        <w:t xml:space="preserve"> đến dưới 0</w:t>
      </w:r>
      <w:r w:rsidR="00C417C3">
        <w:rPr>
          <w:rFonts w:ascii="Times New Roman" w:hAnsi="Times New Roman"/>
          <w:sz w:val="28"/>
          <w:szCs w:val="28"/>
        </w:rPr>
        <w:t>1</w:t>
      </w:r>
      <w:r w:rsidRPr="00BB4E06">
        <w:rPr>
          <w:rFonts w:ascii="Times New Roman" w:hAnsi="Times New Roman"/>
          <w:sz w:val="28"/>
          <w:szCs w:val="28"/>
          <w:lang w:val="vi-VN"/>
        </w:rPr>
        <w:t xml:space="preserve"> năm;</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(iii) Các khoản tái cấp vốn được gia hạn nợ lần đầu còn trong hạn;</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lastRenderedPageBreak/>
        <w:t xml:space="preserve">c) Nhóm 3: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(i) Các khoản tái cấp vốn đã quá hạn từ </w:t>
      </w:r>
      <w:r w:rsidR="00BF287F">
        <w:rPr>
          <w:rFonts w:ascii="Times New Roman" w:hAnsi="Times New Roman"/>
          <w:sz w:val="28"/>
          <w:szCs w:val="28"/>
        </w:rPr>
        <w:t xml:space="preserve">06 tháng </w:t>
      </w:r>
      <w:r w:rsidRPr="00BB4E06">
        <w:rPr>
          <w:rFonts w:ascii="Times New Roman" w:hAnsi="Times New Roman"/>
          <w:sz w:val="28"/>
          <w:szCs w:val="28"/>
          <w:lang w:val="vi-VN"/>
        </w:rPr>
        <w:t>đến dưới 0</w:t>
      </w:r>
      <w:r w:rsidR="00BF287F">
        <w:rPr>
          <w:rFonts w:ascii="Times New Roman" w:hAnsi="Times New Roman"/>
          <w:sz w:val="28"/>
          <w:szCs w:val="28"/>
        </w:rPr>
        <w:t>1</w:t>
      </w:r>
      <w:r w:rsidRPr="00BB4E06">
        <w:rPr>
          <w:rFonts w:ascii="Times New Roman" w:hAnsi="Times New Roman"/>
          <w:sz w:val="28"/>
          <w:szCs w:val="28"/>
          <w:lang w:val="vi-VN"/>
        </w:rPr>
        <w:t xml:space="preserve"> năm;</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(ii) Các khoản tái cấp vốn không quy định thời hạn thanh toán phát sinh từ 0</w:t>
      </w:r>
      <w:r w:rsidR="00C417C3">
        <w:rPr>
          <w:rFonts w:ascii="Times New Roman" w:hAnsi="Times New Roman"/>
          <w:sz w:val="28"/>
          <w:szCs w:val="28"/>
        </w:rPr>
        <w:t>1</w:t>
      </w:r>
      <w:r w:rsidRPr="00BB4E06">
        <w:rPr>
          <w:rFonts w:ascii="Times New Roman" w:hAnsi="Times New Roman"/>
          <w:sz w:val="28"/>
          <w:szCs w:val="28"/>
          <w:lang w:val="vi-VN"/>
        </w:rPr>
        <w:t xml:space="preserve"> năm đến dưới 0</w:t>
      </w:r>
      <w:r w:rsidR="00801CAC">
        <w:rPr>
          <w:rFonts w:ascii="Times New Roman" w:hAnsi="Times New Roman"/>
          <w:sz w:val="28"/>
          <w:szCs w:val="28"/>
        </w:rPr>
        <w:t>3</w:t>
      </w:r>
      <w:r w:rsidRPr="00BB4E06">
        <w:rPr>
          <w:rFonts w:ascii="Times New Roman" w:hAnsi="Times New Roman"/>
          <w:sz w:val="28"/>
          <w:szCs w:val="28"/>
          <w:lang w:val="vi-VN"/>
        </w:rPr>
        <w:t xml:space="preserve"> năm;</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(iii) Các khoản tái cấp vốn được gia hạn nợ lần thứ 02 còn trong hạn;</w:t>
      </w:r>
    </w:p>
    <w:p w:rsidR="00037660" w:rsidRPr="000615AB" w:rsidRDefault="00037660" w:rsidP="00037F6E">
      <w:pPr>
        <w:pStyle w:val="abc"/>
        <w:spacing w:before="120" w:after="120"/>
        <w:ind w:firstLine="720"/>
        <w:jc w:val="both"/>
        <w:rPr>
          <w:rFonts w:ascii="Times New Roman" w:hAnsi="Times New Roman"/>
          <w:spacing w:val="2"/>
          <w:sz w:val="28"/>
          <w:szCs w:val="28"/>
          <w:lang w:val="vi-VN"/>
        </w:rPr>
      </w:pPr>
      <w:r w:rsidRPr="000615AB">
        <w:rPr>
          <w:rFonts w:ascii="Times New Roman" w:hAnsi="Times New Roman"/>
          <w:spacing w:val="2"/>
          <w:sz w:val="28"/>
          <w:szCs w:val="28"/>
          <w:lang w:val="vi-VN"/>
        </w:rPr>
        <w:t>(iv) Các khoản tái cấp vốn đã được gia hạn nợ lần đầu và quá hạn dưới 0</w:t>
      </w:r>
      <w:r w:rsidR="00BF287F" w:rsidRPr="000615AB">
        <w:rPr>
          <w:rFonts w:ascii="Times New Roman" w:hAnsi="Times New Roman"/>
          <w:spacing w:val="2"/>
          <w:sz w:val="28"/>
          <w:szCs w:val="28"/>
        </w:rPr>
        <w:t>6</w:t>
      </w:r>
      <w:r w:rsidRPr="000615AB">
        <w:rPr>
          <w:rFonts w:ascii="Times New Roman" w:hAnsi="Times New Roman"/>
          <w:spacing w:val="2"/>
          <w:sz w:val="28"/>
          <w:szCs w:val="28"/>
          <w:lang w:val="vi-VN"/>
        </w:rPr>
        <w:t xml:space="preserve"> </w:t>
      </w:r>
      <w:r w:rsidR="00BF287F" w:rsidRPr="000615AB">
        <w:rPr>
          <w:rFonts w:ascii="Times New Roman" w:hAnsi="Times New Roman"/>
          <w:spacing w:val="2"/>
          <w:sz w:val="28"/>
          <w:szCs w:val="28"/>
        </w:rPr>
        <w:t>tháng</w:t>
      </w:r>
      <w:r w:rsidRPr="000615AB">
        <w:rPr>
          <w:rFonts w:ascii="Times New Roman" w:hAnsi="Times New Roman"/>
          <w:spacing w:val="2"/>
          <w:sz w:val="28"/>
          <w:szCs w:val="28"/>
          <w:lang w:val="vi-VN"/>
        </w:rPr>
        <w:t xml:space="preserve">;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d) Nhóm 4: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 Các khoản tái cấp vốn đã quá hạn từ 0</w:t>
      </w:r>
      <w:r w:rsidR="00BF287F">
        <w:rPr>
          <w:rFonts w:ascii="Times New Roman" w:hAnsi="Times New Roman"/>
          <w:sz w:val="28"/>
          <w:szCs w:val="28"/>
        </w:rPr>
        <w:t>1</w:t>
      </w:r>
      <w:r w:rsidRPr="00BB4E06">
        <w:rPr>
          <w:rFonts w:ascii="Times New Roman" w:hAnsi="Times New Roman"/>
          <w:sz w:val="28"/>
          <w:szCs w:val="28"/>
          <w:lang w:val="vi-VN"/>
        </w:rPr>
        <w:t xml:space="preserve"> năm đến dưới 0</w:t>
      </w:r>
      <w:r w:rsidR="00BF287F">
        <w:rPr>
          <w:rFonts w:ascii="Times New Roman" w:hAnsi="Times New Roman"/>
          <w:sz w:val="28"/>
          <w:szCs w:val="28"/>
        </w:rPr>
        <w:t>2</w:t>
      </w:r>
      <w:r w:rsidRPr="00BB4E06">
        <w:rPr>
          <w:rFonts w:ascii="Times New Roman" w:hAnsi="Times New Roman"/>
          <w:sz w:val="28"/>
          <w:szCs w:val="28"/>
          <w:lang w:val="vi-VN"/>
        </w:rPr>
        <w:t xml:space="preserve"> năm;</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(ii) Các khoản tái cấp vốn không quy định thời hạn thanh toán phát sinh từ 0</w:t>
      </w:r>
      <w:r w:rsidR="00801CAC">
        <w:rPr>
          <w:rFonts w:ascii="Times New Roman" w:hAnsi="Times New Roman"/>
          <w:sz w:val="28"/>
          <w:szCs w:val="28"/>
        </w:rPr>
        <w:t>3</w:t>
      </w:r>
      <w:r w:rsidRPr="00BB4E06">
        <w:rPr>
          <w:rFonts w:ascii="Times New Roman" w:hAnsi="Times New Roman"/>
          <w:sz w:val="28"/>
          <w:szCs w:val="28"/>
          <w:lang w:val="vi-VN"/>
        </w:rPr>
        <w:t xml:space="preserve"> năm đến dưới </w:t>
      </w:r>
      <w:r w:rsidR="00C417C3">
        <w:rPr>
          <w:rFonts w:ascii="Times New Roman" w:hAnsi="Times New Roman"/>
          <w:sz w:val="28"/>
          <w:szCs w:val="28"/>
        </w:rPr>
        <w:t>0</w:t>
      </w:r>
      <w:r w:rsidR="00801CAC">
        <w:rPr>
          <w:rFonts w:ascii="Times New Roman" w:hAnsi="Times New Roman"/>
          <w:sz w:val="28"/>
          <w:szCs w:val="28"/>
        </w:rPr>
        <w:t>5</w:t>
      </w:r>
      <w:r w:rsidRPr="00BB4E06">
        <w:rPr>
          <w:rFonts w:ascii="Times New Roman" w:hAnsi="Times New Roman"/>
          <w:sz w:val="28"/>
          <w:szCs w:val="28"/>
          <w:lang w:val="vi-VN"/>
        </w:rPr>
        <w:t xml:space="preserve"> năm;</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(iii) Các khoản tái cấp vốn được gia hạn nợ lần thứ 03 còn trong hạn;</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(iv) Các khoản tái cấp vốn đã gia hạn nợ lần đầu và quá hạn từ 0</w:t>
      </w:r>
      <w:r w:rsidR="00BF287F">
        <w:rPr>
          <w:rFonts w:ascii="Times New Roman" w:hAnsi="Times New Roman"/>
          <w:sz w:val="28"/>
          <w:szCs w:val="28"/>
        </w:rPr>
        <w:t>6 tháng</w:t>
      </w:r>
      <w:r w:rsidRPr="00BB4E06">
        <w:rPr>
          <w:rFonts w:ascii="Times New Roman" w:hAnsi="Times New Roman"/>
          <w:sz w:val="28"/>
          <w:szCs w:val="28"/>
          <w:lang w:val="vi-VN"/>
        </w:rPr>
        <w:t xml:space="preserve"> đến dưới 0</w:t>
      </w:r>
      <w:r w:rsidR="00BF287F">
        <w:rPr>
          <w:rFonts w:ascii="Times New Roman" w:hAnsi="Times New Roman"/>
          <w:sz w:val="28"/>
          <w:szCs w:val="28"/>
        </w:rPr>
        <w:t>1</w:t>
      </w:r>
      <w:r w:rsidRPr="00BB4E06">
        <w:rPr>
          <w:rFonts w:ascii="Times New Roman" w:hAnsi="Times New Roman"/>
          <w:sz w:val="28"/>
          <w:szCs w:val="28"/>
          <w:lang w:val="vi-VN"/>
        </w:rPr>
        <w:t xml:space="preserve"> năm; </w:t>
      </w:r>
    </w:p>
    <w:p w:rsidR="00037660" w:rsidRPr="00C53B39" w:rsidRDefault="00037660" w:rsidP="00037F6E">
      <w:pPr>
        <w:pStyle w:val="abc"/>
        <w:spacing w:before="120" w:after="120"/>
        <w:ind w:firstLine="720"/>
        <w:jc w:val="both"/>
        <w:rPr>
          <w:rFonts w:ascii="Times New Roman" w:hAnsi="Times New Roman"/>
          <w:spacing w:val="-6"/>
          <w:sz w:val="28"/>
          <w:szCs w:val="28"/>
          <w:lang w:val="vi-VN"/>
        </w:rPr>
      </w:pPr>
      <w:r w:rsidRPr="00BB4E06">
        <w:rPr>
          <w:rFonts w:ascii="Times New Roman" w:hAnsi="Times New Roman"/>
          <w:spacing w:val="-4"/>
          <w:sz w:val="28"/>
          <w:szCs w:val="28"/>
          <w:lang w:val="vi-VN"/>
        </w:rPr>
        <w:t xml:space="preserve">(v) </w:t>
      </w:r>
      <w:r w:rsidRPr="00C53B39">
        <w:rPr>
          <w:rFonts w:ascii="Times New Roman" w:hAnsi="Times New Roman"/>
          <w:spacing w:val="-6"/>
          <w:sz w:val="28"/>
          <w:szCs w:val="28"/>
          <w:lang w:val="vi-VN"/>
        </w:rPr>
        <w:t>Các khoản tái cấp vốn đã gia hạn nợ lần thứ 02 và quá hạn dưới 0</w:t>
      </w:r>
      <w:r w:rsidR="00BF287F" w:rsidRPr="00C53B39">
        <w:rPr>
          <w:rFonts w:ascii="Times New Roman" w:hAnsi="Times New Roman"/>
          <w:spacing w:val="-6"/>
          <w:sz w:val="28"/>
          <w:szCs w:val="28"/>
        </w:rPr>
        <w:t>6 tháng</w:t>
      </w:r>
      <w:r w:rsidRPr="00C53B39">
        <w:rPr>
          <w:rFonts w:ascii="Times New Roman" w:hAnsi="Times New Roman"/>
          <w:spacing w:val="-6"/>
          <w:sz w:val="28"/>
          <w:szCs w:val="28"/>
          <w:lang w:val="vi-VN"/>
        </w:rPr>
        <w:t>;</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đ) Nhóm 5: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(i) Các khoản tái cấp vốn hạn đã quá hạn từ 0</w:t>
      </w:r>
      <w:r w:rsidR="00BF287F">
        <w:rPr>
          <w:rFonts w:ascii="Times New Roman" w:hAnsi="Times New Roman"/>
          <w:sz w:val="28"/>
          <w:szCs w:val="28"/>
        </w:rPr>
        <w:t>2</w:t>
      </w:r>
      <w:r w:rsidRPr="00BB4E06">
        <w:rPr>
          <w:rFonts w:ascii="Times New Roman" w:hAnsi="Times New Roman"/>
          <w:sz w:val="28"/>
          <w:szCs w:val="28"/>
          <w:lang w:val="vi-VN"/>
        </w:rPr>
        <w:t xml:space="preserve"> năm trở lên; </w:t>
      </w:r>
    </w:p>
    <w:p w:rsidR="00037660" w:rsidRPr="00BB4E06" w:rsidRDefault="00037660" w:rsidP="00037F6E">
      <w:pPr>
        <w:pStyle w:val="abc"/>
        <w:spacing w:before="120" w:after="120"/>
        <w:ind w:firstLine="720"/>
        <w:jc w:val="both"/>
        <w:rPr>
          <w:rFonts w:ascii="Times New Roman" w:hAnsi="Times New Roman"/>
          <w:sz w:val="28"/>
          <w:szCs w:val="28"/>
          <w:lang w:val="vi-VN"/>
        </w:rPr>
      </w:pPr>
      <w:r w:rsidRPr="00BB4E06">
        <w:rPr>
          <w:rFonts w:ascii="Times New Roman" w:hAnsi="Times New Roman"/>
          <w:sz w:val="28"/>
          <w:szCs w:val="28"/>
          <w:lang w:val="vi-VN"/>
        </w:rPr>
        <w:t xml:space="preserve">(ii) Các khoản tái cấp vốn không quy định thời hạn thanh toán phát sinh từ </w:t>
      </w:r>
      <w:r w:rsidR="00801CAC">
        <w:rPr>
          <w:rFonts w:ascii="Times New Roman" w:hAnsi="Times New Roman"/>
          <w:sz w:val="28"/>
          <w:szCs w:val="28"/>
        </w:rPr>
        <w:t>05</w:t>
      </w:r>
      <w:r w:rsidRPr="00BB4E06">
        <w:rPr>
          <w:rFonts w:ascii="Times New Roman" w:hAnsi="Times New Roman"/>
          <w:sz w:val="28"/>
          <w:szCs w:val="28"/>
          <w:lang w:val="vi-VN"/>
        </w:rPr>
        <w:t xml:space="preserve"> năm trở lên;</w:t>
      </w:r>
    </w:p>
    <w:p w:rsidR="00037660" w:rsidRDefault="00037660" w:rsidP="00037F6E">
      <w:pPr>
        <w:pStyle w:val="abc"/>
        <w:spacing w:before="120" w:after="120"/>
        <w:ind w:firstLine="720"/>
        <w:jc w:val="both"/>
        <w:rPr>
          <w:rFonts w:ascii="Times New Roman" w:hAnsi="Times New Roman"/>
          <w:sz w:val="28"/>
          <w:szCs w:val="28"/>
        </w:rPr>
      </w:pPr>
      <w:r w:rsidRPr="00BB4E06">
        <w:rPr>
          <w:rFonts w:ascii="Times New Roman" w:hAnsi="Times New Roman"/>
          <w:sz w:val="28"/>
          <w:szCs w:val="28"/>
          <w:lang w:val="vi-VN"/>
        </w:rPr>
        <w:t xml:space="preserve">(iii) </w:t>
      </w:r>
      <w:r w:rsidR="00F663DD" w:rsidRPr="00F663DD">
        <w:rPr>
          <w:rFonts w:ascii="Times New Roman" w:hAnsi="Times New Roman"/>
          <w:sz w:val="28"/>
          <w:szCs w:val="28"/>
          <w:lang w:val="vi-VN"/>
        </w:rPr>
        <w:t>Các khoản tái cấp vốn được gia hạn nợ lần thứ 0</w:t>
      </w:r>
      <w:r w:rsidR="00F663DD">
        <w:rPr>
          <w:rFonts w:ascii="Times New Roman" w:hAnsi="Times New Roman"/>
          <w:sz w:val="28"/>
          <w:szCs w:val="28"/>
        </w:rPr>
        <w:t>4</w:t>
      </w:r>
      <w:r w:rsidR="00F663DD" w:rsidRPr="00F663DD">
        <w:rPr>
          <w:rFonts w:ascii="Times New Roman" w:hAnsi="Times New Roman"/>
          <w:sz w:val="28"/>
          <w:szCs w:val="28"/>
          <w:lang w:val="vi-VN"/>
        </w:rPr>
        <w:t xml:space="preserve"> </w:t>
      </w:r>
      <w:r w:rsidR="00F663DD">
        <w:rPr>
          <w:rFonts w:ascii="Times New Roman" w:hAnsi="Times New Roman"/>
          <w:sz w:val="28"/>
          <w:szCs w:val="28"/>
        </w:rPr>
        <w:t>trở lên</w:t>
      </w:r>
      <w:r w:rsidRPr="00BB4E06">
        <w:rPr>
          <w:rFonts w:ascii="Times New Roman" w:hAnsi="Times New Roman"/>
          <w:sz w:val="28"/>
          <w:szCs w:val="28"/>
          <w:lang w:val="vi-VN"/>
        </w:rPr>
        <w:t>;</w:t>
      </w:r>
    </w:p>
    <w:p w:rsidR="00F663DD" w:rsidRDefault="00F663DD" w:rsidP="00037F6E">
      <w:pPr>
        <w:pStyle w:val="abc"/>
        <w:spacing w:before="120" w:after="120"/>
        <w:ind w:firstLine="720"/>
        <w:jc w:val="both"/>
        <w:rPr>
          <w:rFonts w:ascii="Times New Roman" w:hAnsi="Times New Roman"/>
          <w:sz w:val="28"/>
          <w:szCs w:val="28"/>
        </w:rPr>
      </w:pPr>
      <w:r>
        <w:rPr>
          <w:rFonts w:ascii="Times New Roman" w:hAnsi="Times New Roman"/>
          <w:sz w:val="28"/>
          <w:szCs w:val="28"/>
        </w:rPr>
        <w:t xml:space="preserve">(iv) </w:t>
      </w:r>
      <w:r w:rsidRPr="00BB4E06">
        <w:rPr>
          <w:rFonts w:ascii="Times New Roman" w:hAnsi="Times New Roman"/>
          <w:sz w:val="28"/>
          <w:szCs w:val="28"/>
          <w:lang w:val="vi-VN"/>
        </w:rPr>
        <w:t xml:space="preserve">Các khoản tái cấp vốn đã gia hạn nợ lần đầu và quá hạn </w:t>
      </w:r>
      <w:r>
        <w:rPr>
          <w:rFonts w:ascii="Times New Roman" w:hAnsi="Times New Roman"/>
          <w:sz w:val="28"/>
          <w:szCs w:val="28"/>
        </w:rPr>
        <w:t>trên</w:t>
      </w:r>
      <w:r w:rsidRPr="00BB4E06">
        <w:rPr>
          <w:rFonts w:ascii="Times New Roman" w:hAnsi="Times New Roman"/>
          <w:sz w:val="28"/>
          <w:szCs w:val="28"/>
          <w:lang w:val="vi-VN"/>
        </w:rPr>
        <w:t xml:space="preserve"> 0</w:t>
      </w:r>
      <w:r>
        <w:rPr>
          <w:rFonts w:ascii="Times New Roman" w:hAnsi="Times New Roman"/>
          <w:sz w:val="28"/>
          <w:szCs w:val="28"/>
        </w:rPr>
        <w:t>1</w:t>
      </w:r>
      <w:r w:rsidRPr="00BB4E06">
        <w:rPr>
          <w:rFonts w:ascii="Times New Roman" w:hAnsi="Times New Roman"/>
          <w:sz w:val="28"/>
          <w:szCs w:val="28"/>
          <w:lang w:val="vi-VN"/>
        </w:rPr>
        <w:t xml:space="preserve"> năm</w:t>
      </w:r>
      <w:r>
        <w:rPr>
          <w:rFonts w:ascii="Times New Roman" w:hAnsi="Times New Roman"/>
          <w:sz w:val="28"/>
          <w:szCs w:val="28"/>
        </w:rPr>
        <w:t>;</w:t>
      </w:r>
    </w:p>
    <w:p w:rsidR="00F663DD" w:rsidRPr="00F663DD" w:rsidRDefault="00F663DD" w:rsidP="00037F6E">
      <w:pPr>
        <w:pStyle w:val="abc"/>
        <w:spacing w:before="120" w:after="120"/>
        <w:ind w:firstLine="720"/>
        <w:jc w:val="both"/>
        <w:rPr>
          <w:rFonts w:ascii="Times New Roman" w:hAnsi="Times New Roman"/>
          <w:sz w:val="28"/>
          <w:szCs w:val="28"/>
        </w:rPr>
      </w:pPr>
      <w:r>
        <w:rPr>
          <w:rFonts w:ascii="Times New Roman" w:hAnsi="Times New Roman"/>
          <w:sz w:val="28"/>
          <w:szCs w:val="28"/>
        </w:rPr>
        <w:t xml:space="preserve">(v) </w:t>
      </w:r>
      <w:r w:rsidRPr="00BB4E06">
        <w:rPr>
          <w:rFonts w:ascii="Times New Roman" w:hAnsi="Times New Roman"/>
          <w:spacing w:val="-4"/>
          <w:sz w:val="28"/>
          <w:szCs w:val="28"/>
          <w:lang w:val="vi-VN"/>
        </w:rPr>
        <w:t xml:space="preserve">Các khoản tái cấp vốn đã gia hạn nợ lần thứ 02 và quá hạn </w:t>
      </w:r>
      <w:r>
        <w:rPr>
          <w:rFonts w:ascii="Times New Roman" w:hAnsi="Times New Roman"/>
          <w:spacing w:val="-4"/>
          <w:sz w:val="28"/>
          <w:szCs w:val="28"/>
        </w:rPr>
        <w:t>trên</w:t>
      </w:r>
      <w:r w:rsidRPr="00BB4E06">
        <w:rPr>
          <w:rFonts w:ascii="Times New Roman" w:hAnsi="Times New Roman"/>
          <w:spacing w:val="-4"/>
          <w:sz w:val="28"/>
          <w:szCs w:val="28"/>
          <w:lang w:val="vi-VN"/>
        </w:rPr>
        <w:t xml:space="preserve"> 0</w:t>
      </w:r>
      <w:r>
        <w:rPr>
          <w:rFonts w:ascii="Times New Roman" w:hAnsi="Times New Roman"/>
          <w:spacing w:val="-4"/>
          <w:sz w:val="28"/>
          <w:szCs w:val="28"/>
        </w:rPr>
        <w:t>6 tháng</w:t>
      </w:r>
      <w:r w:rsidRPr="00BB4E06">
        <w:rPr>
          <w:rFonts w:ascii="Times New Roman" w:hAnsi="Times New Roman"/>
          <w:spacing w:val="-4"/>
          <w:sz w:val="28"/>
          <w:szCs w:val="28"/>
          <w:lang w:val="vi-VN"/>
        </w:rPr>
        <w:t>;</w:t>
      </w:r>
    </w:p>
    <w:p w:rsidR="00037660" w:rsidRPr="00037660" w:rsidRDefault="00037660" w:rsidP="00037F6E">
      <w:pPr>
        <w:pStyle w:val="ListParagraph"/>
        <w:tabs>
          <w:tab w:val="left" w:pos="1080"/>
        </w:tabs>
        <w:spacing w:after="120" w:line="240" w:lineRule="auto"/>
        <w:contextualSpacing w:val="0"/>
        <w:jc w:val="both"/>
        <w:rPr>
          <w:rFonts w:ascii="Times New Roman" w:hAnsi="Times New Roman" w:cs="Times New Roman"/>
          <w:sz w:val="28"/>
          <w:szCs w:val="28"/>
        </w:rPr>
      </w:pPr>
      <w:r w:rsidRPr="00BB4E06">
        <w:rPr>
          <w:rFonts w:ascii="Times New Roman" w:hAnsi="Times New Roman"/>
          <w:sz w:val="28"/>
          <w:szCs w:val="28"/>
          <w:lang w:val="vi-VN"/>
        </w:rPr>
        <w:t>(v</w:t>
      </w:r>
      <w:r w:rsidR="00F663DD" w:rsidRPr="00BB4E06">
        <w:rPr>
          <w:rFonts w:ascii="Times New Roman" w:hAnsi="Times New Roman"/>
          <w:sz w:val="28"/>
          <w:szCs w:val="28"/>
          <w:lang w:val="vi-VN"/>
        </w:rPr>
        <w:t>i</w:t>
      </w:r>
      <w:r w:rsidRPr="00BB4E06">
        <w:rPr>
          <w:rFonts w:ascii="Times New Roman" w:hAnsi="Times New Roman"/>
          <w:sz w:val="28"/>
          <w:szCs w:val="28"/>
          <w:lang w:val="vi-VN"/>
        </w:rPr>
        <w:t>) Các khoản nợ được khoanh.</w:t>
      </w:r>
      <w:r>
        <w:rPr>
          <w:rFonts w:ascii="Times New Roman" w:hAnsi="Times New Roman"/>
          <w:sz w:val="28"/>
          <w:szCs w:val="28"/>
        </w:rPr>
        <w:t>”</w:t>
      </w:r>
    </w:p>
    <w:p w:rsidR="00EB6149" w:rsidRDefault="009E4AEC" w:rsidP="00037F6E">
      <w:pPr>
        <w:pStyle w:val="ListParagraph"/>
        <w:numPr>
          <w:ilvl w:val="0"/>
          <w:numId w:val="10"/>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Sửa đổi, bổ sung </w:t>
      </w:r>
      <w:r w:rsidR="00EB6149">
        <w:rPr>
          <w:rFonts w:ascii="Times New Roman" w:hAnsi="Times New Roman" w:cs="Times New Roman"/>
          <w:sz w:val="28"/>
          <w:szCs w:val="28"/>
        </w:rPr>
        <w:t>Khoản 5 Điều 6 như sau:</w:t>
      </w:r>
    </w:p>
    <w:p w:rsidR="001D3092" w:rsidRDefault="00EB6149"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w:t>
      </w:r>
      <w:r w:rsidRPr="00EB6149">
        <w:rPr>
          <w:rFonts w:ascii="Times New Roman" w:hAnsi="Times New Roman" w:cs="Times New Roman"/>
          <w:sz w:val="28"/>
          <w:szCs w:val="28"/>
          <w:lang w:val="vi-VN"/>
        </w:rPr>
        <w:t>5. Các khoản phải thu</w:t>
      </w:r>
      <w:r w:rsidR="002269B5" w:rsidRPr="002269B5">
        <w:rPr>
          <w:rFonts w:ascii="Times New Roman" w:hAnsi="Times New Roman" w:cs="Times New Roman"/>
          <w:sz w:val="28"/>
          <w:szCs w:val="28"/>
        </w:rPr>
        <w:t xml:space="preserve"> </w:t>
      </w:r>
      <w:r w:rsidR="002269B5">
        <w:rPr>
          <w:rFonts w:ascii="Times New Roman" w:hAnsi="Times New Roman" w:cs="Times New Roman"/>
          <w:sz w:val="28"/>
          <w:szCs w:val="28"/>
        </w:rPr>
        <w:t>khách hàng, các khoản phải thu nhà cung cấp,</w:t>
      </w:r>
      <w:r w:rsidR="002269B5" w:rsidRPr="002269B5">
        <w:rPr>
          <w:rFonts w:ascii="Times New Roman" w:hAnsi="Times New Roman" w:cs="Times New Roman"/>
          <w:sz w:val="28"/>
          <w:szCs w:val="28"/>
        </w:rPr>
        <w:t xml:space="preserve"> </w:t>
      </w:r>
      <w:r w:rsidR="002269B5">
        <w:rPr>
          <w:rFonts w:ascii="Times New Roman" w:hAnsi="Times New Roman" w:cs="Times New Roman"/>
          <w:sz w:val="28"/>
          <w:szCs w:val="28"/>
        </w:rPr>
        <w:t>các khoản phải thu cá nhân, tổ chức bên ngoài có chứng từ gốc chứng minh số tiền đối tượng nợ chưa trả</w:t>
      </w:r>
      <w:r w:rsidR="001D3092">
        <w:rPr>
          <w:rFonts w:ascii="Times New Roman" w:hAnsi="Times New Roman" w:cs="Times New Roman"/>
          <w:sz w:val="28"/>
          <w:szCs w:val="28"/>
        </w:rPr>
        <w:t>.</w:t>
      </w:r>
    </w:p>
    <w:p w:rsidR="002269B5" w:rsidRPr="001D3092" w:rsidRDefault="001D3092" w:rsidP="001D3092">
      <w:pPr>
        <w:pStyle w:val="ListParagraph"/>
        <w:numPr>
          <w:ilvl w:val="0"/>
          <w:numId w:val="25"/>
        </w:numPr>
        <w:tabs>
          <w:tab w:val="left" w:pos="1080"/>
        </w:tabs>
        <w:spacing w:after="120" w:line="240" w:lineRule="auto"/>
        <w:jc w:val="both"/>
        <w:rPr>
          <w:rFonts w:ascii="Times New Roman" w:hAnsi="Times New Roman" w:cs="Times New Roman"/>
          <w:sz w:val="28"/>
          <w:szCs w:val="28"/>
        </w:rPr>
      </w:pPr>
      <w:r w:rsidRPr="001D3092">
        <w:rPr>
          <w:rFonts w:ascii="Times New Roman" w:hAnsi="Times New Roman" w:cs="Times New Roman"/>
          <w:sz w:val="28"/>
          <w:szCs w:val="28"/>
        </w:rPr>
        <w:t>Chứng từ gốc chứng minh số tiền đối tượng nợ chưa trả</w:t>
      </w:r>
      <w:r w:rsidR="002269B5" w:rsidRPr="001D3092">
        <w:rPr>
          <w:rFonts w:ascii="Times New Roman" w:hAnsi="Times New Roman" w:cs="Times New Roman"/>
          <w:sz w:val="28"/>
          <w:szCs w:val="28"/>
        </w:rPr>
        <w:t xml:space="preserve"> bao gồm:</w:t>
      </w:r>
    </w:p>
    <w:p w:rsidR="002269B5" w:rsidRDefault="002269B5" w:rsidP="00037F6E">
      <w:pPr>
        <w:pStyle w:val="ListParagraph"/>
        <w:numPr>
          <w:ilvl w:val="0"/>
          <w:numId w:val="18"/>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Một trong số các chứng từ gốc sau: Hợp đồng kinh tế, cam kết nợ hoặc </w:t>
      </w:r>
      <w:r w:rsidR="00A92FBA">
        <w:rPr>
          <w:rFonts w:ascii="Times New Roman" w:hAnsi="Times New Roman" w:cs="Times New Roman"/>
          <w:sz w:val="28"/>
          <w:szCs w:val="28"/>
        </w:rPr>
        <w:t xml:space="preserve">bản án, quyết định </w:t>
      </w:r>
      <w:r>
        <w:rPr>
          <w:rFonts w:ascii="Times New Roman" w:hAnsi="Times New Roman" w:cs="Times New Roman"/>
          <w:sz w:val="28"/>
          <w:szCs w:val="28"/>
        </w:rPr>
        <w:t>của Tòa án về nghĩa vụ của cá nhân, tổ chức</w:t>
      </w:r>
      <w:r w:rsidR="00A845BD">
        <w:rPr>
          <w:rFonts w:ascii="Times New Roman" w:hAnsi="Times New Roman" w:cs="Times New Roman"/>
          <w:sz w:val="28"/>
          <w:szCs w:val="28"/>
        </w:rPr>
        <w:t xml:space="preserve"> phải trả</w:t>
      </w:r>
      <w:r>
        <w:rPr>
          <w:rFonts w:ascii="Times New Roman" w:hAnsi="Times New Roman" w:cs="Times New Roman"/>
          <w:sz w:val="28"/>
          <w:szCs w:val="28"/>
        </w:rPr>
        <w:t xml:space="preserve"> cho </w:t>
      </w:r>
      <w:r w:rsidR="003D20DC">
        <w:rPr>
          <w:rFonts w:ascii="Times New Roman" w:hAnsi="Times New Roman" w:cs="Times New Roman"/>
          <w:sz w:val="28"/>
          <w:szCs w:val="28"/>
        </w:rPr>
        <w:t>Ngân hàng Nhà nước</w:t>
      </w:r>
      <w:r>
        <w:rPr>
          <w:rFonts w:ascii="Times New Roman" w:hAnsi="Times New Roman" w:cs="Times New Roman"/>
          <w:sz w:val="28"/>
          <w:szCs w:val="28"/>
        </w:rPr>
        <w:t>;</w:t>
      </w:r>
    </w:p>
    <w:p w:rsidR="002269B5" w:rsidRDefault="002269B5" w:rsidP="00037F6E">
      <w:pPr>
        <w:pStyle w:val="ListParagraph"/>
        <w:numPr>
          <w:ilvl w:val="0"/>
          <w:numId w:val="18"/>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Bản thanh lý hợp đồng (nếu có);</w:t>
      </w:r>
    </w:p>
    <w:p w:rsidR="002269B5" w:rsidRDefault="002269B5" w:rsidP="00037F6E">
      <w:pPr>
        <w:pStyle w:val="ListParagraph"/>
        <w:numPr>
          <w:ilvl w:val="0"/>
          <w:numId w:val="18"/>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Các </w:t>
      </w:r>
      <w:r w:rsidR="004E0F60">
        <w:rPr>
          <w:rFonts w:ascii="Times New Roman" w:hAnsi="Times New Roman" w:cs="Times New Roman"/>
          <w:sz w:val="28"/>
          <w:szCs w:val="28"/>
        </w:rPr>
        <w:t>văn</w:t>
      </w:r>
      <w:r w:rsidR="004E0F60">
        <w:rPr>
          <w:rFonts w:ascii="Times New Roman" w:hAnsi="Times New Roman" w:cs="Times New Roman"/>
          <w:sz w:val="28"/>
          <w:szCs w:val="28"/>
          <w:lang w:val="vi-VN"/>
        </w:rPr>
        <w:t xml:space="preserve"> bản, tài liệu, </w:t>
      </w:r>
      <w:r>
        <w:rPr>
          <w:rFonts w:ascii="Times New Roman" w:hAnsi="Times New Roman" w:cs="Times New Roman"/>
          <w:sz w:val="28"/>
          <w:szCs w:val="28"/>
        </w:rPr>
        <w:t>chứng từ có liên quan</w:t>
      </w:r>
      <w:r w:rsidR="004E0F60">
        <w:rPr>
          <w:rFonts w:ascii="Times New Roman" w:hAnsi="Times New Roman" w:cs="Times New Roman"/>
          <w:sz w:val="28"/>
          <w:szCs w:val="28"/>
          <w:lang w:val="vi-VN"/>
        </w:rPr>
        <w:t xml:space="preserve"> đến việc phát sinh, ghi nhận nghĩa vụ nợ của tổ chức, cá nhân với Ngân hàng Nhà nước</w:t>
      </w:r>
      <w:r>
        <w:rPr>
          <w:rFonts w:ascii="Times New Roman" w:hAnsi="Times New Roman" w:cs="Times New Roman"/>
          <w:sz w:val="28"/>
          <w:szCs w:val="28"/>
        </w:rPr>
        <w:t>.</w:t>
      </w:r>
    </w:p>
    <w:p w:rsidR="001D3092" w:rsidRDefault="001D3092" w:rsidP="00645B5B">
      <w:pPr>
        <w:pStyle w:val="ListParagraph"/>
        <w:tabs>
          <w:tab w:val="left" w:pos="900"/>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b) Phân nhóm</w:t>
      </w:r>
    </w:p>
    <w:p w:rsidR="00A845BD" w:rsidRPr="001D3092" w:rsidRDefault="00A11605" w:rsidP="00645B5B">
      <w:pPr>
        <w:pStyle w:val="ListParagraph"/>
        <w:numPr>
          <w:ilvl w:val="0"/>
          <w:numId w:val="19"/>
        </w:numPr>
        <w:tabs>
          <w:tab w:val="left" w:pos="900"/>
          <w:tab w:val="left" w:pos="1170"/>
        </w:tabs>
        <w:spacing w:after="12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287F" w:rsidRPr="001D3092">
        <w:rPr>
          <w:rFonts w:ascii="Times New Roman" w:hAnsi="Times New Roman" w:cs="Times New Roman"/>
          <w:sz w:val="28"/>
          <w:szCs w:val="28"/>
          <w:lang w:val="vi-VN"/>
        </w:rPr>
        <w:t>Nhóm 1:</w:t>
      </w:r>
      <w:r w:rsidR="00A845BD" w:rsidRPr="001D3092">
        <w:rPr>
          <w:rFonts w:ascii="Times New Roman" w:hAnsi="Times New Roman" w:cs="Times New Roman"/>
          <w:sz w:val="28"/>
          <w:szCs w:val="28"/>
        </w:rPr>
        <w:t xml:space="preserve"> </w:t>
      </w:r>
      <w:r w:rsidR="00EB6149" w:rsidRPr="001D3092">
        <w:rPr>
          <w:rFonts w:ascii="Times New Roman" w:hAnsi="Times New Roman" w:cs="Times New Roman"/>
          <w:sz w:val="28"/>
          <w:szCs w:val="28"/>
          <w:lang w:val="vi-VN"/>
        </w:rPr>
        <w:t xml:space="preserve">Các khoản phải thu </w:t>
      </w:r>
      <w:r w:rsidR="00961B3E" w:rsidRPr="001D3092">
        <w:rPr>
          <w:rFonts w:ascii="Times New Roman" w:hAnsi="Times New Roman" w:cs="Times New Roman"/>
          <w:sz w:val="28"/>
          <w:szCs w:val="28"/>
        </w:rPr>
        <w:t xml:space="preserve">khách hàng, nhà cung cấp </w:t>
      </w:r>
      <w:r w:rsidR="00EB6149" w:rsidRPr="001D3092">
        <w:rPr>
          <w:rFonts w:ascii="Times New Roman" w:hAnsi="Times New Roman" w:cs="Times New Roman"/>
          <w:sz w:val="28"/>
          <w:szCs w:val="28"/>
          <w:lang w:val="vi-VN"/>
        </w:rPr>
        <w:t>trong hạn hoặc quá hạn dưới 06 tháng;</w:t>
      </w:r>
    </w:p>
    <w:p w:rsidR="00A845BD" w:rsidRDefault="00EB6149" w:rsidP="00645B5B">
      <w:pPr>
        <w:pStyle w:val="ListParagraph"/>
        <w:numPr>
          <w:ilvl w:val="0"/>
          <w:numId w:val="19"/>
        </w:numPr>
        <w:tabs>
          <w:tab w:val="left" w:pos="900"/>
          <w:tab w:val="left" w:pos="1080"/>
        </w:tabs>
        <w:spacing w:after="120" w:line="240" w:lineRule="auto"/>
        <w:ind w:left="0" w:firstLine="720"/>
        <w:contextualSpacing w:val="0"/>
        <w:jc w:val="both"/>
        <w:rPr>
          <w:rFonts w:ascii="Times New Roman" w:hAnsi="Times New Roman" w:cs="Times New Roman"/>
          <w:spacing w:val="-4"/>
          <w:sz w:val="28"/>
          <w:szCs w:val="28"/>
        </w:rPr>
      </w:pPr>
      <w:r w:rsidRPr="00155CE5">
        <w:rPr>
          <w:rFonts w:ascii="Times New Roman" w:hAnsi="Times New Roman" w:cs="Times New Roman"/>
          <w:spacing w:val="-4"/>
          <w:sz w:val="28"/>
          <w:szCs w:val="28"/>
          <w:lang w:val="vi-VN"/>
        </w:rPr>
        <w:t xml:space="preserve">Nhóm 2: </w:t>
      </w:r>
    </w:p>
    <w:p w:rsidR="00A845BD" w:rsidRPr="001D3092" w:rsidRDefault="00675AF2" w:rsidP="00645B5B">
      <w:pPr>
        <w:pStyle w:val="ListParagraph"/>
        <w:numPr>
          <w:ilvl w:val="0"/>
          <w:numId w:val="18"/>
        </w:numPr>
        <w:tabs>
          <w:tab w:val="left" w:pos="900"/>
          <w:tab w:val="left" w:pos="1170"/>
        </w:tabs>
        <w:spacing w:after="120" w:line="240" w:lineRule="auto"/>
        <w:ind w:left="0" w:firstLine="720"/>
        <w:jc w:val="both"/>
        <w:rPr>
          <w:rFonts w:ascii="Times New Roman" w:hAnsi="Times New Roman" w:cs="Times New Roman"/>
          <w:spacing w:val="-4"/>
          <w:sz w:val="28"/>
          <w:szCs w:val="28"/>
        </w:rPr>
      </w:pPr>
      <w:r w:rsidRPr="001D3092">
        <w:rPr>
          <w:rFonts w:ascii="Times New Roman" w:hAnsi="Times New Roman" w:cs="Times New Roman"/>
          <w:spacing w:val="-4"/>
          <w:sz w:val="28"/>
          <w:szCs w:val="28"/>
        </w:rPr>
        <w:t>Các khoản phải thu khách hàng, nhà cung cấp quá hạn từ 06 tháng đến dưới 01 năm;</w:t>
      </w:r>
    </w:p>
    <w:p w:rsidR="00675AF2" w:rsidRPr="00A845BD" w:rsidRDefault="002C22ED" w:rsidP="00645B5B">
      <w:pPr>
        <w:pStyle w:val="ListParagraph"/>
        <w:numPr>
          <w:ilvl w:val="0"/>
          <w:numId w:val="18"/>
        </w:numPr>
        <w:tabs>
          <w:tab w:val="left" w:pos="900"/>
          <w:tab w:val="left" w:pos="1170"/>
        </w:tabs>
        <w:spacing w:after="120" w:line="240" w:lineRule="auto"/>
        <w:ind w:left="0" w:firstLine="720"/>
        <w:contextualSpacing w:val="0"/>
        <w:jc w:val="both"/>
        <w:rPr>
          <w:rFonts w:ascii="Times New Roman" w:hAnsi="Times New Roman" w:cs="Times New Roman"/>
          <w:spacing w:val="-4"/>
          <w:sz w:val="28"/>
          <w:szCs w:val="28"/>
        </w:rPr>
      </w:pPr>
      <w:r>
        <w:rPr>
          <w:rFonts w:ascii="Times New Roman" w:hAnsi="Times New Roman" w:cs="Times New Roman"/>
          <w:spacing w:val="-4"/>
          <w:sz w:val="28"/>
          <w:szCs w:val="28"/>
        </w:rPr>
        <w:t>Các khoản phải thu của cá nhân, tổ chức theo bản án, quyết định của Tòa án đã có hiệu lực pháp luật trong thời hạn tự nguyện thi hành án;</w:t>
      </w:r>
    </w:p>
    <w:p w:rsidR="002C22ED" w:rsidRDefault="00EB6149" w:rsidP="00645B5B">
      <w:pPr>
        <w:pStyle w:val="ListParagraph"/>
        <w:numPr>
          <w:ilvl w:val="0"/>
          <w:numId w:val="19"/>
        </w:numPr>
        <w:tabs>
          <w:tab w:val="left" w:pos="900"/>
          <w:tab w:val="left" w:pos="1080"/>
        </w:tabs>
        <w:spacing w:after="120" w:line="240" w:lineRule="auto"/>
        <w:ind w:left="0" w:firstLine="720"/>
        <w:contextualSpacing w:val="0"/>
        <w:jc w:val="both"/>
        <w:rPr>
          <w:rFonts w:ascii="Times New Roman" w:hAnsi="Times New Roman" w:cs="Times New Roman"/>
          <w:spacing w:val="-6"/>
          <w:sz w:val="28"/>
          <w:szCs w:val="28"/>
        </w:rPr>
      </w:pPr>
      <w:r w:rsidRPr="00155CE5">
        <w:rPr>
          <w:rFonts w:ascii="Times New Roman" w:hAnsi="Times New Roman" w:cs="Times New Roman"/>
          <w:spacing w:val="-6"/>
          <w:sz w:val="28"/>
          <w:szCs w:val="28"/>
          <w:lang w:val="vi-VN"/>
        </w:rPr>
        <w:t>Nhóm 3:</w:t>
      </w:r>
    </w:p>
    <w:p w:rsidR="00EB6149" w:rsidRPr="002C22ED" w:rsidRDefault="002C22ED" w:rsidP="00645B5B">
      <w:pPr>
        <w:pStyle w:val="ListParagraph"/>
        <w:numPr>
          <w:ilvl w:val="0"/>
          <w:numId w:val="18"/>
        </w:numPr>
        <w:tabs>
          <w:tab w:val="left" w:pos="900"/>
          <w:tab w:val="left" w:pos="1260"/>
        </w:tabs>
        <w:spacing w:after="120" w:line="240" w:lineRule="auto"/>
        <w:ind w:left="0" w:firstLine="720"/>
        <w:contextualSpacing w:val="0"/>
        <w:jc w:val="both"/>
        <w:rPr>
          <w:rFonts w:ascii="Times New Roman" w:hAnsi="Times New Roman" w:cs="Times New Roman"/>
          <w:spacing w:val="-6"/>
          <w:sz w:val="28"/>
          <w:szCs w:val="28"/>
          <w:lang w:val="vi-VN"/>
        </w:rPr>
      </w:pPr>
      <w:r>
        <w:rPr>
          <w:rFonts w:ascii="Times New Roman" w:hAnsi="Times New Roman" w:cs="Times New Roman"/>
          <w:spacing w:val="-6"/>
          <w:sz w:val="28"/>
          <w:szCs w:val="28"/>
        </w:rPr>
        <w:t xml:space="preserve">Các khoản phải thu khách hàng, nhà cung cấp đã quá hạn từ </w:t>
      </w:r>
      <w:r w:rsidR="00EB6149" w:rsidRPr="002C22ED">
        <w:rPr>
          <w:rFonts w:ascii="Times New Roman" w:hAnsi="Times New Roman" w:cs="Times New Roman"/>
          <w:spacing w:val="-6"/>
          <w:sz w:val="28"/>
          <w:szCs w:val="28"/>
          <w:lang w:val="vi-VN"/>
        </w:rPr>
        <w:t>01 năm đến dưới 02 năm;</w:t>
      </w:r>
    </w:p>
    <w:p w:rsidR="002C22ED" w:rsidRPr="002C22ED" w:rsidRDefault="002C22ED" w:rsidP="00645B5B">
      <w:pPr>
        <w:pStyle w:val="ListParagraph"/>
        <w:numPr>
          <w:ilvl w:val="0"/>
          <w:numId w:val="18"/>
        </w:numPr>
        <w:tabs>
          <w:tab w:val="left" w:pos="900"/>
          <w:tab w:val="left" w:pos="1260"/>
        </w:tabs>
        <w:spacing w:after="120" w:line="240" w:lineRule="auto"/>
        <w:ind w:left="0" w:firstLine="720"/>
        <w:contextualSpacing w:val="0"/>
        <w:jc w:val="both"/>
        <w:rPr>
          <w:rFonts w:ascii="Times New Roman" w:hAnsi="Times New Roman" w:cs="Times New Roman"/>
          <w:spacing w:val="-4"/>
          <w:sz w:val="28"/>
          <w:szCs w:val="28"/>
        </w:rPr>
      </w:pPr>
      <w:r>
        <w:rPr>
          <w:rFonts w:ascii="Times New Roman" w:hAnsi="Times New Roman" w:cs="Times New Roman"/>
          <w:spacing w:val="-4"/>
          <w:sz w:val="28"/>
          <w:szCs w:val="28"/>
        </w:rPr>
        <w:t>Các khoản phải thu của cá nhân, tổ chức theo bản án, quyết định của Tòa án đã có hiệu lực pháp luật quá thời hạn tự nguyện thi hành án dưới 06 tháng;</w:t>
      </w:r>
    </w:p>
    <w:p w:rsidR="002C22ED" w:rsidRDefault="00037F6E" w:rsidP="00645B5B">
      <w:pPr>
        <w:pStyle w:val="ListParagraph"/>
        <w:numPr>
          <w:ilvl w:val="0"/>
          <w:numId w:val="19"/>
        </w:numPr>
        <w:tabs>
          <w:tab w:val="left" w:pos="900"/>
          <w:tab w:val="left" w:pos="1080"/>
        </w:tabs>
        <w:spacing w:after="120" w:line="240" w:lineRule="auto"/>
        <w:ind w:left="0" w:firstLine="720"/>
        <w:contextualSpacing w:val="0"/>
        <w:jc w:val="both"/>
        <w:rPr>
          <w:rFonts w:ascii="Times New Roman" w:hAnsi="Times New Roman" w:cs="Times New Roman"/>
          <w:spacing w:val="-6"/>
          <w:sz w:val="28"/>
          <w:szCs w:val="28"/>
        </w:rPr>
      </w:pPr>
      <w:r>
        <w:rPr>
          <w:rFonts w:ascii="Times New Roman" w:hAnsi="Times New Roman" w:cs="Times New Roman"/>
          <w:spacing w:val="-6"/>
          <w:sz w:val="28"/>
          <w:szCs w:val="28"/>
          <w:lang w:val="vi-VN"/>
        </w:rPr>
        <w:t>Nhóm 4:</w:t>
      </w:r>
    </w:p>
    <w:p w:rsidR="00EB6149" w:rsidRPr="002C22ED" w:rsidRDefault="00EB6149" w:rsidP="00645B5B">
      <w:pPr>
        <w:pStyle w:val="ListParagraph"/>
        <w:numPr>
          <w:ilvl w:val="0"/>
          <w:numId w:val="18"/>
        </w:numPr>
        <w:tabs>
          <w:tab w:val="left" w:pos="900"/>
          <w:tab w:val="left" w:pos="1080"/>
        </w:tabs>
        <w:spacing w:after="120" w:line="240" w:lineRule="auto"/>
        <w:ind w:left="0" w:firstLine="720"/>
        <w:contextualSpacing w:val="0"/>
        <w:jc w:val="both"/>
        <w:rPr>
          <w:rFonts w:ascii="Times New Roman" w:hAnsi="Times New Roman" w:cs="Times New Roman"/>
          <w:spacing w:val="-6"/>
          <w:sz w:val="28"/>
          <w:szCs w:val="28"/>
          <w:lang w:val="vi-VN"/>
        </w:rPr>
      </w:pPr>
      <w:r w:rsidRPr="002C22ED">
        <w:rPr>
          <w:rFonts w:ascii="Times New Roman" w:hAnsi="Times New Roman" w:cs="Times New Roman"/>
          <w:spacing w:val="-6"/>
          <w:sz w:val="28"/>
          <w:szCs w:val="28"/>
          <w:lang w:val="vi-VN"/>
        </w:rPr>
        <w:t xml:space="preserve">Các khoản phải thu </w:t>
      </w:r>
      <w:r w:rsidR="002C22ED">
        <w:rPr>
          <w:rFonts w:ascii="Times New Roman" w:hAnsi="Times New Roman" w:cs="Times New Roman"/>
          <w:spacing w:val="-6"/>
          <w:sz w:val="28"/>
          <w:szCs w:val="28"/>
        </w:rPr>
        <w:t>khách hàng, nhà cung cấp</w:t>
      </w:r>
      <w:r w:rsidRPr="002C22ED">
        <w:rPr>
          <w:rFonts w:ascii="Times New Roman" w:hAnsi="Times New Roman" w:cs="Times New Roman"/>
          <w:spacing w:val="-6"/>
          <w:sz w:val="28"/>
          <w:szCs w:val="28"/>
          <w:lang w:val="vi-VN"/>
        </w:rPr>
        <w:t xml:space="preserve"> đã quá hạn từ 02 năm đến dưới 03 năm;</w:t>
      </w:r>
    </w:p>
    <w:p w:rsidR="002C22ED" w:rsidRPr="00C53B39" w:rsidRDefault="001D3092" w:rsidP="00645B5B">
      <w:pPr>
        <w:pStyle w:val="ListParagraph"/>
        <w:tabs>
          <w:tab w:val="left" w:pos="900"/>
          <w:tab w:val="left" w:pos="1080"/>
        </w:tabs>
        <w:spacing w:after="120" w:line="240" w:lineRule="auto"/>
        <w:ind w:left="0" w:firstLine="720"/>
        <w:contextualSpacing w:val="0"/>
        <w:jc w:val="both"/>
        <w:rPr>
          <w:rFonts w:ascii="Times New Roman" w:hAnsi="Times New Roman" w:cs="Times New Roman"/>
          <w:sz w:val="28"/>
          <w:szCs w:val="28"/>
          <w:lang w:val="vi-VN"/>
        </w:rPr>
      </w:pPr>
      <w:r>
        <w:rPr>
          <w:rFonts w:ascii="Times New Roman" w:hAnsi="Times New Roman" w:cs="Times New Roman"/>
          <w:spacing w:val="-6"/>
          <w:sz w:val="28"/>
          <w:szCs w:val="28"/>
        </w:rPr>
        <w:t xml:space="preserve">- </w:t>
      </w:r>
      <w:r w:rsidR="002C22ED" w:rsidRPr="00C53B39">
        <w:rPr>
          <w:rFonts w:ascii="Times New Roman" w:hAnsi="Times New Roman" w:cs="Times New Roman"/>
          <w:sz w:val="28"/>
          <w:szCs w:val="28"/>
        </w:rPr>
        <w:t>Các khoản phải thu của cá nhân, tổ chức theo bản án, quyết định của Tòa án đã có hiệu lực pháp luật quá thời hạn tự nguyện thi hành án từ 06 tháng đến dưới 01 năm;</w:t>
      </w:r>
    </w:p>
    <w:p w:rsidR="002C22ED" w:rsidRPr="000615AB" w:rsidRDefault="00645B5B" w:rsidP="00645B5B">
      <w:pPr>
        <w:pStyle w:val="ListParagraph"/>
        <w:tabs>
          <w:tab w:val="left" w:pos="900"/>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v)</w:t>
      </w:r>
      <w:r w:rsidR="000615AB">
        <w:rPr>
          <w:rFonts w:ascii="Times New Roman" w:hAnsi="Times New Roman" w:cs="Times New Roman"/>
          <w:sz w:val="28"/>
          <w:szCs w:val="28"/>
          <w:lang w:val="vi-VN"/>
        </w:rPr>
        <w:t xml:space="preserve"> Nhóm 5:</w:t>
      </w:r>
    </w:p>
    <w:p w:rsidR="002C22ED" w:rsidRPr="000615AB" w:rsidRDefault="00645B5B" w:rsidP="00645B5B">
      <w:pPr>
        <w:pStyle w:val="ListParagraph"/>
        <w:tabs>
          <w:tab w:val="left" w:pos="900"/>
          <w:tab w:val="left" w:pos="1080"/>
        </w:tabs>
        <w:spacing w:after="120" w:line="240" w:lineRule="auto"/>
        <w:ind w:left="0" w:firstLine="720"/>
        <w:contextualSpacing w:val="0"/>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2C22ED" w:rsidRPr="000615AB">
        <w:rPr>
          <w:rFonts w:ascii="Times New Roman" w:hAnsi="Times New Roman" w:cs="Times New Roman"/>
          <w:spacing w:val="4"/>
          <w:sz w:val="28"/>
          <w:szCs w:val="28"/>
        </w:rPr>
        <w:t xml:space="preserve"> </w:t>
      </w:r>
      <w:r w:rsidR="00EB6149" w:rsidRPr="000615AB">
        <w:rPr>
          <w:rFonts w:ascii="Times New Roman" w:hAnsi="Times New Roman" w:cs="Times New Roman"/>
          <w:spacing w:val="4"/>
          <w:sz w:val="28"/>
          <w:szCs w:val="28"/>
          <w:lang w:val="vi-VN"/>
        </w:rPr>
        <w:t xml:space="preserve">Các khoản phải thu </w:t>
      </w:r>
      <w:r w:rsidR="002C22ED" w:rsidRPr="000615AB">
        <w:rPr>
          <w:rFonts w:ascii="Times New Roman" w:hAnsi="Times New Roman" w:cs="Times New Roman"/>
          <w:spacing w:val="4"/>
          <w:sz w:val="28"/>
          <w:szCs w:val="28"/>
        </w:rPr>
        <w:t>khách hàng, nhà cung cấp</w:t>
      </w:r>
      <w:r w:rsidR="00EB6149" w:rsidRPr="000615AB">
        <w:rPr>
          <w:rFonts w:ascii="Times New Roman" w:hAnsi="Times New Roman" w:cs="Times New Roman"/>
          <w:spacing w:val="4"/>
          <w:sz w:val="28"/>
          <w:szCs w:val="28"/>
          <w:lang w:val="vi-VN"/>
        </w:rPr>
        <w:t xml:space="preserve"> đã quá hạn từ 03 năm trở lên</w:t>
      </w:r>
      <w:r w:rsidR="002C22ED" w:rsidRPr="000615AB">
        <w:rPr>
          <w:rFonts w:ascii="Times New Roman" w:hAnsi="Times New Roman" w:cs="Times New Roman"/>
          <w:spacing w:val="4"/>
          <w:sz w:val="28"/>
          <w:szCs w:val="28"/>
        </w:rPr>
        <w:t>;</w:t>
      </w:r>
    </w:p>
    <w:p w:rsidR="008F3E84" w:rsidRPr="005722DC" w:rsidRDefault="00645B5B" w:rsidP="00645B5B">
      <w:pPr>
        <w:pStyle w:val="ListParagraph"/>
        <w:tabs>
          <w:tab w:val="left" w:pos="900"/>
          <w:tab w:val="left" w:pos="1080"/>
        </w:tabs>
        <w:spacing w:after="120" w:line="240" w:lineRule="auto"/>
        <w:ind w:left="0" w:firstLine="720"/>
        <w:contextualSpacing w:val="0"/>
        <w:jc w:val="both"/>
        <w:rPr>
          <w:rFonts w:ascii="Times New Roman" w:hAnsi="Times New Roman" w:cs="Times New Roman"/>
          <w:spacing w:val="-6"/>
          <w:sz w:val="28"/>
          <w:szCs w:val="28"/>
        </w:rPr>
      </w:pPr>
      <w:r>
        <w:rPr>
          <w:rFonts w:ascii="Times New Roman" w:hAnsi="Times New Roman" w:cs="Times New Roman"/>
          <w:sz w:val="28"/>
          <w:szCs w:val="28"/>
        </w:rPr>
        <w:t>-</w:t>
      </w:r>
      <w:r w:rsidR="002C22ED">
        <w:rPr>
          <w:rFonts w:ascii="Times New Roman" w:hAnsi="Times New Roman" w:cs="Times New Roman"/>
          <w:sz w:val="28"/>
          <w:szCs w:val="28"/>
        </w:rPr>
        <w:t xml:space="preserve"> </w:t>
      </w:r>
      <w:r w:rsidR="000903FF" w:rsidRPr="000903FF">
        <w:rPr>
          <w:rFonts w:ascii="Times New Roman" w:hAnsi="Times New Roman" w:cs="Times New Roman"/>
          <w:spacing w:val="-6"/>
          <w:sz w:val="28"/>
          <w:szCs w:val="28"/>
        </w:rPr>
        <w:t xml:space="preserve">Các khoản phải thu của cá nhân, tổ chức theo bản án, quyết định của Tòa án đã có hiệu lực pháp luật quá thời hạn tự nguyện thi hành án </w:t>
      </w:r>
      <w:r w:rsidR="000903FF">
        <w:rPr>
          <w:rFonts w:ascii="Times New Roman" w:hAnsi="Times New Roman" w:cs="Times New Roman"/>
          <w:spacing w:val="-6"/>
          <w:sz w:val="28"/>
          <w:szCs w:val="28"/>
        </w:rPr>
        <w:t>trên</w:t>
      </w:r>
      <w:r w:rsidR="000903FF" w:rsidRPr="000903FF">
        <w:rPr>
          <w:rFonts w:ascii="Times New Roman" w:hAnsi="Times New Roman" w:cs="Times New Roman"/>
          <w:spacing w:val="-6"/>
          <w:sz w:val="28"/>
          <w:szCs w:val="28"/>
        </w:rPr>
        <w:t xml:space="preserve"> 01 năm</w:t>
      </w:r>
      <w:r w:rsidR="002C22ED">
        <w:rPr>
          <w:rFonts w:ascii="Times New Roman" w:hAnsi="Times New Roman" w:cs="Times New Roman"/>
          <w:spacing w:val="-6"/>
          <w:sz w:val="28"/>
          <w:szCs w:val="28"/>
        </w:rPr>
        <w:t>;</w:t>
      </w:r>
      <w:r w:rsidR="006D6E29">
        <w:rPr>
          <w:rFonts w:ascii="Times New Roman" w:hAnsi="Times New Roman" w:cs="Times New Roman"/>
          <w:spacing w:val="-6"/>
          <w:sz w:val="28"/>
          <w:szCs w:val="28"/>
        </w:rPr>
        <w:t>”</w:t>
      </w:r>
    </w:p>
    <w:p w:rsidR="001D08F6" w:rsidRPr="00A11605" w:rsidRDefault="001D08F6" w:rsidP="00A11605">
      <w:pPr>
        <w:pStyle w:val="ListParagraph"/>
        <w:numPr>
          <w:ilvl w:val="0"/>
          <w:numId w:val="10"/>
        </w:numPr>
        <w:tabs>
          <w:tab w:val="left" w:pos="1080"/>
        </w:tabs>
        <w:spacing w:after="120" w:line="240" w:lineRule="auto"/>
        <w:jc w:val="both"/>
        <w:rPr>
          <w:rFonts w:ascii="Times New Roman" w:hAnsi="Times New Roman" w:cs="Times New Roman"/>
          <w:sz w:val="28"/>
          <w:szCs w:val="28"/>
        </w:rPr>
      </w:pPr>
      <w:r w:rsidRPr="00A11605">
        <w:rPr>
          <w:rFonts w:ascii="Times New Roman" w:hAnsi="Times New Roman" w:cs="Times New Roman"/>
          <w:sz w:val="28"/>
          <w:szCs w:val="28"/>
        </w:rPr>
        <w:t>Sửa đổi Khoản 4 Điều 9 như sau:</w:t>
      </w:r>
    </w:p>
    <w:p w:rsidR="001D08F6" w:rsidRDefault="001D08F6"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w:t>
      </w:r>
      <w:r w:rsidR="00EE7D68">
        <w:rPr>
          <w:rFonts w:ascii="Times New Roman" w:hAnsi="Times New Roman" w:cs="Times New Roman"/>
          <w:sz w:val="28"/>
          <w:szCs w:val="28"/>
        </w:rPr>
        <w:t>4. Thanh toán với Nhà nước và Ngân sách Nhà nước</w:t>
      </w:r>
    </w:p>
    <w:p w:rsidR="00EE7D68" w:rsidRDefault="00311319"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Việc</w:t>
      </w:r>
      <w:r>
        <w:rPr>
          <w:rFonts w:ascii="Times New Roman" w:hAnsi="Times New Roman" w:cs="Times New Roman"/>
          <w:sz w:val="28"/>
          <w:szCs w:val="28"/>
          <w:lang w:val="vi-VN"/>
        </w:rPr>
        <w:t xml:space="preserve"> xử lý c</w:t>
      </w:r>
      <w:r w:rsidR="00EE7D68">
        <w:rPr>
          <w:rFonts w:ascii="Times New Roman" w:hAnsi="Times New Roman" w:cs="Times New Roman"/>
          <w:sz w:val="28"/>
          <w:szCs w:val="28"/>
        </w:rPr>
        <w:t xml:space="preserve">ác khoản thanh toán với Nhà nước và Ngân sách Nhà nước được </w:t>
      </w:r>
      <w:r>
        <w:rPr>
          <w:rFonts w:ascii="Times New Roman" w:hAnsi="Times New Roman" w:cs="Times New Roman"/>
          <w:sz w:val="28"/>
          <w:szCs w:val="28"/>
        </w:rPr>
        <w:t>thực</w:t>
      </w:r>
      <w:r>
        <w:rPr>
          <w:rFonts w:ascii="Times New Roman" w:hAnsi="Times New Roman" w:cs="Times New Roman"/>
          <w:sz w:val="28"/>
          <w:szCs w:val="28"/>
          <w:lang w:val="vi-VN"/>
        </w:rPr>
        <w:t xml:space="preserve"> hiện</w:t>
      </w:r>
      <w:r w:rsidR="00EE7D68">
        <w:rPr>
          <w:rFonts w:ascii="Times New Roman" w:hAnsi="Times New Roman" w:cs="Times New Roman"/>
          <w:sz w:val="28"/>
          <w:szCs w:val="28"/>
        </w:rPr>
        <w:t xml:space="preserve"> theo phê duyệt của Thủ tướng Chính phủ.</w:t>
      </w:r>
    </w:p>
    <w:p w:rsidR="00EE7D68" w:rsidRPr="00EE7D68" w:rsidRDefault="00EE7D68"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Ngân hàng Nhà nước chủ trì, phối hợp với Bộ Tài chính báo cáo, trình Thủ tướng Chính phủ cho phép dùng khoản dự phòng rủi ro để xử lý các khoản thanh toán với Nhà nước và Ngân sách Nhà nước, bao gồm: các khoản thanh toán với Nhà nước và Ngân sách nhà nước đã hết thời hạn thanh toán hoặc không có thời hạn thanh toán và sau thời gian tối thiểu 05 (năm) năm chưa</w:t>
      </w:r>
      <w:r w:rsidR="00311319">
        <w:rPr>
          <w:rFonts w:ascii="Times New Roman" w:hAnsi="Times New Roman" w:cs="Times New Roman"/>
          <w:sz w:val="28"/>
          <w:szCs w:val="28"/>
          <w:lang w:val="vi-VN"/>
        </w:rPr>
        <w:t xml:space="preserve"> được hoàn trả hoặc chưa</w:t>
      </w:r>
      <w:r>
        <w:rPr>
          <w:rFonts w:ascii="Times New Roman" w:hAnsi="Times New Roman" w:cs="Times New Roman"/>
          <w:sz w:val="28"/>
          <w:szCs w:val="28"/>
        </w:rPr>
        <w:t xml:space="preserve"> có biện pháp xử l</w:t>
      </w:r>
      <w:r w:rsidR="00910A38">
        <w:rPr>
          <w:rFonts w:ascii="Times New Roman" w:hAnsi="Times New Roman" w:cs="Times New Roman"/>
          <w:sz w:val="28"/>
          <w:szCs w:val="28"/>
        </w:rPr>
        <w:t>ý.</w:t>
      </w:r>
      <w:r>
        <w:rPr>
          <w:rFonts w:ascii="Times New Roman" w:hAnsi="Times New Roman" w:cs="Times New Roman"/>
          <w:sz w:val="28"/>
          <w:szCs w:val="28"/>
        </w:rPr>
        <w:t>”</w:t>
      </w:r>
    </w:p>
    <w:p w:rsidR="00EB6149" w:rsidRDefault="00EB6149" w:rsidP="00A11605">
      <w:pPr>
        <w:pStyle w:val="ListParagraph"/>
        <w:numPr>
          <w:ilvl w:val="0"/>
          <w:numId w:val="10"/>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Sửa đổi, bổ sung Khoản 5 Điều 9 như sau:</w:t>
      </w:r>
    </w:p>
    <w:p w:rsidR="0034464B" w:rsidRPr="00EB6149" w:rsidRDefault="00EB6149"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w:t>
      </w:r>
      <w:r w:rsidRPr="00EB6149">
        <w:rPr>
          <w:rFonts w:ascii="Times New Roman" w:hAnsi="Times New Roman" w:cs="Times New Roman"/>
          <w:sz w:val="28"/>
          <w:szCs w:val="28"/>
          <w:lang w:val="vi-VN"/>
        </w:rPr>
        <w:t xml:space="preserve">5. Các khoản phải thu </w:t>
      </w:r>
      <w:r w:rsidR="00035882">
        <w:rPr>
          <w:rFonts w:ascii="Times New Roman" w:hAnsi="Times New Roman" w:cs="Times New Roman"/>
          <w:sz w:val="28"/>
          <w:szCs w:val="28"/>
        </w:rPr>
        <w:t>quy định tại Khoản 5 Điều 6 Thông tư này</w:t>
      </w:r>
      <w:r w:rsidR="0034464B">
        <w:rPr>
          <w:rFonts w:ascii="Times New Roman" w:hAnsi="Times New Roman" w:cs="Times New Roman"/>
          <w:sz w:val="28"/>
          <w:szCs w:val="28"/>
        </w:rPr>
        <w:t>.</w:t>
      </w:r>
    </w:p>
    <w:p w:rsidR="00091D04" w:rsidRDefault="00EB6149"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sidRPr="00EB6149">
        <w:rPr>
          <w:rFonts w:ascii="Times New Roman" w:hAnsi="Times New Roman" w:cs="Times New Roman"/>
          <w:sz w:val="28"/>
          <w:szCs w:val="28"/>
          <w:lang w:val="vi-VN"/>
        </w:rPr>
        <w:t xml:space="preserve">Các khoản phải thu </w:t>
      </w:r>
      <w:r w:rsidR="00311319">
        <w:rPr>
          <w:rFonts w:ascii="Times New Roman" w:hAnsi="Times New Roman" w:cs="Times New Roman"/>
          <w:sz w:val="28"/>
          <w:szCs w:val="28"/>
          <w:lang w:val="vi-VN"/>
        </w:rPr>
        <w:t xml:space="preserve">có khả năng tổn thất, không thu hồi được </w:t>
      </w:r>
      <w:r w:rsidR="00091D04">
        <w:rPr>
          <w:rFonts w:ascii="Times New Roman" w:hAnsi="Times New Roman" w:cs="Times New Roman"/>
          <w:sz w:val="28"/>
          <w:szCs w:val="28"/>
        </w:rPr>
        <w:t>t</w:t>
      </w:r>
      <w:r w:rsidRPr="00EB6149">
        <w:rPr>
          <w:rFonts w:ascii="Times New Roman" w:hAnsi="Times New Roman" w:cs="Times New Roman"/>
          <w:sz w:val="28"/>
          <w:szCs w:val="28"/>
          <w:lang w:val="vi-VN"/>
        </w:rPr>
        <w:t xml:space="preserve">rong quá trình hoạt động </w:t>
      </w:r>
      <w:r w:rsidR="00311319">
        <w:rPr>
          <w:rFonts w:ascii="Times New Roman" w:hAnsi="Times New Roman" w:cs="Times New Roman"/>
          <w:sz w:val="28"/>
          <w:szCs w:val="28"/>
          <w:lang w:val="vi-VN"/>
        </w:rPr>
        <w:t xml:space="preserve">mà Ngân hàng Nhà nước </w:t>
      </w:r>
      <w:r w:rsidRPr="00EB6149">
        <w:rPr>
          <w:rFonts w:ascii="Times New Roman" w:hAnsi="Times New Roman" w:cs="Times New Roman"/>
          <w:sz w:val="28"/>
          <w:szCs w:val="28"/>
          <w:lang w:val="vi-VN"/>
        </w:rPr>
        <w:t>có đủ bằng chứng tin cậy</w:t>
      </w:r>
      <w:r w:rsidR="00091D04">
        <w:rPr>
          <w:rFonts w:ascii="Times New Roman" w:hAnsi="Times New Roman" w:cs="Times New Roman"/>
          <w:sz w:val="28"/>
          <w:szCs w:val="28"/>
        </w:rPr>
        <w:t xml:space="preserve"> xác định đối tượng phải thu là tổ chức đã phá sản, giải thể,</w:t>
      </w:r>
      <w:r w:rsidR="001669E7">
        <w:rPr>
          <w:rFonts w:ascii="Times New Roman" w:hAnsi="Times New Roman" w:cs="Times New Roman"/>
          <w:sz w:val="28"/>
          <w:szCs w:val="28"/>
        </w:rPr>
        <w:t xml:space="preserve"> </w:t>
      </w:r>
      <w:r w:rsidR="00091D04">
        <w:rPr>
          <w:rFonts w:ascii="Times New Roman" w:hAnsi="Times New Roman" w:cs="Times New Roman"/>
          <w:sz w:val="28"/>
          <w:szCs w:val="28"/>
        </w:rPr>
        <w:t xml:space="preserve">đối tượng phải thu là cá nhân đang </w:t>
      </w:r>
      <w:r w:rsidR="00091D04">
        <w:rPr>
          <w:rFonts w:ascii="Times New Roman" w:hAnsi="Times New Roman" w:cs="Times New Roman"/>
          <w:sz w:val="28"/>
          <w:szCs w:val="28"/>
        </w:rPr>
        <w:lastRenderedPageBreak/>
        <w:t>mắc bệnh hiểm nghèo (có xác nhận của bệnh viện) hoặc đã chết, hoặc khoản nợ đã yêu cầu thi hành án nhưng không thể thực hiện được do đối tượng nợ bỏ trốn khỏi nơi cư trú</w:t>
      </w:r>
      <w:r w:rsidR="00311319">
        <w:rPr>
          <w:rFonts w:ascii="Times New Roman" w:hAnsi="Times New Roman" w:cs="Times New Roman"/>
          <w:sz w:val="28"/>
          <w:szCs w:val="28"/>
          <w:lang w:val="vi-VN"/>
        </w:rPr>
        <w:t xml:space="preserve"> (có văn bản của cơ quan thi hành án hoặc xác nhận của chính quyền địa phương nơi đối tượng thu nợ có hộ khẩu thường trú</w:t>
      </w:r>
      <w:r w:rsidR="00091D04">
        <w:rPr>
          <w:rFonts w:ascii="Times New Roman" w:hAnsi="Times New Roman" w:cs="Times New Roman"/>
          <w:sz w:val="28"/>
          <w:szCs w:val="28"/>
        </w:rPr>
        <w:t>.”</w:t>
      </w:r>
    </w:p>
    <w:p w:rsidR="003C24DE" w:rsidRPr="00CD7B1C" w:rsidRDefault="00A11605" w:rsidP="00A11605">
      <w:pPr>
        <w:pStyle w:val="ListParagraph"/>
        <w:numPr>
          <w:ilvl w:val="0"/>
          <w:numId w:val="10"/>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Bãi</w:t>
      </w:r>
      <w:r w:rsidR="00CD7B1C">
        <w:rPr>
          <w:rFonts w:ascii="Times New Roman" w:hAnsi="Times New Roman" w:cs="Times New Roman"/>
          <w:sz w:val="28"/>
          <w:szCs w:val="28"/>
        </w:rPr>
        <w:t xml:space="preserve"> bỏ</w:t>
      </w:r>
      <w:r w:rsidR="003C24DE">
        <w:rPr>
          <w:rFonts w:ascii="Times New Roman" w:hAnsi="Times New Roman" w:cs="Times New Roman"/>
          <w:sz w:val="28"/>
          <w:szCs w:val="28"/>
        </w:rPr>
        <w:t xml:space="preserve"> Khoản 7 Điều 9</w:t>
      </w:r>
      <w:r w:rsidR="00CD7B1C">
        <w:rPr>
          <w:rFonts w:ascii="Times New Roman" w:hAnsi="Times New Roman" w:cs="Times New Roman"/>
          <w:sz w:val="28"/>
          <w:szCs w:val="28"/>
        </w:rPr>
        <w:t>.</w:t>
      </w:r>
    </w:p>
    <w:p w:rsidR="0089118B" w:rsidRDefault="0089118B" w:rsidP="00A11605">
      <w:pPr>
        <w:pStyle w:val="ListParagraph"/>
        <w:numPr>
          <w:ilvl w:val="0"/>
          <w:numId w:val="10"/>
        </w:numPr>
        <w:tabs>
          <w:tab w:val="left" w:pos="108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Sửa đổi, bổ sung khoản 4 Điều 11 như sau:</w:t>
      </w:r>
    </w:p>
    <w:p w:rsidR="0089118B" w:rsidRDefault="0089118B" w:rsidP="0089118B">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“Trên cơ sở hồ sơ, tài liệu liên quan quy định tại Điều 10 Thông tư này, ý kiến thẩm định của Vụ Tài chính – Kế toán và ý kiến tham gia của các đơn vị có liên quan, Hội đồng xử lý khoản tổn thất phân tích, đánh giá, đề xuất phương án xử lý và trình Thống đốc Ngân hàng Nhà nước lấy ý kiến Bộ Tài chính trước khi Thống đốc Ngân hàng Nhà nước xem xét, quyết định sử dụng khoản dự </w:t>
      </w:r>
      <w:r w:rsidRPr="003C24DE">
        <w:rPr>
          <w:rFonts w:ascii="Times New Roman" w:hAnsi="Times New Roman" w:cs="Times New Roman"/>
          <w:sz w:val="28"/>
          <w:szCs w:val="28"/>
          <w:lang w:val="vi-VN"/>
        </w:rPr>
        <w:t>phòng rủi ro</w:t>
      </w:r>
      <w:r>
        <w:rPr>
          <w:rFonts w:ascii="Times New Roman" w:hAnsi="Times New Roman" w:cs="Times New Roman"/>
          <w:sz w:val="28"/>
          <w:szCs w:val="28"/>
        </w:rPr>
        <w:t xml:space="preserve"> để xử lý đối với từng khoản tổn thất cụ thể.</w:t>
      </w:r>
    </w:p>
    <w:p w:rsidR="0089118B" w:rsidRPr="0089118B" w:rsidRDefault="0089118B" w:rsidP="0089118B">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Riêng đối với các khoản nợ tại điểm a Khoản 3 Điều 9 và khoản thanh toán với Nhà nước và Ngân sách Nhà nước tại khoản 4 Điều 9 Thông tư này, Hội đồng xử lý tổn thất phải báo cáo, trình Thống đốc Ngân hàng Nhà nước lấy ý kiến Bộ Tài chính và trình Thủ tướng Chính phủ xem xét, </w:t>
      </w:r>
      <w:r w:rsidR="00311319">
        <w:rPr>
          <w:rFonts w:ascii="Times New Roman" w:hAnsi="Times New Roman" w:cs="Times New Roman"/>
          <w:sz w:val="28"/>
          <w:szCs w:val="28"/>
        </w:rPr>
        <w:t>phê</w:t>
      </w:r>
      <w:r w:rsidR="00311319">
        <w:rPr>
          <w:rFonts w:ascii="Times New Roman" w:hAnsi="Times New Roman" w:cs="Times New Roman"/>
          <w:sz w:val="28"/>
          <w:szCs w:val="28"/>
          <w:lang w:val="vi-VN"/>
        </w:rPr>
        <w:t xml:space="preserve"> duyệt</w:t>
      </w:r>
      <w:r>
        <w:rPr>
          <w:rFonts w:ascii="Times New Roman" w:hAnsi="Times New Roman" w:cs="Times New Roman"/>
          <w:sz w:val="28"/>
          <w:szCs w:val="28"/>
        </w:rPr>
        <w:t xml:space="preserve"> trước khi xử lý.</w:t>
      </w:r>
      <w:r w:rsidR="00B0348D">
        <w:rPr>
          <w:rFonts w:ascii="Times New Roman" w:hAnsi="Times New Roman" w:cs="Times New Roman"/>
          <w:sz w:val="28"/>
          <w:szCs w:val="28"/>
        </w:rPr>
        <w:t xml:space="preserve"> Sau khi Thủ tướng Chính phủ </w:t>
      </w:r>
      <w:r w:rsidR="009E49BE">
        <w:rPr>
          <w:rFonts w:ascii="Times New Roman" w:hAnsi="Times New Roman" w:cs="Times New Roman"/>
          <w:sz w:val="28"/>
          <w:szCs w:val="28"/>
        </w:rPr>
        <w:t>phê</w:t>
      </w:r>
      <w:r w:rsidR="009E49BE">
        <w:rPr>
          <w:rFonts w:ascii="Times New Roman" w:hAnsi="Times New Roman" w:cs="Times New Roman"/>
          <w:sz w:val="28"/>
          <w:szCs w:val="28"/>
          <w:lang w:val="vi-VN"/>
        </w:rPr>
        <w:t xml:space="preserve"> duyệt</w:t>
      </w:r>
      <w:r w:rsidR="00B0348D">
        <w:rPr>
          <w:rFonts w:ascii="Times New Roman" w:hAnsi="Times New Roman" w:cs="Times New Roman"/>
          <w:sz w:val="28"/>
          <w:szCs w:val="28"/>
        </w:rPr>
        <w:t xml:space="preserve">, Thống đốc Ngân hàng Nhà nước ra quyết định sử dụng khoản dự </w:t>
      </w:r>
      <w:r w:rsidR="00B0348D" w:rsidRPr="003C24DE">
        <w:rPr>
          <w:rFonts w:ascii="Times New Roman" w:hAnsi="Times New Roman" w:cs="Times New Roman"/>
          <w:sz w:val="28"/>
          <w:szCs w:val="28"/>
          <w:lang w:val="vi-VN"/>
        </w:rPr>
        <w:t>phòng rủi ro</w:t>
      </w:r>
      <w:r w:rsidR="00B0348D">
        <w:rPr>
          <w:rFonts w:ascii="Times New Roman" w:hAnsi="Times New Roman" w:cs="Times New Roman"/>
          <w:sz w:val="28"/>
          <w:szCs w:val="28"/>
        </w:rPr>
        <w:t xml:space="preserve"> để xử lý đối với từng khoản tổn thất.</w:t>
      </w:r>
      <w:r>
        <w:rPr>
          <w:rFonts w:ascii="Times New Roman" w:hAnsi="Times New Roman" w:cs="Times New Roman"/>
          <w:sz w:val="28"/>
          <w:szCs w:val="28"/>
        </w:rPr>
        <w:t>”</w:t>
      </w:r>
    </w:p>
    <w:p w:rsidR="00E86B6F" w:rsidRDefault="00EB6149" w:rsidP="00A11605">
      <w:pPr>
        <w:pStyle w:val="ListParagraph"/>
        <w:numPr>
          <w:ilvl w:val="0"/>
          <w:numId w:val="10"/>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Bổ sung điểm </w:t>
      </w:r>
      <w:r w:rsidR="00A11605">
        <w:rPr>
          <w:rFonts w:ascii="Times New Roman" w:hAnsi="Times New Roman" w:cs="Times New Roman"/>
          <w:sz w:val="28"/>
          <w:szCs w:val="28"/>
        </w:rPr>
        <w:t>h, i, j</w:t>
      </w:r>
      <w:r w:rsidR="009E4AEC">
        <w:rPr>
          <w:rFonts w:ascii="Times New Roman" w:hAnsi="Times New Roman" w:cs="Times New Roman"/>
          <w:sz w:val="28"/>
          <w:szCs w:val="28"/>
        </w:rPr>
        <w:t xml:space="preserve"> vào</w:t>
      </w:r>
      <w:r>
        <w:rPr>
          <w:rFonts w:ascii="Times New Roman" w:hAnsi="Times New Roman" w:cs="Times New Roman"/>
          <w:sz w:val="28"/>
          <w:szCs w:val="28"/>
        </w:rPr>
        <w:t xml:space="preserve"> </w:t>
      </w:r>
      <w:r w:rsidR="00E86B6F">
        <w:rPr>
          <w:rFonts w:ascii="Times New Roman" w:hAnsi="Times New Roman" w:cs="Times New Roman"/>
          <w:sz w:val="28"/>
          <w:szCs w:val="28"/>
        </w:rPr>
        <w:t>Khoản 2 Điều 12 như sau:</w:t>
      </w:r>
    </w:p>
    <w:p w:rsidR="009E49BE" w:rsidRDefault="00EB6149" w:rsidP="009E49BE">
      <w:pPr>
        <w:pStyle w:val="ListParagraph"/>
        <w:tabs>
          <w:tab w:val="left" w:pos="990"/>
        </w:tabs>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00574A50">
        <w:rPr>
          <w:rFonts w:ascii="Times New Roman" w:hAnsi="Times New Roman" w:cs="Times New Roman"/>
          <w:sz w:val="28"/>
          <w:szCs w:val="28"/>
        </w:rPr>
        <w:t xml:space="preserve">h) </w:t>
      </w:r>
      <w:r w:rsidR="009E49BE">
        <w:rPr>
          <w:rFonts w:ascii="Times New Roman" w:hAnsi="Times New Roman" w:cs="Times New Roman"/>
          <w:sz w:val="28"/>
          <w:szCs w:val="28"/>
        </w:rPr>
        <w:t>Đại diện Bộ Tài chính (Cán bộ cấp Vụ, Cục trở lên);</w:t>
      </w:r>
    </w:p>
    <w:p w:rsidR="009E49BE" w:rsidRDefault="009E49BE" w:rsidP="009E49BE">
      <w:pPr>
        <w:pStyle w:val="ListParagraph"/>
        <w:numPr>
          <w:ilvl w:val="0"/>
          <w:numId w:val="27"/>
        </w:numPr>
        <w:tabs>
          <w:tab w:val="left" w:pos="1080"/>
        </w:tabs>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Đại diện Bộ Tư pháp (Cán bộ cấp Vụ, Cục trở lên)</w:t>
      </w:r>
    </w:p>
    <w:p w:rsidR="00EB6149" w:rsidRPr="009E49BE" w:rsidRDefault="00B31A15" w:rsidP="009E49BE">
      <w:pPr>
        <w:pStyle w:val="ListParagraph"/>
        <w:numPr>
          <w:ilvl w:val="0"/>
          <w:numId w:val="29"/>
        </w:numPr>
        <w:tabs>
          <w:tab w:val="left" w:pos="1080"/>
        </w:tabs>
        <w:spacing w:after="120" w:line="240" w:lineRule="auto"/>
        <w:ind w:left="0" w:firstLine="709"/>
        <w:contextualSpacing w:val="0"/>
        <w:jc w:val="both"/>
        <w:rPr>
          <w:rFonts w:ascii="Times New Roman" w:hAnsi="Times New Roman" w:cs="Times New Roman"/>
          <w:sz w:val="28"/>
          <w:szCs w:val="28"/>
        </w:rPr>
      </w:pPr>
      <w:r w:rsidRPr="00B31A15">
        <w:rPr>
          <w:rFonts w:ascii="Times New Roman" w:hAnsi="Times New Roman" w:cs="Times New Roman"/>
          <w:sz w:val="28"/>
          <w:szCs w:val="28"/>
          <w:lang w:val="vi-VN"/>
        </w:rPr>
        <w:t>Đơn vị có liên quan theo đề nghị của Vụ Tài chính – Kế toán</w:t>
      </w:r>
      <w:r w:rsidR="00EB6149" w:rsidRPr="009E49BE">
        <w:rPr>
          <w:rFonts w:ascii="Times New Roman" w:hAnsi="Times New Roman" w:cs="Times New Roman"/>
          <w:sz w:val="28"/>
          <w:szCs w:val="28"/>
        </w:rPr>
        <w:t>.”</w:t>
      </w:r>
    </w:p>
    <w:p w:rsidR="003C24DE" w:rsidRDefault="003C24DE" w:rsidP="00A11605">
      <w:pPr>
        <w:pStyle w:val="ListParagraph"/>
        <w:numPr>
          <w:ilvl w:val="0"/>
          <w:numId w:val="10"/>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Sửa đổi, bổ sung Khoản 2 Điều 14 như sau:</w:t>
      </w:r>
    </w:p>
    <w:p w:rsidR="00AE426F" w:rsidRDefault="003C24DE"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w:t>
      </w:r>
      <w:r w:rsidRPr="003C24DE">
        <w:rPr>
          <w:rFonts w:ascii="Times New Roman" w:hAnsi="Times New Roman" w:cs="Times New Roman"/>
          <w:sz w:val="28"/>
          <w:szCs w:val="28"/>
          <w:lang w:val="vi-VN"/>
        </w:rPr>
        <w:t xml:space="preserve">2. Sau thời gian tối thiểu 05 (năm) năm, kể từ ngày sử dụng khoản dự phòng rủi ro để xử lý tổn thất và sau khi đã thực hiện các biện pháp để thu hồi các khoản tổn thất nhưng không thể thu hồi được, Thống đốc Ngân hàng Nhà nước </w:t>
      </w:r>
      <w:r>
        <w:rPr>
          <w:rFonts w:ascii="Times New Roman" w:hAnsi="Times New Roman" w:cs="Times New Roman"/>
          <w:sz w:val="28"/>
          <w:szCs w:val="28"/>
        </w:rPr>
        <w:t xml:space="preserve">xem xét, </w:t>
      </w:r>
      <w:r w:rsidRPr="003C24DE">
        <w:rPr>
          <w:rFonts w:ascii="Times New Roman" w:hAnsi="Times New Roman" w:cs="Times New Roman"/>
          <w:sz w:val="28"/>
          <w:szCs w:val="28"/>
          <w:lang w:val="vi-VN"/>
        </w:rPr>
        <w:t>quyết định cho xuất toán khoản tổn thất đã xử lý bằng khoản dự phòng rủi ro ra khỏi tài khoản ngoài bảng cân đối kế toán.</w:t>
      </w:r>
      <w:r w:rsidR="00981A3B">
        <w:rPr>
          <w:rFonts w:ascii="Times New Roman" w:hAnsi="Times New Roman" w:cs="Times New Roman"/>
          <w:sz w:val="28"/>
          <w:szCs w:val="28"/>
        </w:rPr>
        <w:t xml:space="preserve"> Trình tự</w:t>
      </w:r>
      <w:r w:rsidR="00F415C9">
        <w:rPr>
          <w:rFonts w:ascii="Times New Roman" w:hAnsi="Times New Roman" w:cs="Times New Roman"/>
          <w:sz w:val="28"/>
          <w:szCs w:val="28"/>
        </w:rPr>
        <w:t xml:space="preserve"> xử lý</w:t>
      </w:r>
      <w:r w:rsidR="00981A3B">
        <w:rPr>
          <w:rFonts w:ascii="Times New Roman" w:hAnsi="Times New Roman" w:cs="Times New Roman"/>
          <w:sz w:val="28"/>
          <w:szCs w:val="28"/>
        </w:rPr>
        <w:t>, thành phần Hội đồng xử lý</w:t>
      </w:r>
      <w:r w:rsidR="003E2646">
        <w:rPr>
          <w:rFonts w:ascii="Times New Roman" w:hAnsi="Times New Roman" w:cs="Times New Roman"/>
          <w:sz w:val="28"/>
          <w:szCs w:val="28"/>
        </w:rPr>
        <w:t xml:space="preserve"> các khoản</w:t>
      </w:r>
      <w:r w:rsidR="00981A3B">
        <w:rPr>
          <w:rFonts w:ascii="Times New Roman" w:hAnsi="Times New Roman" w:cs="Times New Roman"/>
          <w:sz w:val="28"/>
          <w:szCs w:val="28"/>
        </w:rPr>
        <w:t xml:space="preserve"> tổn thất</w:t>
      </w:r>
      <w:r w:rsidR="00AE426F">
        <w:rPr>
          <w:rFonts w:ascii="Times New Roman" w:hAnsi="Times New Roman" w:cs="Times New Roman"/>
          <w:sz w:val="28"/>
          <w:szCs w:val="28"/>
        </w:rPr>
        <w:t xml:space="preserve"> đang theo dõi ngoài bảng cân đối kế toán được quy định tại </w:t>
      </w:r>
      <w:r w:rsidR="00857D3A">
        <w:rPr>
          <w:rFonts w:ascii="Times New Roman" w:hAnsi="Times New Roman" w:cs="Times New Roman"/>
          <w:sz w:val="28"/>
          <w:szCs w:val="28"/>
        </w:rPr>
        <w:t xml:space="preserve">Khoản 2a, </w:t>
      </w:r>
      <w:r w:rsidR="003E2646">
        <w:rPr>
          <w:rFonts w:ascii="Times New Roman" w:hAnsi="Times New Roman" w:cs="Times New Roman"/>
          <w:sz w:val="28"/>
          <w:szCs w:val="28"/>
        </w:rPr>
        <w:t>Khoản 2b</w:t>
      </w:r>
      <w:r w:rsidR="00AE426F">
        <w:rPr>
          <w:rFonts w:ascii="Times New Roman" w:hAnsi="Times New Roman" w:cs="Times New Roman"/>
          <w:sz w:val="28"/>
          <w:szCs w:val="28"/>
        </w:rPr>
        <w:t xml:space="preserve"> Điều này.</w:t>
      </w:r>
    </w:p>
    <w:p w:rsidR="003C24DE" w:rsidRDefault="003C24DE" w:rsidP="00037F6E">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sidRPr="003C24DE">
        <w:rPr>
          <w:rFonts w:ascii="Times New Roman" w:hAnsi="Times New Roman" w:cs="Times New Roman"/>
          <w:sz w:val="28"/>
          <w:szCs w:val="28"/>
          <w:lang w:val="vi-VN"/>
        </w:rPr>
        <w:t>Hồ sơ đối với các khoản tổn thất đã được xuất toán ra khỏi tài khoản ngoài bảng cân đối kế toán phải được lưu trữ theo quy định của pháp luật, trong đó bao gồm cả hồ sơ xử lý tổn thất và toàn bộ tài liệu chứng minh Thủ trưởng đơn vị đã thực hiện tất cả các biện pháp để thu hồi nhưng không thu hồi được.</w:t>
      </w:r>
      <w:r>
        <w:rPr>
          <w:rFonts w:ascii="Times New Roman" w:hAnsi="Times New Roman" w:cs="Times New Roman"/>
          <w:sz w:val="28"/>
          <w:szCs w:val="28"/>
        </w:rPr>
        <w:t>”</w:t>
      </w:r>
    </w:p>
    <w:p w:rsidR="00AD7F03" w:rsidRDefault="00AC60CC" w:rsidP="00A11605">
      <w:pPr>
        <w:pStyle w:val="ListParagraph"/>
        <w:numPr>
          <w:ilvl w:val="0"/>
          <w:numId w:val="10"/>
        </w:numPr>
        <w:tabs>
          <w:tab w:val="left" w:pos="108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Bổ sung Khoản 2a</w:t>
      </w:r>
      <w:r w:rsidR="00ED1351">
        <w:rPr>
          <w:rFonts w:ascii="Times New Roman" w:hAnsi="Times New Roman" w:cs="Times New Roman"/>
          <w:sz w:val="28"/>
          <w:szCs w:val="28"/>
        </w:rPr>
        <w:t>, 2b</w:t>
      </w:r>
      <w:r w:rsidR="00DD2615">
        <w:rPr>
          <w:rFonts w:ascii="Times New Roman" w:hAnsi="Times New Roman" w:cs="Times New Roman"/>
          <w:sz w:val="28"/>
          <w:szCs w:val="28"/>
        </w:rPr>
        <w:t>, 2c</w:t>
      </w:r>
      <w:r>
        <w:rPr>
          <w:rFonts w:ascii="Times New Roman" w:hAnsi="Times New Roman" w:cs="Times New Roman"/>
          <w:sz w:val="28"/>
          <w:szCs w:val="28"/>
        </w:rPr>
        <w:t xml:space="preserve"> vào Điều 14 như sau:</w:t>
      </w:r>
    </w:p>
    <w:p w:rsidR="00ED1351" w:rsidRDefault="00AC60CC" w:rsidP="009371CB">
      <w:pPr>
        <w:tabs>
          <w:tab w:val="left" w:pos="1080"/>
        </w:tabs>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2</w:t>
      </w:r>
      <w:r w:rsidR="00CD7B1C">
        <w:rPr>
          <w:rFonts w:ascii="Times New Roman" w:hAnsi="Times New Roman" w:cs="Times New Roman"/>
          <w:sz w:val="28"/>
          <w:szCs w:val="28"/>
        </w:rPr>
        <w:t>a</w:t>
      </w:r>
      <w:r w:rsidR="00B07306">
        <w:rPr>
          <w:rFonts w:ascii="Times New Roman" w:hAnsi="Times New Roman" w:cs="Times New Roman"/>
          <w:sz w:val="28"/>
          <w:szCs w:val="28"/>
        </w:rPr>
        <w:t>.</w:t>
      </w:r>
      <w:r w:rsidR="00ED1351">
        <w:rPr>
          <w:rFonts w:ascii="Times New Roman" w:hAnsi="Times New Roman" w:cs="Times New Roman"/>
          <w:sz w:val="28"/>
          <w:szCs w:val="28"/>
        </w:rPr>
        <w:t xml:space="preserve"> Thành phần Hội đồng xử lý khoản tổn thất đang theo dõi ngoài bảng cân đối kế toán</w:t>
      </w:r>
    </w:p>
    <w:p w:rsidR="00ED1351" w:rsidRDefault="00ED1351" w:rsidP="009371CB">
      <w:pPr>
        <w:pStyle w:val="ListParagraph"/>
        <w:numPr>
          <w:ilvl w:val="0"/>
          <w:numId w:val="16"/>
        </w:numPr>
        <w:tabs>
          <w:tab w:val="left" w:pos="108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Chủ tịch Hội đồng: 01 Phó Thống đốc Ngân hàng Nhà nước</w:t>
      </w:r>
    </w:p>
    <w:p w:rsidR="00ED1351" w:rsidRDefault="00ED1351" w:rsidP="004F2012">
      <w:pPr>
        <w:pStyle w:val="ListParagraph"/>
        <w:numPr>
          <w:ilvl w:val="0"/>
          <w:numId w:val="16"/>
        </w:numPr>
        <w:tabs>
          <w:tab w:val="left" w:pos="126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Các thành viên Hội đồng:</w:t>
      </w:r>
      <w:r w:rsidR="004F2012" w:rsidRPr="004F2012">
        <w:t xml:space="preserve"> </w:t>
      </w:r>
      <w:r w:rsidR="004F2012" w:rsidRPr="004F2012">
        <w:rPr>
          <w:rFonts w:ascii="Times New Roman" w:hAnsi="Times New Roman" w:cs="Times New Roman"/>
          <w:sz w:val="28"/>
          <w:szCs w:val="28"/>
        </w:rPr>
        <w:t>Chánh Thanh tra, giám sát ngân hàng hoặc Phó Chánh Thanh tra, giám sát ngân hàng, Vụ trưởng hoặc Phó Vụ trưởng, Cục trưởng hoặc Phó Cục trưởng thuộc các đơn vị Ngân hàng Nhà nước sau</w:t>
      </w:r>
      <w:r w:rsidR="004F2012">
        <w:rPr>
          <w:rFonts w:ascii="Times New Roman" w:hAnsi="Times New Roman" w:cs="Times New Roman"/>
          <w:sz w:val="28"/>
          <w:szCs w:val="28"/>
        </w:rPr>
        <w:t>:</w:t>
      </w:r>
    </w:p>
    <w:p w:rsidR="00ED1351"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 xml:space="preserve"> Vụ Tài chính – Kế toán, Phó Chủ tịch thường trực;</w:t>
      </w:r>
    </w:p>
    <w:p w:rsidR="00ED1351"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ED1351">
        <w:rPr>
          <w:rFonts w:ascii="Times New Roman" w:hAnsi="Times New Roman" w:cs="Times New Roman"/>
          <w:sz w:val="28"/>
          <w:szCs w:val="28"/>
        </w:rPr>
        <w:t>Vụ Kiểm toán nội bộ;</w:t>
      </w:r>
    </w:p>
    <w:p w:rsidR="00ED1351"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 xml:space="preserve"> Vụ Chính sách tiền tệ;</w:t>
      </w:r>
    </w:p>
    <w:p w:rsidR="00ED1351"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 xml:space="preserve"> Vụ Tín dụng;</w:t>
      </w:r>
    </w:p>
    <w:p w:rsidR="00ED1351"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 xml:space="preserve"> Vụ Pháp chế;</w:t>
      </w:r>
    </w:p>
    <w:p w:rsidR="00ED1351"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 xml:space="preserve"> Vụ Tổ chức cán bộ;</w:t>
      </w:r>
    </w:p>
    <w:p w:rsidR="00ED1351" w:rsidRPr="00D344FE" w:rsidRDefault="00B07306" w:rsidP="009371CB">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t>
      </w:r>
      <w:r w:rsidR="00ED1351">
        <w:rPr>
          <w:rFonts w:ascii="Times New Roman" w:hAnsi="Times New Roman" w:cs="Times New Roman"/>
          <w:sz w:val="28"/>
          <w:szCs w:val="28"/>
        </w:rPr>
        <w:t xml:space="preserve"> Cục Phát hành và Kho quỹ;</w:t>
      </w:r>
    </w:p>
    <w:p w:rsidR="00574A50" w:rsidRPr="009E49BE" w:rsidRDefault="00574A50" w:rsidP="009E49BE">
      <w:pPr>
        <w:pStyle w:val="ListParagraph"/>
        <w:tabs>
          <w:tab w:val="left" w:pos="720"/>
        </w:tabs>
        <w:spacing w:after="120" w:line="240" w:lineRule="auto"/>
        <w:contextualSpacing w:val="0"/>
        <w:jc w:val="both"/>
        <w:rPr>
          <w:rFonts w:ascii="Times New Roman" w:hAnsi="Times New Roman" w:cs="Times New Roman"/>
          <w:sz w:val="28"/>
          <w:szCs w:val="28"/>
          <w:lang w:val="vi-VN"/>
        </w:rPr>
      </w:pPr>
      <w:r w:rsidRPr="009E49BE">
        <w:rPr>
          <w:rFonts w:ascii="Times New Roman" w:hAnsi="Times New Roman" w:cs="Times New Roman"/>
          <w:sz w:val="28"/>
          <w:szCs w:val="28"/>
        </w:rPr>
        <w:t>- Đại diện Bộ Tài chính (Cán bộ cấp Vụ, Cục trở lên);</w:t>
      </w:r>
    </w:p>
    <w:p w:rsidR="009E49BE" w:rsidRDefault="00574A50" w:rsidP="00574A50">
      <w:pPr>
        <w:pStyle w:val="ListParagraph"/>
        <w:tabs>
          <w:tab w:val="left" w:pos="720"/>
        </w:tabs>
        <w:spacing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74A50">
        <w:rPr>
          <w:rFonts w:ascii="Times New Roman" w:hAnsi="Times New Roman" w:cs="Times New Roman"/>
          <w:sz w:val="28"/>
          <w:szCs w:val="28"/>
        </w:rPr>
        <w:t>Đại diện Bộ Tư pháp (Cán bộ cấp Vụ, Cục trở lên)</w:t>
      </w:r>
      <w:r w:rsidR="009E49BE" w:rsidRPr="00D344FE">
        <w:rPr>
          <w:rFonts w:ascii="Times New Roman" w:hAnsi="Times New Roman" w:cs="Times New Roman"/>
          <w:sz w:val="28"/>
          <w:szCs w:val="28"/>
          <w:lang w:val="vi-VN"/>
        </w:rPr>
        <w:t>;</w:t>
      </w:r>
    </w:p>
    <w:p w:rsidR="00D71EEC" w:rsidRDefault="009E49BE" w:rsidP="00574A50">
      <w:pPr>
        <w:pStyle w:val="ListParagraph"/>
        <w:tabs>
          <w:tab w:val="left" w:pos="720"/>
        </w:tabs>
        <w:spacing w:after="120" w:line="240" w:lineRule="auto"/>
        <w:contextualSpacing w:val="0"/>
        <w:jc w:val="both"/>
        <w:rPr>
          <w:rFonts w:ascii="Times New Roman" w:hAnsi="Times New Roman" w:cs="Times New Roman"/>
          <w:sz w:val="28"/>
          <w:szCs w:val="28"/>
        </w:rPr>
      </w:pPr>
      <w:r w:rsidRPr="00D344FE">
        <w:rPr>
          <w:rFonts w:ascii="Times New Roman" w:hAnsi="Times New Roman" w:cs="Times New Roman"/>
          <w:sz w:val="28"/>
          <w:szCs w:val="28"/>
          <w:lang w:val="vi-VN"/>
        </w:rPr>
        <w:t>- Đơn vị có liên quan theo đề nghị của Vụ Tài chính – Kế toán</w:t>
      </w:r>
      <w:r w:rsidR="00574A50" w:rsidRPr="00574A50">
        <w:rPr>
          <w:rFonts w:ascii="Times New Roman" w:hAnsi="Times New Roman" w:cs="Times New Roman"/>
          <w:sz w:val="28"/>
          <w:szCs w:val="28"/>
        </w:rPr>
        <w:t>.”</w:t>
      </w:r>
      <w:r w:rsidR="009371CB">
        <w:rPr>
          <w:rFonts w:ascii="Times New Roman" w:hAnsi="Times New Roman" w:cs="Times New Roman"/>
          <w:sz w:val="28"/>
          <w:szCs w:val="28"/>
        </w:rPr>
        <w:t>.</w:t>
      </w:r>
    </w:p>
    <w:p w:rsidR="00ED1351" w:rsidRDefault="00D71EEC" w:rsidP="009371CB">
      <w:pPr>
        <w:pStyle w:val="ListParagraph"/>
        <w:numPr>
          <w:ilvl w:val="0"/>
          <w:numId w:val="16"/>
        </w:numPr>
        <w:tabs>
          <w:tab w:val="left" w:pos="1170"/>
        </w:tabs>
        <w:spacing w:after="120" w:line="240" w:lineRule="auto"/>
        <w:ind w:left="90" w:firstLine="630"/>
        <w:contextualSpacing w:val="0"/>
        <w:jc w:val="both"/>
        <w:rPr>
          <w:rFonts w:ascii="Times New Roman" w:hAnsi="Times New Roman" w:cs="Times New Roman"/>
          <w:sz w:val="28"/>
          <w:szCs w:val="28"/>
        </w:rPr>
      </w:pPr>
      <w:r>
        <w:rPr>
          <w:rFonts w:ascii="Times New Roman" w:hAnsi="Times New Roman" w:cs="Times New Roman"/>
          <w:sz w:val="28"/>
          <w:szCs w:val="28"/>
        </w:rPr>
        <w:t>Vụ Tài chính – Kế toán thực hiện chức năng giúp việc cho Hội đồng xử lý khoản tổn thất đang theo dõi ngoài bảng cân đối kế toán trong trường hợp cần thiết. Chủ tịch Hội đồng xử lý khoản tổn thất đang theo dõi ngoài bảng cân đối kế toán quyết định trưng tập một số cán bộ từ các Vụ, Cục, đơn vị thuộc Ngân hàng Nhà nước có liên quan giúp việc cho Hội đồng xử lý tổn thất theo đề nghị của Vụ Tài chính – Kế toán.</w:t>
      </w:r>
    </w:p>
    <w:p w:rsidR="00CD7B1C" w:rsidRDefault="00CD7B1C" w:rsidP="00CD7B1C">
      <w:pPr>
        <w:tabs>
          <w:tab w:val="left" w:pos="1080"/>
        </w:tabs>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037F6E">
        <w:rPr>
          <w:rFonts w:ascii="Times New Roman" w:hAnsi="Times New Roman" w:cs="Times New Roman"/>
          <w:sz w:val="28"/>
          <w:szCs w:val="28"/>
        </w:rPr>
        <w:t>b</w:t>
      </w:r>
      <w:r>
        <w:rPr>
          <w:rFonts w:ascii="Times New Roman" w:hAnsi="Times New Roman" w:cs="Times New Roman"/>
          <w:sz w:val="28"/>
          <w:szCs w:val="28"/>
        </w:rPr>
        <w:t>. Trình tự xử lý khoản tổn thất đang theo dõi ngoài bảng cân đối kế toán được thực hiện như sau:</w:t>
      </w:r>
    </w:p>
    <w:p w:rsidR="00CD7B1C" w:rsidRDefault="00CD7B1C" w:rsidP="00CD7B1C">
      <w:pPr>
        <w:pStyle w:val="ListParagraph"/>
        <w:numPr>
          <w:ilvl w:val="0"/>
          <w:numId w:val="15"/>
        </w:numPr>
        <w:tabs>
          <w:tab w:val="left" w:pos="1080"/>
        </w:tabs>
        <w:spacing w:after="120" w:line="240" w:lineRule="auto"/>
        <w:ind w:left="0" w:firstLine="720"/>
        <w:contextualSpacing w:val="0"/>
        <w:jc w:val="both"/>
        <w:rPr>
          <w:rFonts w:ascii="Times New Roman" w:hAnsi="Times New Roman" w:cs="Times New Roman"/>
          <w:sz w:val="28"/>
          <w:szCs w:val="28"/>
        </w:rPr>
      </w:pPr>
      <w:r w:rsidRPr="003C24DE">
        <w:rPr>
          <w:rFonts w:ascii="Times New Roman" w:hAnsi="Times New Roman" w:cs="Times New Roman"/>
          <w:sz w:val="28"/>
          <w:szCs w:val="28"/>
          <w:lang w:val="vi-VN"/>
        </w:rPr>
        <w:t>Sau thời gian tối thiểu 05 (năm) năm, kể từ ngày sử dụng khoản dự phòng rủi ro để xử lý tổn thất và sau khi đã thực hiện các biện pháp để thu hồi khoản tổn thất nhưng không thể thu hồi được</w:t>
      </w:r>
      <w:r>
        <w:rPr>
          <w:rFonts w:ascii="Times New Roman" w:hAnsi="Times New Roman" w:cs="Times New Roman"/>
          <w:sz w:val="28"/>
          <w:szCs w:val="28"/>
        </w:rPr>
        <w:t>, Thủ trưởng đơn vị thuộc Ngân hàng Nhà nước nơi có khoản tổn thất đang theo dõi ngoài bảng cân đối kế toán chỉ đạo các bộ phận liên quan thuyết minh, giải trình, lập biên bản, đề xuất xử lý tổn thất (kèm theo bản sao chụp hồ sơ các khoản tổn thất có xác nhận của đơn vị) và gửi Vụ Tài chính – Kế toán.</w:t>
      </w:r>
    </w:p>
    <w:p w:rsidR="00CD7B1C" w:rsidRDefault="00CD7B1C" w:rsidP="00CD7B1C">
      <w:pPr>
        <w:pStyle w:val="ListParagraph"/>
        <w:numPr>
          <w:ilvl w:val="0"/>
          <w:numId w:val="15"/>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Vụ Tài chính – Kế toán làm đầu mối tiếp nhận hồ sơ, tài liệu liên quan tới các khoản tổn thất do đơn vị thuộc Ngân hàng Nhà nước gửi về, thực hiện thẩm định, tổng hợp nguyên trạng hồ sơ và gửi xin ý kiến các đơn vị có thành viên trong Hội đồng xử lý khoản tổn thất đang theo dõi ngoài bảng cân đối kế toán quy định tại khoản 2</w:t>
      </w:r>
      <w:r w:rsidR="00037F6E">
        <w:rPr>
          <w:rFonts w:ascii="Times New Roman" w:hAnsi="Times New Roman" w:cs="Times New Roman"/>
          <w:sz w:val="28"/>
          <w:szCs w:val="28"/>
        </w:rPr>
        <w:t>a</w:t>
      </w:r>
      <w:r>
        <w:rPr>
          <w:rFonts w:ascii="Times New Roman" w:hAnsi="Times New Roman" w:cs="Times New Roman"/>
          <w:sz w:val="28"/>
          <w:szCs w:val="28"/>
        </w:rPr>
        <w:t xml:space="preserve"> Điều này.</w:t>
      </w:r>
    </w:p>
    <w:p w:rsidR="00CD7B1C" w:rsidRPr="000615AB" w:rsidRDefault="00CD7B1C" w:rsidP="00CD7B1C">
      <w:pPr>
        <w:pStyle w:val="ListParagraph"/>
        <w:numPr>
          <w:ilvl w:val="0"/>
          <w:numId w:val="15"/>
        </w:numPr>
        <w:tabs>
          <w:tab w:val="left" w:pos="1080"/>
        </w:tabs>
        <w:spacing w:after="120" w:line="240" w:lineRule="auto"/>
        <w:ind w:left="0" w:firstLine="720"/>
        <w:contextualSpacing w:val="0"/>
        <w:jc w:val="both"/>
        <w:rPr>
          <w:rFonts w:ascii="Times New Roman" w:hAnsi="Times New Roman" w:cs="Times New Roman"/>
          <w:spacing w:val="-2"/>
          <w:sz w:val="28"/>
          <w:szCs w:val="28"/>
        </w:rPr>
      </w:pPr>
      <w:r w:rsidRPr="000615AB">
        <w:rPr>
          <w:rFonts w:ascii="Times New Roman" w:hAnsi="Times New Roman" w:cs="Times New Roman"/>
          <w:spacing w:val="-2"/>
          <w:sz w:val="28"/>
          <w:szCs w:val="28"/>
        </w:rPr>
        <w:t>Vụ Tài chính – Kế toán xem xét và có văn bản đề nghị Vụ Tổ chức cán bộ trình Thống đốc Ngân hàng Nhà nước thành lập Hội đồng xử lý khoản tổn thất đang theo dõi ngoài bảng cân đối kế toán theo quy định tại Khoản 2</w:t>
      </w:r>
      <w:r w:rsidR="001669E7" w:rsidRPr="000615AB">
        <w:rPr>
          <w:rFonts w:ascii="Times New Roman" w:hAnsi="Times New Roman" w:cs="Times New Roman"/>
          <w:spacing w:val="-2"/>
          <w:sz w:val="28"/>
          <w:szCs w:val="28"/>
        </w:rPr>
        <w:t>a</w:t>
      </w:r>
      <w:r w:rsidRPr="000615AB">
        <w:rPr>
          <w:rFonts w:ascii="Times New Roman" w:hAnsi="Times New Roman" w:cs="Times New Roman"/>
          <w:spacing w:val="-2"/>
          <w:sz w:val="28"/>
          <w:szCs w:val="28"/>
        </w:rPr>
        <w:t xml:space="preserve"> Điều này.</w:t>
      </w:r>
    </w:p>
    <w:p w:rsidR="00CD7B1C" w:rsidRDefault="00CD7B1C" w:rsidP="00CD7B1C">
      <w:pPr>
        <w:pStyle w:val="ListParagraph"/>
        <w:numPr>
          <w:ilvl w:val="0"/>
          <w:numId w:val="15"/>
        </w:numPr>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Trên cơ sở hồ sơ, tài liệu liên quan quy định tại Điều 10 Thông tư này</w:t>
      </w:r>
      <w:r w:rsidR="00B0348D">
        <w:rPr>
          <w:rFonts w:ascii="Times New Roman" w:hAnsi="Times New Roman" w:cs="Times New Roman"/>
          <w:sz w:val="28"/>
          <w:szCs w:val="28"/>
        </w:rPr>
        <w:t xml:space="preserve"> và các văn bản chứng minh các khoản tổn thất là không thể thu hồi</w:t>
      </w:r>
      <w:r>
        <w:rPr>
          <w:rFonts w:ascii="Times New Roman" w:hAnsi="Times New Roman" w:cs="Times New Roman"/>
          <w:sz w:val="28"/>
          <w:szCs w:val="28"/>
        </w:rPr>
        <w:t xml:space="preserve">, ý kiến thẩm </w:t>
      </w:r>
      <w:r>
        <w:rPr>
          <w:rFonts w:ascii="Times New Roman" w:hAnsi="Times New Roman" w:cs="Times New Roman"/>
          <w:sz w:val="28"/>
          <w:szCs w:val="28"/>
        </w:rPr>
        <w:lastRenderedPageBreak/>
        <w:t>định của Vụ Tài chính – Kế toán và ý kiến tham gia của các đơn vị có liên quan, Hội đồng xử lý khoản tổn thất đang theo dõi ngoài bảng cân đối kế toán phân tích, đánh giá, đề xuất phương án xử lý và trình Thống đốc</w:t>
      </w:r>
      <w:r w:rsidR="005669A8">
        <w:rPr>
          <w:rFonts w:ascii="Times New Roman" w:hAnsi="Times New Roman" w:cs="Times New Roman"/>
          <w:sz w:val="28"/>
          <w:szCs w:val="28"/>
        </w:rPr>
        <w:t xml:space="preserve"> Ngân hàng Nhà nước lấy ý kiến Bộ Tài chính trước khi</w:t>
      </w:r>
      <w:r w:rsidR="008D4F3F">
        <w:rPr>
          <w:rFonts w:ascii="Times New Roman" w:hAnsi="Times New Roman" w:cs="Times New Roman"/>
          <w:sz w:val="28"/>
          <w:szCs w:val="28"/>
        </w:rPr>
        <w:t xml:space="preserve"> Thống đốc Ngân hàng Nhà nước</w:t>
      </w:r>
      <w:r>
        <w:rPr>
          <w:rFonts w:ascii="Times New Roman" w:hAnsi="Times New Roman" w:cs="Times New Roman"/>
          <w:sz w:val="28"/>
          <w:szCs w:val="28"/>
        </w:rPr>
        <w:t xml:space="preserve"> xem xét, quyết định</w:t>
      </w:r>
      <w:r w:rsidRPr="00CE484F">
        <w:rPr>
          <w:rFonts w:ascii="Times New Roman" w:hAnsi="Times New Roman" w:cs="Times New Roman"/>
          <w:sz w:val="28"/>
          <w:szCs w:val="28"/>
          <w:lang w:val="vi-VN"/>
        </w:rPr>
        <w:t xml:space="preserve"> </w:t>
      </w:r>
      <w:r w:rsidRPr="003C24DE">
        <w:rPr>
          <w:rFonts w:ascii="Times New Roman" w:hAnsi="Times New Roman" w:cs="Times New Roman"/>
          <w:sz w:val="28"/>
          <w:szCs w:val="28"/>
          <w:lang w:val="vi-VN"/>
        </w:rPr>
        <w:t>xuất toán</w:t>
      </w:r>
      <w:r>
        <w:rPr>
          <w:rFonts w:ascii="Times New Roman" w:hAnsi="Times New Roman" w:cs="Times New Roman"/>
          <w:sz w:val="28"/>
          <w:szCs w:val="28"/>
        </w:rPr>
        <w:t xml:space="preserve"> đối với từng khoản</w:t>
      </w:r>
      <w:r w:rsidRPr="003C24DE">
        <w:rPr>
          <w:rFonts w:ascii="Times New Roman" w:hAnsi="Times New Roman" w:cs="Times New Roman"/>
          <w:sz w:val="28"/>
          <w:szCs w:val="28"/>
          <w:lang w:val="vi-VN"/>
        </w:rPr>
        <w:t xml:space="preserve"> khoản tổn thất đã xử lý bằng khoản dự phòng rủi ro ra khỏi tài khoản ngoài bảng cân đối kế toán</w:t>
      </w:r>
      <w:r>
        <w:rPr>
          <w:rFonts w:ascii="Times New Roman" w:hAnsi="Times New Roman" w:cs="Times New Roman"/>
          <w:sz w:val="28"/>
          <w:szCs w:val="28"/>
        </w:rPr>
        <w:t>.</w:t>
      </w:r>
    </w:p>
    <w:p w:rsidR="004868C4" w:rsidRDefault="004868C4" w:rsidP="004868C4">
      <w:pPr>
        <w:pStyle w:val="ListParagraph"/>
        <w:tabs>
          <w:tab w:val="left" w:pos="108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Riêng </w:t>
      </w:r>
      <w:r w:rsidR="00BE0CDC">
        <w:rPr>
          <w:rFonts w:ascii="Times New Roman" w:hAnsi="Times New Roman" w:cs="Times New Roman"/>
          <w:sz w:val="28"/>
          <w:szCs w:val="28"/>
        </w:rPr>
        <w:t>đ</w:t>
      </w:r>
      <w:r>
        <w:rPr>
          <w:rFonts w:ascii="Times New Roman" w:hAnsi="Times New Roman" w:cs="Times New Roman"/>
          <w:sz w:val="28"/>
          <w:szCs w:val="28"/>
        </w:rPr>
        <w:t>ối với các khoản nợ tại điểm a Khoản 3 Điều 9 và khoản thanh toán với Nhà nước và Ngân sách Nhà nước tại khoản 4 Điều 9 Thông tư này, Hội đồng xử lý</w:t>
      </w:r>
      <w:r w:rsidR="00BE0CDC">
        <w:rPr>
          <w:rFonts w:ascii="Times New Roman" w:hAnsi="Times New Roman" w:cs="Times New Roman"/>
          <w:sz w:val="28"/>
          <w:szCs w:val="28"/>
        </w:rPr>
        <w:t xml:space="preserve"> khoản</w:t>
      </w:r>
      <w:r>
        <w:rPr>
          <w:rFonts w:ascii="Times New Roman" w:hAnsi="Times New Roman" w:cs="Times New Roman"/>
          <w:sz w:val="28"/>
          <w:szCs w:val="28"/>
        </w:rPr>
        <w:t xml:space="preserve"> tổn thất</w:t>
      </w:r>
      <w:r w:rsidR="00BE0CDC">
        <w:rPr>
          <w:rFonts w:ascii="Times New Roman" w:hAnsi="Times New Roman" w:cs="Times New Roman"/>
          <w:sz w:val="28"/>
          <w:szCs w:val="28"/>
        </w:rPr>
        <w:t xml:space="preserve"> đang theo dõi ngoài bảng cân đối kế toán</w:t>
      </w:r>
      <w:r>
        <w:rPr>
          <w:rFonts w:ascii="Times New Roman" w:hAnsi="Times New Roman" w:cs="Times New Roman"/>
          <w:sz w:val="28"/>
          <w:szCs w:val="28"/>
        </w:rPr>
        <w:t xml:space="preserve"> phải báo cáo, trình Thống đốc Ngân hàng Nhà nước lấy ý kiến Bộ Tài chính và trình Thủ tướng Chính phủ xem xét, quyết định trước khi lập phương án xử lý.</w:t>
      </w:r>
    </w:p>
    <w:p w:rsidR="00CD7B1C" w:rsidRPr="00CD7B1C" w:rsidRDefault="00CD7B1C" w:rsidP="00CD7B1C">
      <w:pPr>
        <w:tabs>
          <w:tab w:val="left" w:pos="1080"/>
        </w:tabs>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 </w:t>
      </w:r>
      <w:r w:rsidRPr="009E4AEC">
        <w:rPr>
          <w:rFonts w:ascii="Times New Roman" w:hAnsi="Times New Roman" w:cs="Times New Roman"/>
          <w:sz w:val="28"/>
          <w:szCs w:val="28"/>
        </w:rPr>
        <w:t>Căn cứ Quyết định của Thống đốc về việc xuất toán khoản tổn thất đã xử lý bằng khoản dự phòng rủi ro ra khỏi tài khoản ngoài bảng cân đối kế toán, Vụ Tài chính – Kế toán phối hợp với các đơn vị liên quan thực hiện hạch toán xuất toán khoản tổn thất đã xử lý bằng khoản dự phòng rủi ro ra khỏi tài khoản ngoài bảng cân đối kế toán.</w:t>
      </w:r>
    </w:p>
    <w:p w:rsidR="005408E6" w:rsidRDefault="00B07306" w:rsidP="006840E5">
      <w:pPr>
        <w:tabs>
          <w:tab w:val="left" w:pos="1170"/>
        </w:tabs>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2c.</w:t>
      </w:r>
      <w:r w:rsidR="006840E5">
        <w:rPr>
          <w:rFonts w:ascii="Times New Roman" w:hAnsi="Times New Roman" w:cs="Times New Roman"/>
          <w:sz w:val="28"/>
          <w:szCs w:val="28"/>
        </w:rPr>
        <w:t xml:space="preserve"> </w:t>
      </w:r>
      <w:r>
        <w:rPr>
          <w:rFonts w:ascii="Times New Roman" w:hAnsi="Times New Roman" w:cs="Times New Roman"/>
          <w:sz w:val="28"/>
          <w:szCs w:val="28"/>
        </w:rPr>
        <w:t>Nhiệm vụ của Hội đồng xử lý khoản tổn thất đang theo dõi ngoài bảng cân đối kế toán</w:t>
      </w:r>
    </w:p>
    <w:p w:rsidR="00B07306" w:rsidRDefault="00B07306" w:rsidP="009371CB">
      <w:pPr>
        <w:pStyle w:val="ListParagraph"/>
        <w:numPr>
          <w:ilvl w:val="0"/>
          <w:numId w:val="17"/>
        </w:numPr>
        <w:tabs>
          <w:tab w:val="left" w:pos="1170"/>
        </w:tabs>
        <w:spacing w:after="120" w:line="240" w:lineRule="auto"/>
        <w:contextualSpacing w:val="0"/>
        <w:jc w:val="both"/>
        <w:rPr>
          <w:rFonts w:ascii="Times New Roman" w:hAnsi="Times New Roman" w:cs="Times New Roman"/>
          <w:sz w:val="28"/>
          <w:szCs w:val="28"/>
        </w:rPr>
      </w:pPr>
      <w:r w:rsidRPr="00B07306">
        <w:rPr>
          <w:rFonts w:ascii="Times New Roman" w:hAnsi="Times New Roman" w:cs="Times New Roman"/>
          <w:sz w:val="28"/>
          <w:szCs w:val="28"/>
        </w:rPr>
        <w:t xml:space="preserve">Thực hiện các nhiệm vụ theo quy định tại </w:t>
      </w:r>
      <w:r>
        <w:rPr>
          <w:rFonts w:ascii="Times New Roman" w:hAnsi="Times New Roman" w:cs="Times New Roman"/>
          <w:sz w:val="28"/>
          <w:szCs w:val="28"/>
        </w:rPr>
        <w:t>điểm d Khoản 2</w:t>
      </w:r>
      <w:r w:rsidR="00037F6E">
        <w:rPr>
          <w:rFonts w:ascii="Times New Roman" w:hAnsi="Times New Roman" w:cs="Times New Roman"/>
          <w:sz w:val="28"/>
          <w:szCs w:val="28"/>
        </w:rPr>
        <w:t>b</w:t>
      </w:r>
      <w:r>
        <w:rPr>
          <w:rFonts w:ascii="Times New Roman" w:hAnsi="Times New Roman" w:cs="Times New Roman"/>
          <w:sz w:val="28"/>
          <w:szCs w:val="28"/>
        </w:rPr>
        <w:t xml:space="preserve"> Điều này.</w:t>
      </w:r>
    </w:p>
    <w:p w:rsidR="00B07306" w:rsidRDefault="00B07306" w:rsidP="009371CB">
      <w:pPr>
        <w:pStyle w:val="ListParagraph"/>
        <w:numPr>
          <w:ilvl w:val="0"/>
          <w:numId w:val="17"/>
        </w:numPr>
        <w:tabs>
          <w:tab w:val="left" w:pos="117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Kiểm tra việc thực hiện xử lý khoản tổn thất đang theo dõi ngoài bảng cân đối kế toán sau khi đã có quyết định xử lý của cấp có thẩm quyền.</w:t>
      </w:r>
    </w:p>
    <w:p w:rsidR="00B07306" w:rsidRPr="00B07306" w:rsidRDefault="00B07306" w:rsidP="009371CB">
      <w:pPr>
        <w:pStyle w:val="ListParagraph"/>
        <w:numPr>
          <w:ilvl w:val="0"/>
          <w:numId w:val="17"/>
        </w:numPr>
        <w:tabs>
          <w:tab w:val="left" w:pos="117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Xử lý các nội dung khác có liên quan đến việc xử lý khoản tổn thất đang theo dõi ngoài bảng cân đối kế toán.</w:t>
      </w:r>
      <w:r w:rsidR="00F43F46">
        <w:rPr>
          <w:rFonts w:ascii="Times New Roman" w:hAnsi="Times New Roman" w:cs="Times New Roman"/>
          <w:sz w:val="28"/>
          <w:szCs w:val="28"/>
        </w:rPr>
        <w:t>”</w:t>
      </w:r>
    </w:p>
    <w:p w:rsidR="006530B4" w:rsidRPr="00297550" w:rsidRDefault="00A01E59" w:rsidP="0053072B">
      <w:pPr>
        <w:tabs>
          <w:tab w:val="left" w:pos="990"/>
        </w:tabs>
        <w:spacing w:after="120" w:line="240" w:lineRule="auto"/>
        <w:ind w:firstLine="720"/>
        <w:jc w:val="both"/>
        <w:rPr>
          <w:rFonts w:ascii="Times New Roman" w:hAnsi="Times New Roman" w:cs="Times New Roman"/>
          <w:b/>
          <w:sz w:val="28"/>
          <w:szCs w:val="28"/>
        </w:rPr>
      </w:pPr>
      <w:r w:rsidRPr="00297550">
        <w:rPr>
          <w:rFonts w:ascii="Times New Roman" w:hAnsi="Times New Roman" w:cs="Times New Roman"/>
          <w:b/>
          <w:sz w:val="28"/>
          <w:szCs w:val="28"/>
        </w:rPr>
        <w:t xml:space="preserve">Điều </w:t>
      </w:r>
      <w:r w:rsidR="00910A38">
        <w:rPr>
          <w:rFonts w:ascii="Times New Roman" w:hAnsi="Times New Roman" w:cs="Times New Roman"/>
          <w:b/>
          <w:sz w:val="28"/>
          <w:szCs w:val="28"/>
        </w:rPr>
        <w:t>2</w:t>
      </w:r>
      <w:r w:rsidRPr="00297550">
        <w:rPr>
          <w:rFonts w:ascii="Times New Roman" w:hAnsi="Times New Roman" w:cs="Times New Roman"/>
          <w:b/>
          <w:sz w:val="28"/>
          <w:szCs w:val="28"/>
        </w:rPr>
        <w:t xml:space="preserve">. </w:t>
      </w:r>
      <w:r w:rsidR="006530B4" w:rsidRPr="00297550">
        <w:rPr>
          <w:rFonts w:ascii="Times New Roman" w:hAnsi="Times New Roman" w:cs="Times New Roman"/>
          <w:b/>
          <w:sz w:val="28"/>
          <w:szCs w:val="28"/>
        </w:rPr>
        <w:t xml:space="preserve">Trách nhiệm </w:t>
      </w:r>
      <w:r w:rsidR="003C24DE">
        <w:rPr>
          <w:rFonts w:ascii="Times New Roman" w:hAnsi="Times New Roman" w:cs="Times New Roman"/>
          <w:b/>
          <w:sz w:val="28"/>
          <w:szCs w:val="28"/>
        </w:rPr>
        <w:t>tổ chức thực hiện</w:t>
      </w:r>
    </w:p>
    <w:p w:rsidR="00C129CE" w:rsidRPr="00297550" w:rsidRDefault="003C24DE" w:rsidP="0053072B">
      <w:pPr>
        <w:tabs>
          <w:tab w:val="left" w:pos="990"/>
        </w:tabs>
        <w:spacing w:after="120" w:line="240" w:lineRule="auto"/>
        <w:ind w:firstLine="720"/>
        <w:jc w:val="both"/>
        <w:rPr>
          <w:rFonts w:ascii="Times New Roman" w:hAnsi="Times New Roman" w:cs="Times New Roman"/>
          <w:spacing w:val="-4"/>
          <w:sz w:val="28"/>
          <w:szCs w:val="28"/>
        </w:rPr>
      </w:pPr>
      <w:r>
        <w:rPr>
          <w:rFonts w:ascii="Times New Roman" w:hAnsi="Times New Roman" w:cs="Times New Roman"/>
          <w:sz w:val="28"/>
          <w:szCs w:val="28"/>
        </w:rPr>
        <w:t xml:space="preserve">Chánh Văn phòng, Vụ trưởng </w:t>
      </w:r>
      <w:r w:rsidR="006530B4" w:rsidRPr="00297550">
        <w:rPr>
          <w:rFonts w:ascii="Times New Roman" w:hAnsi="Times New Roman" w:cs="Times New Roman"/>
          <w:sz w:val="28"/>
          <w:szCs w:val="28"/>
        </w:rPr>
        <w:t>Vụ Tài chính</w:t>
      </w:r>
      <w:r w:rsidR="00C67BC7">
        <w:rPr>
          <w:rFonts w:ascii="Times New Roman" w:hAnsi="Times New Roman" w:cs="Times New Roman"/>
          <w:sz w:val="28"/>
          <w:szCs w:val="28"/>
        </w:rPr>
        <w:t xml:space="preserve"> </w:t>
      </w:r>
      <w:r w:rsidR="006530B4" w:rsidRPr="00297550">
        <w:rPr>
          <w:rFonts w:ascii="Times New Roman" w:hAnsi="Times New Roman" w:cs="Times New Roman"/>
          <w:sz w:val="28"/>
          <w:szCs w:val="28"/>
        </w:rPr>
        <w:t>- Kế toán</w:t>
      </w:r>
      <w:r>
        <w:rPr>
          <w:rFonts w:ascii="Times New Roman" w:hAnsi="Times New Roman" w:cs="Times New Roman"/>
          <w:sz w:val="28"/>
          <w:szCs w:val="28"/>
        </w:rPr>
        <w:t xml:space="preserve">, Thủ trưởng các đơn vị Ngân hàng Nhà nước, Giám đốc Ngân hàng Nhà nước chi nhánh tỉnh, </w:t>
      </w:r>
      <w:r w:rsidRPr="00155CE5">
        <w:rPr>
          <w:rFonts w:ascii="Times New Roman" w:hAnsi="Times New Roman" w:cs="Times New Roman"/>
          <w:spacing w:val="-6"/>
          <w:sz w:val="28"/>
          <w:szCs w:val="28"/>
        </w:rPr>
        <w:t>thành phố trực thuộc Trung ương chịu trách nhiệm tổ chức thi hành Thông tư này.</w:t>
      </w:r>
    </w:p>
    <w:p w:rsidR="003C1B4D" w:rsidRPr="00297550" w:rsidRDefault="003C1B4D" w:rsidP="0053072B">
      <w:pPr>
        <w:tabs>
          <w:tab w:val="left" w:pos="990"/>
        </w:tabs>
        <w:spacing w:after="120" w:line="240" w:lineRule="auto"/>
        <w:ind w:firstLine="720"/>
        <w:jc w:val="both"/>
        <w:rPr>
          <w:rFonts w:ascii="Times New Roman" w:hAnsi="Times New Roman" w:cs="Times New Roman"/>
          <w:sz w:val="28"/>
          <w:szCs w:val="28"/>
        </w:rPr>
      </w:pPr>
      <w:r w:rsidRPr="00297550">
        <w:rPr>
          <w:rFonts w:ascii="Times New Roman" w:hAnsi="Times New Roman" w:cs="Times New Roman"/>
          <w:b/>
          <w:sz w:val="28"/>
          <w:szCs w:val="28"/>
        </w:rPr>
        <w:t xml:space="preserve">Điều </w:t>
      </w:r>
      <w:r w:rsidR="00910A38">
        <w:rPr>
          <w:rFonts w:ascii="Times New Roman" w:hAnsi="Times New Roman" w:cs="Times New Roman"/>
          <w:b/>
          <w:sz w:val="28"/>
          <w:szCs w:val="28"/>
        </w:rPr>
        <w:t>3</w:t>
      </w:r>
      <w:r w:rsidRPr="00297550">
        <w:rPr>
          <w:rFonts w:ascii="Times New Roman" w:hAnsi="Times New Roman" w:cs="Times New Roman"/>
          <w:b/>
          <w:sz w:val="28"/>
          <w:szCs w:val="28"/>
        </w:rPr>
        <w:t xml:space="preserve">. </w:t>
      </w:r>
      <w:r w:rsidR="00552283">
        <w:rPr>
          <w:rFonts w:ascii="Times New Roman" w:hAnsi="Times New Roman" w:cs="Times New Roman"/>
          <w:b/>
          <w:sz w:val="28"/>
          <w:szCs w:val="28"/>
        </w:rPr>
        <w:t>Hiệu lực thi hành</w:t>
      </w:r>
    </w:p>
    <w:p w:rsidR="00FD4CE5" w:rsidRPr="00297550" w:rsidRDefault="003C1B4D" w:rsidP="00C53B39">
      <w:pPr>
        <w:tabs>
          <w:tab w:val="left" w:pos="990"/>
        </w:tabs>
        <w:spacing w:after="120" w:line="240" w:lineRule="auto"/>
        <w:ind w:firstLine="720"/>
        <w:jc w:val="both"/>
        <w:rPr>
          <w:rFonts w:ascii="Times New Roman" w:hAnsi="Times New Roman" w:cs="Times New Roman"/>
          <w:sz w:val="2"/>
          <w:szCs w:val="28"/>
        </w:rPr>
      </w:pPr>
      <w:r w:rsidRPr="00297550">
        <w:rPr>
          <w:rFonts w:ascii="Times New Roman" w:hAnsi="Times New Roman" w:cs="Times New Roman"/>
          <w:sz w:val="28"/>
          <w:szCs w:val="28"/>
        </w:rPr>
        <w:t xml:space="preserve">Thông tư này có hiệu lực thi hành kể từ </w:t>
      </w:r>
      <w:r w:rsidR="00DC5A7E" w:rsidRPr="00297550">
        <w:rPr>
          <w:rFonts w:ascii="Times New Roman" w:hAnsi="Times New Roman" w:cs="Times New Roman"/>
          <w:sz w:val="28"/>
          <w:szCs w:val="28"/>
        </w:rPr>
        <w:t xml:space="preserve">ngày </w:t>
      </w:r>
      <w:r w:rsidR="003C24DE">
        <w:rPr>
          <w:rFonts w:ascii="Times New Roman" w:hAnsi="Times New Roman" w:cs="Times New Roman"/>
          <w:sz w:val="28"/>
          <w:szCs w:val="28"/>
        </w:rPr>
        <w:t xml:space="preserve">    </w:t>
      </w:r>
      <w:r w:rsidR="00DC5A7E" w:rsidRPr="00297550">
        <w:rPr>
          <w:rFonts w:ascii="Times New Roman" w:hAnsi="Times New Roman" w:cs="Times New Roman"/>
          <w:sz w:val="28"/>
          <w:szCs w:val="28"/>
        </w:rPr>
        <w:t xml:space="preserve"> tháng </w:t>
      </w:r>
      <w:r w:rsidR="003C24DE">
        <w:rPr>
          <w:rFonts w:ascii="Times New Roman" w:hAnsi="Times New Roman" w:cs="Times New Roman"/>
          <w:sz w:val="28"/>
          <w:szCs w:val="28"/>
        </w:rPr>
        <w:t xml:space="preserve">   </w:t>
      </w:r>
      <w:r w:rsidR="00DC5A7E" w:rsidRPr="00297550">
        <w:rPr>
          <w:rFonts w:ascii="Times New Roman" w:hAnsi="Times New Roman" w:cs="Times New Roman"/>
          <w:sz w:val="28"/>
          <w:szCs w:val="28"/>
        </w:rPr>
        <w:t xml:space="preserve"> </w:t>
      </w:r>
      <w:r w:rsidRPr="00297550">
        <w:rPr>
          <w:rFonts w:ascii="Times New Roman" w:hAnsi="Times New Roman" w:cs="Times New Roman"/>
          <w:sz w:val="28"/>
          <w:szCs w:val="28"/>
        </w:rPr>
        <w:t xml:space="preserve">năm </w:t>
      </w:r>
      <w:r w:rsidR="00AC2A86" w:rsidRPr="00297550">
        <w:rPr>
          <w:rFonts w:ascii="Times New Roman" w:hAnsi="Times New Roman" w:cs="Times New Roman"/>
          <w:sz w:val="28"/>
          <w:szCs w:val="28"/>
        </w:rPr>
        <w:t>202</w:t>
      </w:r>
      <w:r w:rsidR="003C24DE">
        <w:rPr>
          <w:rFonts w:ascii="Times New Roman" w:hAnsi="Times New Roman" w:cs="Times New Roman"/>
          <w:sz w:val="28"/>
          <w:szCs w:val="28"/>
        </w:rPr>
        <w:t>1</w:t>
      </w:r>
      <w:r w:rsidR="00820E9E">
        <w:rPr>
          <w:rFonts w:ascii="Times New Roman" w:hAnsi="Times New Roman" w:cs="Times New Roman"/>
          <w:sz w:val="28"/>
          <w:szCs w:val="28"/>
        </w:rPr>
        <w:t>.</w:t>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r w:rsidR="00FD4CE5" w:rsidRPr="00297550">
        <w:rPr>
          <w:rFonts w:ascii="Times New Roman" w:hAnsi="Times New Roman" w:cs="Times New Roman"/>
          <w:sz w:val="28"/>
          <w:szCs w:val="28"/>
        </w:rPr>
        <w:softHyphen/>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3150D" w:rsidRPr="005B2368" w:rsidTr="00254F85">
        <w:trPr>
          <w:trHeight w:val="67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5CE5" w:rsidRDefault="00C3150D" w:rsidP="00155CE5">
            <w:pPr>
              <w:spacing w:after="0" w:line="240" w:lineRule="auto"/>
              <w:contextualSpacing/>
              <w:rPr>
                <w:rFonts w:ascii="Times New Roman" w:eastAsia="Times New Roman" w:hAnsi="Times New Roman" w:cs="Times New Roman"/>
                <w:szCs w:val="24"/>
              </w:rPr>
            </w:pPr>
            <w:r w:rsidRPr="00297550">
              <w:rPr>
                <w:rFonts w:ascii="Times New Roman" w:eastAsia="Times New Roman" w:hAnsi="Times New Roman" w:cs="Times New Roman"/>
                <w:szCs w:val="24"/>
              </w:rPr>
              <w:t> </w:t>
            </w:r>
            <w:r w:rsidRPr="00297550">
              <w:rPr>
                <w:rFonts w:ascii="Times New Roman" w:eastAsia="Times New Roman" w:hAnsi="Times New Roman" w:cs="Times New Roman"/>
                <w:b/>
                <w:bCs/>
                <w:i/>
                <w:iCs/>
                <w:sz w:val="24"/>
                <w:szCs w:val="24"/>
              </w:rPr>
              <w:t>Nơ</w:t>
            </w:r>
            <w:r w:rsidRPr="00297550">
              <w:rPr>
                <w:rFonts w:ascii="Times New Roman" w:eastAsia="Times New Roman" w:hAnsi="Times New Roman" w:cs="Times New Roman"/>
                <w:b/>
                <w:bCs/>
                <w:i/>
                <w:iCs/>
                <w:sz w:val="24"/>
                <w:szCs w:val="24"/>
                <w:lang w:val="vi-VN"/>
              </w:rPr>
              <w:t>i nhận:</w:t>
            </w:r>
            <w:r w:rsidRPr="00297550">
              <w:rPr>
                <w:rFonts w:ascii="Times New Roman" w:eastAsia="Times New Roman" w:hAnsi="Times New Roman" w:cs="Times New Roman"/>
                <w:b/>
                <w:bCs/>
                <w:i/>
                <w:iCs/>
                <w:szCs w:val="24"/>
              </w:rPr>
              <w:br/>
            </w:r>
            <w:r w:rsidRPr="00297550">
              <w:rPr>
                <w:rFonts w:ascii="Times New Roman" w:eastAsia="Times New Roman" w:hAnsi="Times New Roman" w:cs="Times New Roman"/>
                <w:szCs w:val="24"/>
              </w:rPr>
              <w:t xml:space="preserve">- </w:t>
            </w:r>
            <w:r w:rsidRPr="00297550">
              <w:rPr>
                <w:rFonts w:ascii="Times New Roman" w:eastAsia="Times New Roman" w:hAnsi="Times New Roman" w:cs="Times New Roman"/>
                <w:szCs w:val="24"/>
                <w:lang w:val="vi-VN"/>
              </w:rPr>
              <w:t>Nh</w:t>
            </w:r>
            <w:r w:rsidRPr="00297550">
              <w:rPr>
                <w:rFonts w:ascii="Times New Roman" w:eastAsia="Times New Roman" w:hAnsi="Times New Roman" w:cs="Times New Roman"/>
                <w:szCs w:val="24"/>
              </w:rPr>
              <w:t xml:space="preserve">ư </w:t>
            </w:r>
            <w:r w:rsidRPr="00297550">
              <w:rPr>
                <w:rFonts w:ascii="Times New Roman" w:eastAsia="Times New Roman" w:hAnsi="Times New Roman" w:cs="Times New Roman"/>
                <w:szCs w:val="24"/>
                <w:lang w:val="vi-VN"/>
              </w:rPr>
              <w:t xml:space="preserve">Điều </w:t>
            </w:r>
            <w:r w:rsidR="00C3007A">
              <w:rPr>
                <w:rFonts w:ascii="Times New Roman" w:eastAsia="Times New Roman" w:hAnsi="Times New Roman" w:cs="Times New Roman"/>
                <w:szCs w:val="24"/>
              </w:rPr>
              <w:t>4</w:t>
            </w:r>
            <w:r w:rsidRPr="00297550">
              <w:rPr>
                <w:rFonts w:ascii="Times New Roman" w:eastAsia="Times New Roman" w:hAnsi="Times New Roman" w:cs="Times New Roman"/>
                <w:szCs w:val="24"/>
              </w:rPr>
              <w:t>;</w:t>
            </w:r>
            <w:r w:rsidRPr="00297550">
              <w:rPr>
                <w:rFonts w:ascii="Times New Roman" w:eastAsia="Times New Roman" w:hAnsi="Times New Roman" w:cs="Times New Roman"/>
                <w:szCs w:val="24"/>
              </w:rPr>
              <w:br/>
              <w:t xml:space="preserve">- </w:t>
            </w:r>
            <w:r w:rsidRPr="00297550">
              <w:rPr>
                <w:rFonts w:ascii="Times New Roman" w:eastAsia="Times New Roman" w:hAnsi="Times New Roman" w:cs="Times New Roman"/>
                <w:szCs w:val="24"/>
                <w:lang w:val="vi-VN"/>
              </w:rPr>
              <w:t>Ban Lãnh đạo NHNN</w:t>
            </w:r>
            <w:r w:rsidRPr="00297550">
              <w:rPr>
                <w:rFonts w:ascii="Times New Roman" w:eastAsia="Times New Roman" w:hAnsi="Times New Roman" w:cs="Times New Roman"/>
                <w:i/>
                <w:iCs/>
                <w:szCs w:val="24"/>
              </w:rPr>
              <w:t>;</w:t>
            </w:r>
            <w:r w:rsidRPr="00297550">
              <w:rPr>
                <w:rFonts w:ascii="Times New Roman" w:eastAsia="Times New Roman" w:hAnsi="Times New Roman" w:cs="Times New Roman"/>
                <w:i/>
                <w:iCs/>
                <w:szCs w:val="24"/>
              </w:rPr>
              <w:br/>
            </w:r>
            <w:r w:rsidRPr="00297550">
              <w:rPr>
                <w:rFonts w:ascii="Times New Roman" w:eastAsia="Times New Roman" w:hAnsi="Times New Roman" w:cs="Times New Roman"/>
                <w:szCs w:val="24"/>
              </w:rPr>
              <w:t xml:space="preserve">- </w:t>
            </w:r>
            <w:r w:rsidRPr="00297550">
              <w:rPr>
                <w:rFonts w:ascii="Times New Roman" w:eastAsia="Times New Roman" w:hAnsi="Times New Roman" w:cs="Times New Roman"/>
                <w:szCs w:val="24"/>
                <w:lang w:val="vi-VN"/>
              </w:rPr>
              <w:t>V</w:t>
            </w:r>
            <w:r w:rsidRPr="00297550">
              <w:rPr>
                <w:rFonts w:ascii="Times New Roman" w:eastAsia="Times New Roman" w:hAnsi="Times New Roman" w:cs="Times New Roman"/>
                <w:szCs w:val="24"/>
              </w:rPr>
              <w:t>ă</w:t>
            </w:r>
            <w:r w:rsidRPr="00297550">
              <w:rPr>
                <w:rFonts w:ascii="Times New Roman" w:eastAsia="Times New Roman" w:hAnsi="Times New Roman" w:cs="Times New Roman"/>
                <w:szCs w:val="24"/>
                <w:lang w:val="vi-VN"/>
              </w:rPr>
              <w:t>n phòng Chính phủ;</w:t>
            </w:r>
          </w:p>
          <w:p w:rsidR="00C3150D" w:rsidRPr="00155CE5" w:rsidRDefault="003C24DE" w:rsidP="00155CE5">
            <w:pPr>
              <w:pStyle w:val="ListParagraph"/>
              <w:numPr>
                <w:ilvl w:val="0"/>
                <w:numId w:val="14"/>
              </w:numPr>
              <w:tabs>
                <w:tab w:val="left" w:pos="180"/>
              </w:tabs>
              <w:spacing w:after="0" w:line="240" w:lineRule="auto"/>
              <w:ind w:left="0" w:firstLine="0"/>
              <w:rPr>
                <w:rFonts w:ascii="Times New Roman" w:eastAsia="Times New Roman" w:hAnsi="Times New Roman" w:cs="Times New Roman"/>
                <w:szCs w:val="24"/>
              </w:rPr>
            </w:pPr>
            <w:r w:rsidRPr="00155CE5">
              <w:rPr>
                <w:rFonts w:ascii="Times New Roman" w:eastAsia="Times New Roman" w:hAnsi="Times New Roman" w:cs="Times New Roman"/>
                <w:szCs w:val="24"/>
              </w:rPr>
              <w:t>Công báo</w:t>
            </w:r>
            <w:r w:rsidR="00155CE5">
              <w:rPr>
                <w:rFonts w:ascii="Times New Roman" w:eastAsia="Times New Roman" w:hAnsi="Times New Roman" w:cs="Times New Roman"/>
                <w:szCs w:val="24"/>
              </w:rPr>
              <w:t>;</w:t>
            </w:r>
            <w:r w:rsidR="00C3150D" w:rsidRPr="00155CE5">
              <w:rPr>
                <w:rFonts w:ascii="Times New Roman" w:eastAsia="Times New Roman" w:hAnsi="Times New Roman" w:cs="Times New Roman"/>
                <w:szCs w:val="24"/>
              </w:rPr>
              <w:br/>
              <w:t xml:space="preserve">- </w:t>
            </w:r>
            <w:r w:rsidR="00C3150D" w:rsidRPr="00155CE5">
              <w:rPr>
                <w:rFonts w:ascii="Times New Roman" w:eastAsia="Times New Roman" w:hAnsi="Times New Roman" w:cs="Times New Roman"/>
                <w:szCs w:val="24"/>
                <w:lang w:val="vi-VN"/>
              </w:rPr>
              <w:t xml:space="preserve">Bộ Tư pháp </w:t>
            </w:r>
            <w:r w:rsidR="00C3150D" w:rsidRPr="00155CE5">
              <w:rPr>
                <w:rFonts w:ascii="Times New Roman" w:eastAsia="Times New Roman" w:hAnsi="Times New Roman" w:cs="Times New Roman"/>
                <w:i/>
                <w:iCs/>
                <w:szCs w:val="24"/>
                <w:lang w:val="vi-VN"/>
              </w:rPr>
              <w:t>(để ki</w:t>
            </w:r>
            <w:r w:rsidR="00C3150D" w:rsidRPr="00155CE5">
              <w:rPr>
                <w:rFonts w:ascii="Times New Roman" w:eastAsia="Times New Roman" w:hAnsi="Times New Roman" w:cs="Times New Roman"/>
                <w:i/>
                <w:iCs/>
                <w:szCs w:val="24"/>
              </w:rPr>
              <w:t>ể</w:t>
            </w:r>
            <w:r w:rsidR="00C3150D" w:rsidRPr="00155CE5">
              <w:rPr>
                <w:rFonts w:ascii="Times New Roman" w:eastAsia="Times New Roman" w:hAnsi="Times New Roman" w:cs="Times New Roman"/>
                <w:i/>
                <w:iCs/>
                <w:szCs w:val="24"/>
                <w:lang w:val="vi-VN"/>
              </w:rPr>
              <w:t xml:space="preserve">m </w:t>
            </w:r>
            <w:r w:rsidR="00C3150D" w:rsidRPr="00155CE5">
              <w:rPr>
                <w:rFonts w:ascii="Times New Roman" w:eastAsia="Times New Roman" w:hAnsi="Times New Roman" w:cs="Times New Roman"/>
                <w:i/>
                <w:iCs/>
                <w:szCs w:val="24"/>
              </w:rPr>
              <w:t>t</w:t>
            </w:r>
            <w:r w:rsidR="00C3150D" w:rsidRPr="00155CE5">
              <w:rPr>
                <w:rFonts w:ascii="Times New Roman" w:eastAsia="Times New Roman" w:hAnsi="Times New Roman" w:cs="Times New Roman"/>
                <w:i/>
                <w:iCs/>
                <w:szCs w:val="24"/>
                <w:lang w:val="vi-VN"/>
              </w:rPr>
              <w:t>ra);</w:t>
            </w:r>
            <w:r w:rsidR="00C3150D" w:rsidRPr="00155CE5">
              <w:rPr>
                <w:rFonts w:ascii="Times New Roman" w:eastAsia="Times New Roman" w:hAnsi="Times New Roman" w:cs="Times New Roman"/>
                <w:i/>
                <w:iCs/>
                <w:szCs w:val="24"/>
              </w:rPr>
              <w:br/>
            </w:r>
            <w:r w:rsidR="00C3150D" w:rsidRPr="00155CE5">
              <w:rPr>
                <w:rFonts w:ascii="Times New Roman" w:eastAsia="Times New Roman" w:hAnsi="Times New Roman" w:cs="Times New Roman"/>
                <w:szCs w:val="24"/>
              </w:rPr>
              <w:t xml:space="preserve">- </w:t>
            </w:r>
            <w:r w:rsidR="00C3150D" w:rsidRPr="00155CE5">
              <w:rPr>
                <w:rFonts w:ascii="Times New Roman" w:eastAsia="Times New Roman" w:hAnsi="Times New Roman" w:cs="Times New Roman"/>
                <w:szCs w:val="24"/>
                <w:lang w:val="vi-VN"/>
              </w:rPr>
              <w:t>Bộ Tài chính</w:t>
            </w:r>
            <w:r w:rsidR="00C3150D" w:rsidRPr="00155CE5">
              <w:rPr>
                <w:rFonts w:ascii="Times New Roman" w:eastAsia="Times New Roman" w:hAnsi="Times New Roman" w:cs="Times New Roman"/>
                <w:i/>
                <w:iCs/>
                <w:szCs w:val="24"/>
                <w:lang w:val="vi-VN"/>
              </w:rPr>
              <w:t>;</w:t>
            </w:r>
            <w:r w:rsidR="00C3150D" w:rsidRPr="00155CE5">
              <w:rPr>
                <w:rFonts w:ascii="Times New Roman" w:eastAsia="Times New Roman" w:hAnsi="Times New Roman" w:cs="Times New Roman"/>
                <w:szCs w:val="24"/>
              </w:rPr>
              <w:br/>
              <w:t xml:space="preserve">- </w:t>
            </w:r>
            <w:r w:rsidR="00C3150D" w:rsidRPr="00155CE5">
              <w:rPr>
                <w:rFonts w:ascii="Times New Roman" w:eastAsia="Times New Roman" w:hAnsi="Times New Roman" w:cs="Times New Roman"/>
                <w:szCs w:val="24"/>
                <w:lang w:val="vi-VN"/>
              </w:rPr>
              <w:t>Lưu: VP, PC, TCKT (</w:t>
            </w:r>
            <w:r w:rsidR="00155CE5" w:rsidRPr="00155CE5">
              <w:rPr>
                <w:rFonts w:ascii="Times New Roman" w:eastAsia="Times New Roman" w:hAnsi="Times New Roman" w:cs="Times New Roman"/>
                <w:szCs w:val="24"/>
              </w:rPr>
              <w:t>05 bản</w:t>
            </w:r>
            <w:r w:rsidR="00C3150D" w:rsidRPr="00155CE5">
              <w:rPr>
                <w:rFonts w:ascii="Times New Roman" w:eastAsia="Times New Roman" w:hAnsi="Times New Roman" w:cs="Times New Roman"/>
                <w:szCs w:val="24"/>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3150D" w:rsidRPr="005B2368" w:rsidRDefault="00C3150D" w:rsidP="00254F85">
            <w:pPr>
              <w:spacing w:after="0" w:line="240" w:lineRule="auto"/>
              <w:jc w:val="center"/>
              <w:rPr>
                <w:rFonts w:ascii="Times New Roman" w:eastAsia="Times New Roman" w:hAnsi="Times New Roman" w:cs="Times New Roman"/>
                <w:sz w:val="28"/>
                <w:szCs w:val="24"/>
              </w:rPr>
            </w:pPr>
            <w:r w:rsidRPr="00297550">
              <w:rPr>
                <w:rFonts w:ascii="Times New Roman" w:eastAsia="Times New Roman" w:hAnsi="Times New Roman" w:cs="Times New Roman"/>
                <w:b/>
                <w:bCs/>
                <w:sz w:val="28"/>
                <w:szCs w:val="24"/>
              </w:rPr>
              <w:t>THỐNG ĐỐC</w:t>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r w:rsidRPr="005B2368">
              <w:rPr>
                <w:rFonts w:ascii="Times New Roman" w:eastAsia="Times New Roman" w:hAnsi="Times New Roman" w:cs="Times New Roman"/>
                <w:b/>
                <w:bCs/>
                <w:sz w:val="28"/>
                <w:szCs w:val="24"/>
              </w:rPr>
              <w:br/>
            </w:r>
          </w:p>
        </w:tc>
      </w:tr>
    </w:tbl>
    <w:p w:rsidR="00CA663D" w:rsidRDefault="00CA663D" w:rsidP="00155CE5">
      <w:pPr>
        <w:tabs>
          <w:tab w:val="left" w:pos="6620"/>
        </w:tabs>
        <w:spacing w:before="180" w:after="180" w:line="240" w:lineRule="auto"/>
        <w:jc w:val="both"/>
        <w:rPr>
          <w:rFonts w:ascii="Times New Roman" w:hAnsi="Times New Roman" w:cs="Times New Roman"/>
          <w:b/>
          <w:sz w:val="28"/>
          <w:szCs w:val="28"/>
        </w:rPr>
      </w:pPr>
    </w:p>
    <w:sectPr w:rsidR="00CA663D" w:rsidSect="00FD4CE5">
      <w:headerReference w:type="default" r:id="rId11"/>
      <w:footerReference w:type="default" r:id="rId12"/>
      <w:pgSz w:w="11907" w:h="16840" w:code="9"/>
      <w:pgMar w:top="1138" w:right="1138" w:bottom="1138" w:left="169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8D" w:rsidRDefault="0031438D" w:rsidP="00DC0179">
      <w:pPr>
        <w:spacing w:after="0" w:line="240" w:lineRule="auto"/>
      </w:pPr>
      <w:r>
        <w:separator/>
      </w:r>
    </w:p>
  </w:endnote>
  <w:endnote w:type="continuationSeparator" w:id="0">
    <w:p w:rsidR="0031438D" w:rsidRDefault="0031438D" w:rsidP="00DC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Souther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E5" w:rsidRPr="00FD4CE5" w:rsidRDefault="00FD4CE5">
    <w:pPr>
      <w:pStyle w:val="Footer"/>
      <w:jc w:val="center"/>
      <w:rPr>
        <w:rFonts w:ascii="Times New Roman" w:hAnsi="Times New Roman" w:cs="Times New Roman"/>
        <w:sz w:val="26"/>
        <w:szCs w:val="26"/>
      </w:rPr>
    </w:pPr>
  </w:p>
  <w:p w:rsidR="00FD4CE5" w:rsidRDefault="00FD4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8D" w:rsidRDefault="0031438D" w:rsidP="00DC0179">
      <w:pPr>
        <w:spacing w:after="0" w:line="240" w:lineRule="auto"/>
      </w:pPr>
      <w:r>
        <w:separator/>
      </w:r>
    </w:p>
  </w:footnote>
  <w:footnote w:type="continuationSeparator" w:id="0">
    <w:p w:rsidR="0031438D" w:rsidRDefault="0031438D" w:rsidP="00DC0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266553"/>
      <w:docPartObj>
        <w:docPartGallery w:val="Page Numbers (Top of Page)"/>
        <w:docPartUnique/>
      </w:docPartObj>
    </w:sdtPr>
    <w:sdtEndPr>
      <w:rPr>
        <w:rFonts w:ascii="Times New Roman" w:hAnsi="Times New Roman" w:cs="Times New Roman"/>
        <w:noProof/>
        <w:sz w:val="26"/>
        <w:szCs w:val="26"/>
      </w:rPr>
    </w:sdtEndPr>
    <w:sdtContent>
      <w:p w:rsidR="00B55090" w:rsidRPr="006B4122" w:rsidRDefault="00B55090">
        <w:pPr>
          <w:pStyle w:val="Header"/>
          <w:jc w:val="center"/>
          <w:rPr>
            <w:rFonts w:ascii="Times New Roman" w:hAnsi="Times New Roman" w:cs="Times New Roman"/>
            <w:sz w:val="26"/>
            <w:szCs w:val="26"/>
          </w:rPr>
        </w:pPr>
        <w:r w:rsidRPr="006B4122">
          <w:rPr>
            <w:rFonts w:ascii="Times New Roman" w:hAnsi="Times New Roman" w:cs="Times New Roman"/>
            <w:sz w:val="26"/>
            <w:szCs w:val="26"/>
          </w:rPr>
          <w:fldChar w:fldCharType="begin"/>
        </w:r>
        <w:r w:rsidRPr="006B4122">
          <w:rPr>
            <w:rFonts w:ascii="Times New Roman" w:hAnsi="Times New Roman" w:cs="Times New Roman"/>
            <w:sz w:val="26"/>
            <w:szCs w:val="26"/>
          </w:rPr>
          <w:instrText xml:space="preserve"> PAGE   \* MERGEFORMAT </w:instrText>
        </w:r>
        <w:r w:rsidRPr="006B4122">
          <w:rPr>
            <w:rFonts w:ascii="Times New Roman" w:hAnsi="Times New Roman" w:cs="Times New Roman"/>
            <w:sz w:val="26"/>
            <w:szCs w:val="26"/>
          </w:rPr>
          <w:fldChar w:fldCharType="separate"/>
        </w:r>
        <w:r w:rsidR="00C53B39">
          <w:rPr>
            <w:rFonts w:ascii="Times New Roman" w:hAnsi="Times New Roman" w:cs="Times New Roman"/>
            <w:noProof/>
            <w:sz w:val="26"/>
            <w:szCs w:val="26"/>
          </w:rPr>
          <w:t>6</w:t>
        </w:r>
        <w:r w:rsidRPr="006B4122">
          <w:rPr>
            <w:rFonts w:ascii="Times New Roman" w:hAnsi="Times New Roman" w:cs="Times New Roman"/>
            <w:noProof/>
            <w:sz w:val="26"/>
            <w:szCs w:val="26"/>
          </w:rPr>
          <w:fldChar w:fldCharType="end"/>
        </w:r>
      </w:p>
    </w:sdtContent>
  </w:sdt>
  <w:p w:rsidR="00B55090" w:rsidRDefault="00B55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ADF"/>
    <w:multiLevelType w:val="hybridMultilevel"/>
    <w:tmpl w:val="F9F864D4"/>
    <w:lvl w:ilvl="0" w:tplc="C92AE3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20690F"/>
    <w:multiLevelType w:val="hybridMultilevel"/>
    <w:tmpl w:val="83200B36"/>
    <w:lvl w:ilvl="0" w:tplc="6896AFB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3772BC7"/>
    <w:multiLevelType w:val="hybridMultilevel"/>
    <w:tmpl w:val="EBC8F6FE"/>
    <w:lvl w:ilvl="0" w:tplc="74767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31089"/>
    <w:multiLevelType w:val="hybridMultilevel"/>
    <w:tmpl w:val="7AE87EEA"/>
    <w:lvl w:ilvl="0" w:tplc="CB7E53FC">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120928C6"/>
    <w:multiLevelType w:val="hybridMultilevel"/>
    <w:tmpl w:val="317A780A"/>
    <w:lvl w:ilvl="0" w:tplc="1FF8D7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0058A"/>
    <w:multiLevelType w:val="hybridMultilevel"/>
    <w:tmpl w:val="54468B6A"/>
    <w:lvl w:ilvl="0" w:tplc="C5784780">
      <w:start w:val="10"/>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5E3971"/>
    <w:multiLevelType w:val="hybridMultilevel"/>
    <w:tmpl w:val="E4C64010"/>
    <w:lvl w:ilvl="0" w:tplc="F6FEF6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A960CD"/>
    <w:multiLevelType w:val="hybridMultilevel"/>
    <w:tmpl w:val="33468F36"/>
    <w:lvl w:ilvl="0" w:tplc="10D8822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117E4D"/>
    <w:multiLevelType w:val="hybridMultilevel"/>
    <w:tmpl w:val="4A2020F2"/>
    <w:lvl w:ilvl="0" w:tplc="798A3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E46501"/>
    <w:multiLevelType w:val="hybridMultilevel"/>
    <w:tmpl w:val="57C22738"/>
    <w:lvl w:ilvl="0" w:tplc="9BBAA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D73A2F"/>
    <w:multiLevelType w:val="hybridMultilevel"/>
    <w:tmpl w:val="9272B152"/>
    <w:lvl w:ilvl="0" w:tplc="3B14F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F9774A"/>
    <w:multiLevelType w:val="hybridMultilevel"/>
    <w:tmpl w:val="BB542734"/>
    <w:lvl w:ilvl="0" w:tplc="34CE3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841ED8"/>
    <w:multiLevelType w:val="hybridMultilevel"/>
    <w:tmpl w:val="EECA49D8"/>
    <w:lvl w:ilvl="0" w:tplc="B1080A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9D5226"/>
    <w:multiLevelType w:val="hybridMultilevel"/>
    <w:tmpl w:val="FFCCFB32"/>
    <w:lvl w:ilvl="0" w:tplc="6A68A4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6C1170"/>
    <w:multiLevelType w:val="hybridMultilevel"/>
    <w:tmpl w:val="7ECA74A4"/>
    <w:lvl w:ilvl="0" w:tplc="18DE549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5115610D"/>
    <w:multiLevelType w:val="hybridMultilevel"/>
    <w:tmpl w:val="F1B09406"/>
    <w:lvl w:ilvl="0" w:tplc="1C1226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237D61"/>
    <w:multiLevelType w:val="hybridMultilevel"/>
    <w:tmpl w:val="37E24C66"/>
    <w:lvl w:ilvl="0" w:tplc="43207170">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400041"/>
    <w:multiLevelType w:val="hybridMultilevel"/>
    <w:tmpl w:val="F36287D0"/>
    <w:lvl w:ilvl="0" w:tplc="927634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0075A"/>
    <w:multiLevelType w:val="hybridMultilevel"/>
    <w:tmpl w:val="A4A84146"/>
    <w:lvl w:ilvl="0" w:tplc="58FC2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9444A4"/>
    <w:multiLevelType w:val="hybridMultilevel"/>
    <w:tmpl w:val="2C8C3DBA"/>
    <w:lvl w:ilvl="0" w:tplc="B28C4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6459FF"/>
    <w:multiLevelType w:val="hybridMultilevel"/>
    <w:tmpl w:val="06205D3A"/>
    <w:lvl w:ilvl="0" w:tplc="35A6A986">
      <w:start w:val="1"/>
      <w:numFmt w:val="decimal"/>
      <w:lvlText w:val="%1."/>
      <w:lvlJc w:val="left"/>
      <w:pPr>
        <w:ind w:left="928" w:hanging="360"/>
      </w:pPr>
      <w:rPr>
        <w:rFonts w:ascii="Times New Roman" w:eastAsiaTheme="minorHAnsi" w:hAnsi="Times New Roman" w:cs="Times New Roman"/>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66A81376"/>
    <w:multiLevelType w:val="hybridMultilevel"/>
    <w:tmpl w:val="19260D04"/>
    <w:lvl w:ilvl="0" w:tplc="3258A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4F1764"/>
    <w:multiLevelType w:val="hybridMultilevel"/>
    <w:tmpl w:val="4468DD6C"/>
    <w:lvl w:ilvl="0" w:tplc="CB7E53F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nsid w:val="6D930065"/>
    <w:multiLevelType w:val="hybridMultilevel"/>
    <w:tmpl w:val="4B94D00C"/>
    <w:lvl w:ilvl="0" w:tplc="DFF2ED2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6F803E4F"/>
    <w:multiLevelType w:val="hybridMultilevel"/>
    <w:tmpl w:val="DADA8CC2"/>
    <w:lvl w:ilvl="0" w:tplc="91166880">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A728E2"/>
    <w:multiLevelType w:val="hybridMultilevel"/>
    <w:tmpl w:val="E2D83C5A"/>
    <w:lvl w:ilvl="0" w:tplc="B930FF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2343B5"/>
    <w:multiLevelType w:val="hybridMultilevel"/>
    <w:tmpl w:val="9A563AC8"/>
    <w:lvl w:ilvl="0" w:tplc="6AC6BE1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900705"/>
    <w:multiLevelType w:val="hybridMultilevel"/>
    <w:tmpl w:val="5C62706E"/>
    <w:lvl w:ilvl="0" w:tplc="AC4ED3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D66DA5"/>
    <w:multiLevelType w:val="hybridMultilevel"/>
    <w:tmpl w:val="F1E481F8"/>
    <w:lvl w:ilvl="0" w:tplc="ED6E5546">
      <w:start w:val="4"/>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14"/>
  </w:num>
  <w:num w:numId="3">
    <w:abstractNumId w:val="22"/>
  </w:num>
  <w:num w:numId="4">
    <w:abstractNumId w:val="23"/>
  </w:num>
  <w:num w:numId="5">
    <w:abstractNumId w:val="20"/>
  </w:num>
  <w:num w:numId="6">
    <w:abstractNumId w:val="3"/>
  </w:num>
  <w:num w:numId="7">
    <w:abstractNumId w:val="28"/>
  </w:num>
  <w:num w:numId="8">
    <w:abstractNumId w:val="0"/>
  </w:num>
  <w:num w:numId="9">
    <w:abstractNumId w:val="10"/>
  </w:num>
  <w:num w:numId="10">
    <w:abstractNumId w:val="27"/>
  </w:num>
  <w:num w:numId="11">
    <w:abstractNumId w:val="12"/>
  </w:num>
  <w:num w:numId="12">
    <w:abstractNumId w:val="21"/>
  </w:num>
  <w:num w:numId="13">
    <w:abstractNumId w:val="17"/>
  </w:num>
  <w:num w:numId="14">
    <w:abstractNumId w:val="4"/>
  </w:num>
  <w:num w:numId="15">
    <w:abstractNumId w:val="8"/>
  </w:num>
  <w:num w:numId="16">
    <w:abstractNumId w:val="26"/>
  </w:num>
  <w:num w:numId="17">
    <w:abstractNumId w:val="11"/>
  </w:num>
  <w:num w:numId="18">
    <w:abstractNumId w:val="7"/>
  </w:num>
  <w:num w:numId="19">
    <w:abstractNumId w:val="24"/>
  </w:num>
  <w:num w:numId="20">
    <w:abstractNumId w:val="6"/>
  </w:num>
  <w:num w:numId="21">
    <w:abstractNumId w:val="18"/>
  </w:num>
  <w:num w:numId="22">
    <w:abstractNumId w:val="2"/>
  </w:num>
  <w:num w:numId="23">
    <w:abstractNumId w:val="15"/>
  </w:num>
  <w:num w:numId="24">
    <w:abstractNumId w:val="9"/>
  </w:num>
  <w:num w:numId="25">
    <w:abstractNumId w:val="19"/>
  </w:num>
  <w:num w:numId="26">
    <w:abstractNumId w:val="13"/>
  </w:num>
  <w:num w:numId="27">
    <w:abstractNumId w:val="25"/>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68"/>
    <w:rsid w:val="00002A9A"/>
    <w:rsid w:val="000052C1"/>
    <w:rsid w:val="000063E6"/>
    <w:rsid w:val="000137D1"/>
    <w:rsid w:val="00014A65"/>
    <w:rsid w:val="00014BAF"/>
    <w:rsid w:val="000165DF"/>
    <w:rsid w:val="00020EB0"/>
    <w:rsid w:val="000253C5"/>
    <w:rsid w:val="00025DD3"/>
    <w:rsid w:val="00027F12"/>
    <w:rsid w:val="00030A3D"/>
    <w:rsid w:val="00035882"/>
    <w:rsid w:val="00035905"/>
    <w:rsid w:val="000361C0"/>
    <w:rsid w:val="00037660"/>
    <w:rsid w:val="00037F6E"/>
    <w:rsid w:val="0004067C"/>
    <w:rsid w:val="00041F8B"/>
    <w:rsid w:val="00044147"/>
    <w:rsid w:val="00044797"/>
    <w:rsid w:val="00050FDA"/>
    <w:rsid w:val="00051B4C"/>
    <w:rsid w:val="00057F2D"/>
    <w:rsid w:val="000615AB"/>
    <w:rsid w:val="00067241"/>
    <w:rsid w:val="00072E3F"/>
    <w:rsid w:val="00077AAB"/>
    <w:rsid w:val="00081E85"/>
    <w:rsid w:val="000903FF"/>
    <w:rsid w:val="00091D04"/>
    <w:rsid w:val="00092371"/>
    <w:rsid w:val="00095C90"/>
    <w:rsid w:val="00096C9C"/>
    <w:rsid w:val="000A0948"/>
    <w:rsid w:val="000A33F2"/>
    <w:rsid w:val="000A701B"/>
    <w:rsid w:val="000B0810"/>
    <w:rsid w:val="000B0D2B"/>
    <w:rsid w:val="000B422F"/>
    <w:rsid w:val="000B5B40"/>
    <w:rsid w:val="000B6AED"/>
    <w:rsid w:val="000C2448"/>
    <w:rsid w:val="000C2D62"/>
    <w:rsid w:val="000C6EA2"/>
    <w:rsid w:val="000D5628"/>
    <w:rsid w:val="000D7726"/>
    <w:rsid w:val="000E3BB2"/>
    <w:rsid w:val="000E431D"/>
    <w:rsid w:val="000E52E4"/>
    <w:rsid w:val="001023E8"/>
    <w:rsid w:val="001110B4"/>
    <w:rsid w:val="001120A3"/>
    <w:rsid w:val="00131A24"/>
    <w:rsid w:val="00133E82"/>
    <w:rsid w:val="001345C6"/>
    <w:rsid w:val="00134BA4"/>
    <w:rsid w:val="001357D3"/>
    <w:rsid w:val="00135ECA"/>
    <w:rsid w:val="00136385"/>
    <w:rsid w:val="00155CE5"/>
    <w:rsid w:val="00156C9B"/>
    <w:rsid w:val="00160F3F"/>
    <w:rsid w:val="0016134D"/>
    <w:rsid w:val="00164356"/>
    <w:rsid w:val="001669E7"/>
    <w:rsid w:val="00171E75"/>
    <w:rsid w:val="00172FAB"/>
    <w:rsid w:val="00173FA8"/>
    <w:rsid w:val="0017784A"/>
    <w:rsid w:val="00182BBF"/>
    <w:rsid w:val="001878E3"/>
    <w:rsid w:val="00187C60"/>
    <w:rsid w:val="00191CCD"/>
    <w:rsid w:val="00193AB4"/>
    <w:rsid w:val="001B2A0F"/>
    <w:rsid w:val="001B7F09"/>
    <w:rsid w:val="001C05E1"/>
    <w:rsid w:val="001C4CA8"/>
    <w:rsid w:val="001D08F6"/>
    <w:rsid w:val="001D3092"/>
    <w:rsid w:val="001E0587"/>
    <w:rsid w:val="001F472B"/>
    <w:rsid w:val="001F5F88"/>
    <w:rsid w:val="002110BC"/>
    <w:rsid w:val="0021358D"/>
    <w:rsid w:val="0021663C"/>
    <w:rsid w:val="002203BD"/>
    <w:rsid w:val="002269B5"/>
    <w:rsid w:val="00227F5D"/>
    <w:rsid w:val="00230EEE"/>
    <w:rsid w:val="00233EC3"/>
    <w:rsid w:val="002347CF"/>
    <w:rsid w:val="00236982"/>
    <w:rsid w:val="00236B28"/>
    <w:rsid w:val="0023790E"/>
    <w:rsid w:val="0024041A"/>
    <w:rsid w:val="0024047F"/>
    <w:rsid w:val="002505B7"/>
    <w:rsid w:val="0025618F"/>
    <w:rsid w:val="00260F11"/>
    <w:rsid w:val="00264002"/>
    <w:rsid w:val="00265459"/>
    <w:rsid w:val="00270CC7"/>
    <w:rsid w:val="00273E59"/>
    <w:rsid w:val="00281CA9"/>
    <w:rsid w:val="00282566"/>
    <w:rsid w:val="00284D61"/>
    <w:rsid w:val="00285EB6"/>
    <w:rsid w:val="00293F2C"/>
    <w:rsid w:val="00297550"/>
    <w:rsid w:val="00297B6F"/>
    <w:rsid w:val="002A0E37"/>
    <w:rsid w:val="002A73D9"/>
    <w:rsid w:val="002B0492"/>
    <w:rsid w:val="002B2CCA"/>
    <w:rsid w:val="002B3F42"/>
    <w:rsid w:val="002B58A3"/>
    <w:rsid w:val="002B649B"/>
    <w:rsid w:val="002B75FF"/>
    <w:rsid w:val="002C000E"/>
    <w:rsid w:val="002C22ED"/>
    <w:rsid w:val="002C24D3"/>
    <w:rsid w:val="002C4400"/>
    <w:rsid w:val="002C628C"/>
    <w:rsid w:val="002C6E95"/>
    <w:rsid w:val="002C7521"/>
    <w:rsid w:val="002C77B9"/>
    <w:rsid w:val="002D234F"/>
    <w:rsid w:val="002D6B48"/>
    <w:rsid w:val="002E3899"/>
    <w:rsid w:val="002E3A71"/>
    <w:rsid w:val="002E3DD1"/>
    <w:rsid w:val="002E659D"/>
    <w:rsid w:val="002F169F"/>
    <w:rsid w:val="002F25EA"/>
    <w:rsid w:val="002F60B3"/>
    <w:rsid w:val="00300390"/>
    <w:rsid w:val="00300506"/>
    <w:rsid w:val="00300C41"/>
    <w:rsid w:val="00300D3D"/>
    <w:rsid w:val="00303FAD"/>
    <w:rsid w:val="00311319"/>
    <w:rsid w:val="00311BEB"/>
    <w:rsid w:val="0031227A"/>
    <w:rsid w:val="0031438D"/>
    <w:rsid w:val="0032072E"/>
    <w:rsid w:val="00322BA7"/>
    <w:rsid w:val="0032528A"/>
    <w:rsid w:val="00325309"/>
    <w:rsid w:val="00325ACA"/>
    <w:rsid w:val="003320BC"/>
    <w:rsid w:val="003437EE"/>
    <w:rsid w:val="0034464B"/>
    <w:rsid w:val="00353319"/>
    <w:rsid w:val="003569F3"/>
    <w:rsid w:val="00372EE8"/>
    <w:rsid w:val="00373A18"/>
    <w:rsid w:val="00382847"/>
    <w:rsid w:val="00386856"/>
    <w:rsid w:val="00393E74"/>
    <w:rsid w:val="00395C40"/>
    <w:rsid w:val="003A112E"/>
    <w:rsid w:val="003A4BF5"/>
    <w:rsid w:val="003A5F49"/>
    <w:rsid w:val="003B1A8C"/>
    <w:rsid w:val="003B24E0"/>
    <w:rsid w:val="003B333F"/>
    <w:rsid w:val="003B6FF8"/>
    <w:rsid w:val="003B7C50"/>
    <w:rsid w:val="003C1B4D"/>
    <w:rsid w:val="003C24DE"/>
    <w:rsid w:val="003C4583"/>
    <w:rsid w:val="003C568A"/>
    <w:rsid w:val="003C7E05"/>
    <w:rsid w:val="003D20DC"/>
    <w:rsid w:val="003D7AD3"/>
    <w:rsid w:val="003E2646"/>
    <w:rsid w:val="003E267C"/>
    <w:rsid w:val="003E28E4"/>
    <w:rsid w:val="003F1BFB"/>
    <w:rsid w:val="003F38D5"/>
    <w:rsid w:val="003F6279"/>
    <w:rsid w:val="003F7AE0"/>
    <w:rsid w:val="004024AE"/>
    <w:rsid w:val="00403B99"/>
    <w:rsid w:val="004115C3"/>
    <w:rsid w:val="00420821"/>
    <w:rsid w:val="00425242"/>
    <w:rsid w:val="0043355B"/>
    <w:rsid w:val="0043573C"/>
    <w:rsid w:val="0044011F"/>
    <w:rsid w:val="00443C3E"/>
    <w:rsid w:val="00444BF6"/>
    <w:rsid w:val="0044523F"/>
    <w:rsid w:val="00445CE1"/>
    <w:rsid w:val="004462AD"/>
    <w:rsid w:val="0045150E"/>
    <w:rsid w:val="004518C0"/>
    <w:rsid w:val="00456C19"/>
    <w:rsid w:val="00462676"/>
    <w:rsid w:val="004634CC"/>
    <w:rsid w:val="00464A34"/>
    <w:rsid w:val="00465766"/>
    <w:rsid w:val="004725D7"/>
    <w:rsid w:val="00480B71"/>
    <w:rsid w:val="00480BDE"/>
    <w:rsid w:val="004868C4"/>
    <w:rsid w:val="0048768B"/>
    <w:rsid w:val="004903CE"/>
    <w:rsid w:val="00490E8C"/>
    <w:rsid w:val="00491C8F"/>
    <w:rsid w:val="00495598"/>
    <w:rsid w:val="004A3745"/>
    <w:rsid w:val="004A4B88"/>
    <w:rsid w:val="004B3FE3"/>
    <w:rsid w:val="004B48D5"/>
    <w:rsid w:val="004C7A8C"/>
    <w:rsid w:val="004D1877"/>
    <w:rsid w:val="004D4CA3"/>
    <w:rsid w:val="004E0F60"/>
    <w:rsid w:val="004F2012"/>
    <w:rsid w:val="004F41AE"/>
    <w:rsid w:val="004F4C51"/>
    <w:rsid w:val="004F50B9"/>
    <w:rsid w:val="004F6400"/>
    <w:rsid w:val="0050079B"/>
    <w:rsid w:val="005025DA"/>
    <w:rsid w:val="00511E62"/>
    <w:rsid w:val="005229FD"/>
    <w:rsid w:val="00525B1C"/>
    <w:rsid w:val="00526ADC"/>
    <w:rsid w:val="00526FD4"/>
    <w:rsid w:val="0053072B"/>
    <w:rsid w:val="005319B9"/>
    <w:rsid w:val="005344E5"/>
    <w:rsid w:val="00535DBB"/>
    <w:rsid w:val="00537271"/>
    <w:rsid w:val="005403E1"/>
    <w:rsid w:val="005408E6"/>
    <w:rsid w:val="00544C41"/>
    <w:rsid w:val="00546651"/>
    <w:rsid w:val="00551433"/>
    <w:rsid w:val="00552283"/>
    <w:rsid w:val="00554118"/>
    <w:rsid w:val="005669A8"/>
    <w:rsid w:val="00567245"/>
    <w:rsid w:val="00571243"/>
    <w:rsid w:val="005712C9"/>
    <w:rsid w:val="005722DC"/>
    <w:rsid w:val="005729AD"/>
    <w:rsid w:val="00574A50"/>
    <w:rsid w:val="00582A3E"/>
    <w:rsid w:val="00582C80"/>
    <w:rsid w:val="005870AD"/>
    <w:rsid w:val="00590AFF"/>
    <w:rsid w:val="00596B61"/>
    <w:rsid w:val="0059742A"/>
    <w:rsid w:val="005A69A0"/>
    <w:rsid w:val="005B2368"/>
    <w:rsid w:val="005B3AE7"/>
    <w:rsid w:val="005B7375"/>
    <w:rsid w:val="005B7B95"/>
    <w:rsid w:val="005E0AF0"/>
    <w:rsid w:val="005E7DCB"/>
    <w:rsid w:val="005F1E44"/>
    <w:rsid w:val="005F5F57"/>
    <w:rsid w:val="00603D90"/>
    <w:rsid w:val="0060580B"/>
    <w:rsid w:val="00620296"/>
    <w:rsid w:val="00625415"/>
    <w:rsid w:val="006316E4"/>
    <w:rsid w:val="00635AE5"/>
    <w:rsid w:val="006376FF"/>
    <w:rsid w:val="006416E9"/>
    <w:rsid w:val="006420E6"/>
    <w:rsid w:val="00644510"/>
    <w:rsid w:val="00645B5B"/>
    <w:rsid w:val="006530B4"/>
    <w:rsid w:val="0065401C"/>
    <w:rsid w:val="00662B56"/>
    <w:rsid w:val="00663FEE"/>
    <w:rsid w:val="0066663C"/>
    <w:rsid w:val="00675AF2"/>
    <w:rsid w:val="0068020E"/>
    <w:rsid w:val="00681C89"/>
    <w:rsid w:val="00683848"/>
    <w:rsid w:val="006840E5"/>
    <w:rsid w:val="0068778C"/>
    <w:rsid w:val="00691D10"/>
    <w:rsid w:val="0069570F"/>
    <w:rsid w:val="006A0AB5"/>
    <w:rsid w:val="006A6CE3"/>
    <w:rsid w:val="006B0A68"/>
    <w:rsid w:val="006B1B1E"/>
    <w:rsid w:val="006B4122"/>
    <w:rsid w:val="006B5190"/>
    <w:rsid w:val="006B6E2D"/>
    <w:rsid w:val="006B7F2D"/>
    <w:rsid w:val="006C2555"/>
    <w:rsid w:val="006C5675"/>
    <w:rsid w:val="006D00F9"/>
    <w:rsid w:val="006D6E29"/>
    <w:rsid w:val="006E1A8F"/>
    <w:rsid w:val="006E2331"/>
    <w:rsid w:val="006F0F6C"/>
    <w:rsid w:val="006F16E8"/>
    <w:rsid w:val="006F7436"/>
    <w:rsid w:val="007024A6"/>
    <w:rsid w:val="00706285"/>
    <w:rsid w:val="00707DC6"/>
    <w:rsid w:val="00715A09"/>
    <w:rsid w:val="00723240"/>
    <w:rsid w:val="00724503"/>
    <w:rsid w:val="007343B4"/>
    <w:rsid w:val="00736BD9"/>
    <w:rsid w:val="00736F87"/>
    <w:rsid w:val="007450AC"/>
    <w:rsid w:val="00745901"/>
    <w:rsid w:val="00753247"/>
    <w:rsid w:val="007546C0"/>
    <w:rsid w:val="00754E31"/>
    <w:rsid w:val="00754FC6"/>
    <w:rsid w:val="00757A7D"/>
    <w:rsid w:val="00757B68"/>
    <w:rsid w:val="007629A4"/>
    <w:rsid w:val="007647DF"/>
    <w:rsid w:val="0077434D"/>
    <w:rsid w:val="00786E61"/>
    <w:rsid w:val="00787D4D"/>
    <w:rsid w:val="00795F1F"/>
    <w:rsid w:val="007A4182"/>
    <w:rsid w:val="007A5DF2"/>
    <w:rsid w:val="007B2D62"/>
    <w:rsid w:val="007B44E8"/>
    <w:rsid w:val="007C03C6"/>
    <w:rsid w:val="007C3090"/>
    <w:rsid w:val="007C39F9"/>
    <w:rsid w:val="007C651F"/>
    <w:rsid w:val="007D0DE7"/>
    <w:rsid w:val="007D1BC1"/>
    <w:rsid w:val="007E3DFB"/>
    <w:rsid w:val="007E6C7F"/>
    <w:rsid w:val="007F1966"/>
    <w:rsid w:val="007F2058"/>
    <w:rsid w:val="007F600F"/>
    <w:rsid w:val="00801CAC"/>
    <w:rsid w:val="00803D52"/>
    <w:rsid w:val="00807B30"/>
    <w:rsid w:val="00810E9D"/>
    <w:rsid w:val="0081460A"/>
    <w:rsid w:val="00820BAD"/>
    <w:rsid w:val="00820E9E"/>
    <w:rsid w:val="008219D3"/>
    <w:rsid w:val="008256B1"/>
    <w:rsid w:val="008265B7"/>
    <w:rsid w:val="00833905"/>
    <w:rsid w:val="00837699"/>
    <w:rsid w:val="00847C20"/>
    <w:rsid w:val="00852AAB"/>
    <w:rsid w:val="00855F22"/>
    <w:rsid w:val="00857D3A"/>
    <w:rsid w:val="00860B2C"/>
    <w:rsid w:val="008650CF"/>
    <w:rsid w:val="00870277"/>
    <w:rsid w:val="00870A8B"/>
    <w:rsid w:val="008710B8"/>
    <w:rsid w:val="00872893"/>
    <w:rsid w:val="00877026"/>
    <w:rsid w:val="00881941"/>
    <w:rsid w:val="0089118B"/>
    <w:rsid w:val="00893108"/>
    <w:rsid w:val="00896822"/>
    <w:rsid w:val="008A332E"/>
    <w:rsid w:val="008A614B"/>
    <w:rsid w:val="008B1C64"/>
    <w:rsid w:val="008B4561"/>
    <w:rsid w:val="008B5869"/>
    <w:rsid w:val="008B6A0E"/>
    <w:rsid w:val="008B6FB9"/>
    <w:rsid w:val="008B743C"/>
    <w:rsid w:val="008D0756"/>
    <w:rsid w:val="008D36CB"/>
    <w:rsid w:val="008D4F3F"/>
    <w:rsid w:val="008D542D"/>
    <w:rsid w:val="008D5BA5"/>
    <w:rsid w:val="008D78CB"/>
    <w:rsid w:val="008F3E84"/>
    <w:rsid w:val="009000F3"/>
    <w:rsid w:val="009050CE"/>
    <w:rsid w:val="00905837"/>
    <w:rsid w:val="009060C3"/>
    <w:rsid w:val="009076E5"/>
    <w:rsid w:val="00910A38"/>
    <w:rsid w:val="009111EF"/>
    <w:rsid w:val="009119DB"/>
    <w:rsid w:val="00920891"/>
    <w:rsid w:val="00926156"/>
    <w:rsid w:val="0092763B"/>
    <w:rsid w:val="00934968"/>
    <w:rsid w:val="009350A3"/>
    <w:rsid w:val="009371CB"/>
    <w:rsid w:val="00943102"/>
    <w:rsid w:val="009479ED"/>
    <w:rsid w:val="009505C7"/>
    <w:rsid w:val="00950745"/>
    <w:rsid w:val="00952413"/>
    <w:rsid w:val="00952719"/>
    <w:rsid w:val="009542F1"/>
    <w:rsid w:val="00954919"/>
    <w:rsid w:val="009570F1"/>
    <w:rsid w:val="0096102D"/>
    <w:rsid w:val="00961B3E"/>
    <w:rsid w:val="009647BB"/>
    <w:rsid w:val="00965A9F"/>
    <w:rsid w:val="00966F50"/>
    <w:rsid w:val="00967664"/>
    <w:rsid w:val="00971C12"/>
    <w:rsid w:val="00974B6B"/>
    <w:rsid w:val="00981A3B"/>
    <w:rsid w:val="00985A09"/>
    <w:rsid w:val="009864DE"/>
    <w:rsid w:val="0099209F"/>
    <w:rsid w:val="009977F5"/>
    <w:rsid w:val="009A100C"/>
    <w:rsid w:val="009B2C6E"/>
    <w:rsid w:val="009D4167"/>
    <w:rsid w:val="009E49BE"/>
    <w:rsid w:val="009E4AEC"/>
    <w:rsid w:val="009E510A"/>
    <w:rsid w:val="009E7BAB"/>
    <w:rsid w:val="009F28D2"/>
    <w:rsid w:val="009F4452"/>
    <w:rsid w:val="00A01C8D"/>
    <w:rsid w:val="00A01E59"/>
    <w:rsid w:val="00A03B75"/>
    <w:rsid w:val="00A07F64"/>
    <w:rsid w:val="00A10A01"/>
    <w:rsid w:val="00A11605"/>
    <w:rsid w:val="00A1447A"/>
    <w:rsid w:val="00A217AB"/>
    <w:rsid w:val="00A23442"/>
    <w:rsid w:val="00A27CCD"/>
    <w:rsid w:val="00A3282C"/>
    <w:rsid w:val="00A34CAF"/>
    <w:rsid w:val="00A40AA4"/>
    <w:rsid w:val="00A50610"/>
    <w:rsid w:val="00A50D36"/>
    <w:rsid w:val="00A70FB9"/>
    <w:rsid w:val="00A7703B"/>
    <w:rsid w:val="00A8095B"/>
    <w:rsid w:val="00A845BD"/>
    <w:rsid w:val="00A92FBA"/>
    <w:rsid w:val="00A93FEA"/>
    <w:rsid w:val="00A96504"/>
    <w:rsid w:val="00AA135E"/>
    <w:rsid w:val="00AA1512"/>
    <w:rsid w:val="00AA1C85"/>
    <w:rsid w:val="00AB61E6"/>
    <w:rsid w:val="00AB7A35"/>
    <w:rsid w:val="00AC2A86"/>
    <w:rsid w:val="00AC5DB2"/>
    <w:rsid w:val="00AC60CC"/>
    <w:rsid w:val="00AD0986"/>
    <w:rsid w:val="00AD0C95"/>
    <w:rsid w:val="00AD1E97"/>
    <w:rsid w:val="00AD5920"/>
    <w:rsid w:val="00AD7F03"/>
    <w:rsid w:val="00AE2E5B"/>
    <w:rsid w:val="00AE2F16"/>
    <w:rsid w:val="00AE426F"/>
    <w:rsid w:val="00AF0EEB"/>
    <w:rsid w:val="00AF6279"/>
    <w:rsid w:val="00AF78BC"/>
    <w:rsid w:val="00B02C28"/>
    <w:rsid w:val="00B0348D"/>
    <w:rsid w:val="00B05E24"/>
    <w:rsid w:val="00B07306"/>
    <w:rsid w:val="00B0781E"/>
    <w:rsid w:val="00B1081C"/>
    <w:rsid w:val="00B10F9E"/>
    <w:rsid w:val="00B14DA7"/>
    <w:rsid w:val="00B15821"/>
    <w:rsid w:val="00B213EF"/>
    <w:rsid w:val="00B314C4"/>
    <w:rsid w:val="00B31A15"/>
    <w:rsid w:val="00B37149"/>
    <w:rsid w:val="00B41D44"/>
    <w:rsid w:val="00B46B43"/>
    <w:rsid w:val="00B5273E"/>
    <w:rsid w:val="00B55090"/>
    <w:rsid w:val="00B62B39"/>
    <w:rsid w:val="00B674B5"/>
    <w:rsid w:val="00B67C77"/>
    <w:rsid w:val="00B70791"/>
    <w:rsid w:val="00B8081F"/>
    <w:rsid w:val="00B905D2"/>
    <w:rsid w:val="00B92BE6"/>
    <w:rsid w:val="00BA052F"/>
    <w:rsid w:val="00BA76BD"/>
    <w:rsid w:val="00BB1FBC"/>
    <w:rsid w:val="00BB30D3"/>
    <w:rsid w:val="00BC0465"/>
    <w:rsid w:val="00BC3F42"/>
    <w:rsid w:val="00BE0CDC"/>
    <w:rsid w:val="00BE35BE"/>
    <w:rsid w:val="00BE4B36"/>
    <w:rsid w:val="00BE4DB6"/>
    <w:rsid w:val="00BE522E"/>
    <w:rsid w:val="00BE6426"/>
    <w:rsid w:val="00BF0DB5"/>
    <w:rsid w:val="00BF287F"/>
    <w:rsid w:val="00BF3C44"/>
    <w:rsid w:val="00C02C42"/>
    <w:rsid w:val="00C05618"/>
    <w:rsid w:val="00C068F9"/>
    <w:rsid w:val="00C06B87"/>
    <w:rsid w:val="00C07695"/>
    <w:rsid w:val="00C10A7A"/>
    <w:rsid w:val="00C11298"/>
    <w:rsid w:val="00C129CE"/>
    <w:rsid w:val="00C149C2"/>
    <w:rsid w:val="00C20918"/>
    <w:rsid w:val="00C24561"/>
    <w:rsid w:val="00C250D7"/>
    <w:rsid w:val="00C25AA1"/>
    <w:rsid w:val="00C3007A"/>
    <w:rsid w:val="00C31149"/>
    <w:rsid w:val="00C3150D"/>
    <w:rsid w:val="00C37534"/>
    <w:rsid w:val="00C417C3"/>
    <w:rsid w:val="00C417E7"/>
    <w:rsid w:val="00C43FB1"/>
    <w:rsid w:val="00C44AAA"/>
    <w:rsid w:val="00C4560C"/>
    <w:rsid w:val="00C45D34"/>
    <w:rsid w:val="00C4607B"/>
    <w:rsid w:val="00C50F02"/>
    <w:rsid w:val="00C53B39"/>
    <w:rsid w:val="00C55A4A"/>
    <w:rsid w:val="00C66298"/>
    <w:rsid w:val="00C66FC3"/>
    <w:rsid w:val="00C67BC7"/>
    <w:rsid w:val="00C767FB"/>
    <w:rsid w:val="00C90E9C"/>
    <w:rsid w:val="00C93007"/>
    <w:rsid w:val="00CA0B44"/>
    <w:rsid w:val="00CA663D"/>
    <w:rsid w:val="00CB21B4"/>
    <w:rsid w:val="00CB6185"/>
    <w:rsid w:val="00CC2A0C"/>
    <w:rsid w:val="00CC4970"/>
    <w:rsid w:val="00CD2842"/>
    <w:rsid w:val="00CD5FDB"/>
    <w:rsid w:val="00CD7B1C"/>
    <w:rsid w:val="00CE2432"/>
    <w:rsid w:val="00CE35E0"/>
    <w:rsid w:val="00CE484F"/>
    <w:rsid w:val="00CE5D96"/>
    <w:rsid w:val="00CF5049"/>
    <w:rsid w:val="00D0156A"/>
    <w:rsid w:val="00D138A0"/>
    <w:rsid w:val="00D141DA"/>
    <w:rsid w:val="00D218B6"/>
    <w:rsid w:val="00D26973"/>
    <w:rsid w:val="00D27A70"/>
    <w:rsid w:val="00D344FE"/>
    <w:rsid w:val="00D371BB"/>
    <w:rsid w:val="00D46D8A"/>
    <w:rsid w:val="00D517AE"/>
    <w:rsid w:val="00D521F3"/>
    <w:rsid w:val="00D544F5"/>
    <w:rsid w:val="00D54E7E"/>
    <w:rsid w:val="00D61075"/>
    <w:rsid w:val="00D63E8A"/>
    <w:rsid w:val="00D67ED8"/>
    <w:rsid w:val="00D70FA3"/>
    <w:rsid w:val="00D71EEC"/>
    <w:rsid w:val="00D826D8"/>
    <w:rsid w:val="00D82D5E"/>
    <w:rsid w:val="00D83EC3"/>
    <w:rsid w:val="00D86212"/>
    <w:rsid w:val="00D870C0"/>
    <w:rsid w:val="00D90391"/>
    <w:rsid w:val="00D914AB"/>
    <w:rsid w:val="00D92A58"/>
    <w:rsid w:val="00D96C04"/>
    <w:rsid w:val="00DA0169"/>
    <w:rsid w:val="00DA02AA"/>
    <w:rsid w:val="00DA1564"/>
    <w:rsid w:val="00DA236A"/>
    <w:rsid w:val="00DA6C41"/>
    <w:rsid w:val="00DA70B1"/>
    <w:rsid w:val="00DB0F4C"/>
    <w:rsid w:val="00DB4BBE"/>
    <w:rsid w:val="00DC0179"/>
    <w:rsid w:val="00DC5A7E"/>
    <w:rsid w:val="00DC6EC7"/>
    <w:rsid w:val="00DC75C2"/>
    <w:rsid w:val="00DC7CCF"/>
    <w:rsid w:val="00DD2615"/>
    <w:rsid w:val="00DD2ED9"/>
    <w:rsid w:val="00DE47A9"/>
    <w:rsid w:val="00DE5257"/>
    <w:rsid w:val="00DF28DF"/>
    <w:rsid w:val="00DF2BD3"/>
    <w:rsid w:val="00DF39BE"/>
    <w:rsid w:val="00DF462C"/>
    <w:rsid w:val="00DF4B42"/>
    <w:rsid w:val="00E00D94"/>
    <w:rsid w:val="00E06A4E"/>
    <w:rsid w:val="00E07755"/>
    <w:rsid w:val="00E1221D"/>
    <w:rsid w:val="00E15FCA"/>
    <w:rsid w:val="00E20538"/>
    <w:rsid w:val="00E24FF7"/>
    <w:rsid w:val="00E27A94"/>
    <w:rsid w:val="00E36F07"/>
    <w:rsid w:val="00E37ED8"/>
    <w:rsid w:val="00E412E3"/>
    <w:rsid w:val="00E465E4"/>
    <w:rsid w:val="00E63EB9"/>
    <w:rsid w:val="00E671F9"/>
    <w:rsid w:val="00E70E5F"/>
    <w:rsid w:val="00E7328A"/>
    <w:rsid w:val="00E7770B"/>
    <w:rsid w:val="00E86B6F"/>
    <w:rsid w:val="00E87A5A"/>
    <w:rsid w:val="00E87B2B"/>
    <w:rsid w:val="00E9652F"/>
    <w:rsid w:val="00EA20F1"/>
    <w:rsid w:val="00EA6703"/>
    <w:rsid w:val="00EB5E26"/>
    <w:rsid w:val="00EB6149"/>
    <w:rsid w:val="00EB6ED6"/>
    <w:rsid w:val="00EB7A16"/>
    <w:rsid w:val="00EB7A53"/>
    <w:rsid w:val="00EC4BD8"/>
    <w:rsid w:val="00ED1351"/>
    <w:rsid w:val="00EE4240"/>
    <w:rsid w:val="00EE476C"/>
    <w:rsid w:val="00EE70E8"/>
    <w:rsid w:val="00EE7D68"/>
    <w:rsid w:val="00EF0B39"/>
    <w:rsid w:val="00EF5237"/>
    <w:rsid w:val="00F0236C"/>
    <w:rsid w:val="00F044DD"/>
    <w:rsid w:val="00F07A8F"/>
    <w:rsid w:val="00F13B8C"/>
    <w:rsid w:val="00F1517E"/>
    <w:rsid w:val="00F2245D"/>
    <w:rsid w:val="00F2254D"/>
    <w:rsid w:val="00F31B98"/>
    <w:rsid w:val="00F360DA"/>
    <w:rsid w:val="00F415C9"/>
    <w:rsid w:val="00F4173B"/>
    <w:rsid w:val="00F43939"/>
    <w:rsid w:val="00F43F46"/>
    <w:rsid w:val="00F5178B"/>
    <w:rsid w:val="00F55ABF"/>
    <w:rsid w:val="00F574CF"/>
    <w:rsid w:val="00F630E9"/>
    <w:rsid w:val="00F663DD"/>
    <w:rsid w:val="00F71E42"/>
    <w:rsid w:val="00F71E65"/>
    <w:rsid w:val="00F72B85"/>
    <w:rsid w:val="00F8015A"/>
    <w:rsid w:val="00F810B5"/>
    <w:rsid w:val="00F835A9"/>
    <w:rsid w:val="00F86360"/>
    <w:rsid w:val="00F877C5"/>
    <w:rsid w:val="00FA1B7F"/>
    <w:rsid w:val="00FA1F0F"/>
    <w:rsid w:val="00FA2C35"/>
    <w:rsid w:val="00FB1923"/>
    <w:rsid w:val="00FB3DDE"/>
    <w:rsid w:val="00FB43C9"/>
    <w:rsid w:val="00FD0156"/>
    <w:rsid w:val="00FD235E"/>
    <w:rsid w:val="00FD4CE5"/>
    <w:rsid w:val="00FE06FC"/>
    <w:rsid w:val="00FE1942"/>
    <w:rsid w:val="00FE2CC3"/>
    <w:rsid w:val="00FE713C"/>
    <w:rsid w:val="00FF052A"/>
    <w:rsid w:val="00FF060C"/>
    <w:rsid w:val="00FF3E36"/>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41A"/>
    <w:rPr>
      <w:rFonts w:ascii="Tahoma" w:hAnsi="Tahoma" w:cs="Tahoma"/>
      <w:sz w:val="16"/>
      <w:szCs w:val="16"/>
    </w:rPr>
  </w:style>
  <w:style w:type="paragraph" w:styleId="ListParagraph">
    <w:name w:val="List Paragraph"/>
    <w:basedOn w:val="Normal"/>
    <w:uiPriority w:val="34"/>
    <w:qFormat/>
    <w:rsid w:val="00FF49B0"/>
    <w:pPr>
      <w:ind w:left="720"/>
      <w:contextualSpacing/>
    </w:pPr>
  </w:style>
  <w:style w:type="paragraph" w:styleId="NormalWeb">
    <w:name w:val="Normal (Web)"/>
    <w:basedOn w:val="Normal"/>
    <w:uiPriority w:val="99"/>
    <w:semiHidden/>
    <w:unhideWhenUsed/>
    <w:rsid w:val="00CA66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0B4"/>
    <w:rPr>
      <w:color w:val="0000FF"/>
      <w:u w:val="single"/>
    </w:rPr>
  </w:style>
  <w:style w:type="character" w:styleId="CommentReference">
    <w:name w:val="annotation reference"/>
    <w:basedOn w:val="DefaultParagraphFont"/>
    <w:uiPriority w:val="99"/>
    <w:semiHidden/>
    <w:unhideWhenUsed/>
    <w:rsid w:val="00057F2D"/>
    <w:rPr>
      <w:sz w:val="16"/>
      <w:szCs w:val="16"/>
    </w:rPr>
  </w:style>
  <w:style w:type="paragraph" w:styleId="CommentText">
    <w:name w:val="annotation text"/>
    <w:basedOn w:val="Normal"/>
    <w:link w:val="CommentTextChar"/>
    <w:uiPriority w:val="99"/>
    <w:semiHidden/>
    <w:unhideWhenUsed/>
    <w:rsid w:val="00057F2D"/>
    <w:pPr>
      <w:spacing w:line="240" w:lineRule="auto"/>
    </w:pPr>
    <w:rPr>
      <w:sz w:val="20"/>
      <w:szCs w:val="20"/>
    </w:rPr>
  </w:style>
  <w:style w:type="character" w:customStyle="1" w:styleId="CommentTextChar">
    <w:name w:val="Comment Text Char"/>
    <w:basedOn w:val="DefaultParagraphFont"/>
    <w:link w:val="CommentText"/>
    <w:uiPriority w:val="99"/>
    <w:semiHidden/>
    <w:rsid w:val="00057F2D"/>
    <w:rPr>
      <w:sz w:val="20"/>
      <w:szCs w:val="20"/>
    </w:rPr>
  </w:style>
  <w:style w:type="paragraph" w:styleId="CommentSubject">
    <w:name w:val="annotation subject"/>
    <w:basedOn w:val="CommentText"/>
    <w:next w:val="CommentText"/>
    <w:link w:val="CommentSubjectChar"/>
    <w:uiPriority w:val="99"/>
    <w:semiHidden/>
    <w:unhideWhenUsed/>
    <w:rsid w:val="00057F2D"/>
    <w:rPr>
      <w:b/>
      <w:bCs/>
    </w:rPr>
  </w:style>
  <w:style w:type="character" w:customStyle="1" w:styleId="CommentSubjectChar">
    <w:name w:val="Comment Subject Char"/>
    <w:basedOn w:val="CommentTextChar"/>
    <w:link w:val="CommentSubject"/>
    <w:uiPriority w:val="99"/>
    <w:semiHidden/>
    <w:rsid w:val="00057F2D"/>
    <w:rPr>
      <w:b/>
      <w:bCs/>
      <w:sz w:val="20"/>
      <w:szCs w:val="20"/>
    </w:rPr>
  </w:style>
  <w:style w:type="paragraph" w:styleId="Header">
    <w:name w:val="header"/>
    <w:basedOn w:val="Normal"/>
    <w:link w:val="HeaderChar"/>
    <w:uiPriority w:val="99"/>
    <w:unhideWhenUsed/>
    <w:rsid w:val="00DC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179"/>
  </w:style>
  <w:style w:type="paragraph" w:styleId="Footer">
    <w:name w:val="footer"/>
    <w:basedOn w:val="Normal"/>
    <w:link w:val="FooterChar"/>
    <w:uiPriority w:val="99"/>
    <w:unhideWhenUsed/>
    <w:rsid w:val="00DC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179"/>
  </w:style>
  <w:style w:type="paragraph" w:customStyle="1" w:styleId="abc">
    <w:name w:val="abc"/>
    <w:basedOn w:val="Normal"/>
    <w:rsid w:val="00037660"/>
    <w:pPr>
      <w:autoSpaceDE w:val="0"/>
      <w:autoSpaceDN w:val="0"/>
      <w:spacing w:after="0" w:line="240" w:lineRule="auto"/>
    </w:pPr>
    <w:rPr>
      <w:rFonts w:ascii=".VnSouthern" w:eastAsia="Times New Roman" w:hAnsi=".VnSouthern" w:cs="Times New Roman"/>
      <w:sz w:val="20"/>
      <w:szCs w:val="24"/>
    </w:rPr>
  </w:style>
  <w:style w:type="paragraph" w:styleId="FootnoteText">
    <w:name w:val="footnote text"/>
    <w:basedOn w:val="Normal"/>
    <w:link w:val="FootnoteTextChar"/>
    <w:rsid w:val="00A11605"/>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A11605"/>
    <w:rPr>
      <w:rFonts w:ascii="Arial" w:eastAsia="Times New Roman" w:hAnsi="Arial" w:cs="Arial"/>
      <w:sz w:val="20"/>
      <w:szCs w:val="20"/>
    </w:rPr>
  </w:style>
  <w:style w:type="character" w:styleId="FootnoteReference">
    <w:name w:val="footnote reference"/>
    <w:basedOn w:val="DefaultParagraphFont"/>
    <w:rsid w:val="00A116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41A"/>
    <w:rPr>
      <w:rFonts w:ascii="Tahoma" w:hAnsi="Tahoma" w:cs="Tahoma"/>
      <w:sz w:val="16"/>
      <w:szCs w:val="16"/>
    </w:rPr>
  </w:style>
  <w:style w:type="paragraph" w:styleId="ListParagraph">
    <w:name w:val="List Paragraph"/>
    <w:basedOn w:val="Normal"/>
    <w:uiPriority w:val="34"/>
    <w:qFormat/>
    <w:rsid w:val="00FF49B0"/>
    <w:pPr>
      <w:ind w:left="720"/>
      <w:contextualSpacing/>
    </w:pPr>
  </w:style>
  <w:style w:type="paragraph" w:styleId="NormalWeb">
    <w:name w:val="Normal (Web)"/>
    <w:basedOn w:val="Normal"/>
    <w:uiPriority w:val="99"/>
    <w:semiHidden/>
    <w:unhideWhenUsed/>
    <w:rsid w:val="00CA66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0B4"/>
    <w:rPr>
      <w:color w:val="0000FF"/>
      <w:u w:val="single"/>
    </w:rPr>
  </w:style>
  <w:style w:type="character" w:styleId="CommentReference">
    <w:name w:val="annotation reference"/>
    <w:basedOn w:val="DefaultParagraphFont"/>
    <w:uiPriority w:val="99"/>
    <w:semiHidden/>
    <w:unhideWhenUsed/>
    <w:rsid w:val="00057F2D"/>
    <w:rPr>
      <w:sz w:val="16"/>
      <w:szCs w:val="16"/>
    </w:rPr>
  </w:style>
  <w:style w:type="paragraph" w:styleId="CommentText">
    <w:name w:val="annotation text"/>
    <w:basedOn w:val="Normal"/>
    <w:link w:val="CommentTextChar"/>
    <w:uiPriority w:val="99"/>
    <w:semiHidden/>
    <w:unhideWhenUsed/>
    <w:rsid w:val="00057F2D"/>
    <w:pPr>
      <w:spacing w:line="240" w:lineRule="auto"/>
    </w:pPr>
    <w:rPr>
      <w:sz w:val="20"/>
      <w:szCs w:val="20"/>
    </w:rPr>
  </w:style>
  <w:style w:type="character" w:customStyle="1" w:styleId="CommentTextChar">
    <w:name w:val="Comment Text Char"/>
    <w:basedOn w:val="DefaultParagraphFont"/>
    <w:link w:val="CommentText"/>
    <w:uiPriority w:val="99"/>
    <w:semiHidden/>
    <w:rsid w:val="00057F2D"/>
    <w:rPr>
      <w:sz w:val="20"/>
      <w:szCs w:val="20"/>
    </w:rPr>
  </w:style>
  <w:style w:type="paragraph" w:styleId="CommentSubject">
    <w:name w:val="annotation subject"/>
    <w:basedOn w:val="CommentText"/>
    <w:next w:val="CommentText"/>
    <w:link w:val="CommentSubjectChar"/>
    <w:uiPriority w:val="99"/>
    <w:semiHidden/>
    <w:unhideWhenUsed/>
    <w:rsid w:val="00057F2D"/>
    <w:rPr>
      <w:b/>
      <w:bCs/>
    </w:rPr>
  </w:style>
  <w:style w:type="character" w:customStyle="1" w:styleId="CommentSubjectChar">
    <w:name w:val="Comment Subject Char"/>
    <w:basedOn w:val="CommentTextChar"/>
    <w:link w:val="CommentSubject"/>
    <w:uiPriority w:val="99"/>
    <w:semiHidden/>
    <w:rsid w:val="00057F2D"/>
    <w:rPr>
      <w:b/>
      <w:bCs/>
      <w:sz w:val="20"/>
      <w:szCs w:val="20"/>
    </w:rPr>
  </w:style>
  <w:style w:type="paragraph" w:styleId="Header">
    <w:name w:val="header"/>
    <w:basedOn w:val="Normal"/>
    <w:link w:val="HeaderChar"/>
    <w:uiPriority w:val="99"/>
    <w:unhideWhenUsed/>
    <w:rsid w:val="00DC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179"/>
  </w:style>
  <w:style w:type="paragraph" w:styleId="Footer">
    <w:name w:val="footer"/>
    <w:basedOn w:val="Normal"/>
    <w:link w:val="FooterChar"/>
    <w:uiPriority w:val="99"/>
    <w:unhideWhenUsed/>
    <w:rsid w:val="00DC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179"/>
  </w:style>
  <w:style w:type="paragraph" w:customStyle="1" w:styleId="abc">
    <w:name w:val="abc"/>
    <w:basedOn w:val="Normal"/>
    <w:rsid w:val="00037660"/>
    <w:pPr>
      <w:autoSpaceDE w:val="0"/>
      <w:autoSpaceDN w:val="0"/>
      <w:spacing w:after="0" w:line="240" w:lineRule="auto"/>
    </w:pPr>
    <w:rPr>
      <w:rFonts w:ascii=".VnSouthern" w:eastAsia="Times New Roman" w:hAnsi=".VnSouthern" w:cs="Times New Roman"/>
      <w:sz w:val="20"/>
      <w:szCs w:val="24"/>
    </w:rPr>
  </w:style>
  <w:style w:type="paragraph" w:styleId="FootnoteText">
    <w:name w:val="footnote text"/>
    <w:basedOn w:val="Normal"/>
    <w:link w:val="FootnoteTextChar"/>
    <w:rsid w:val="00A11605"/>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A11605"/>
    <w:rPr>
      <w:rFonts w:ascii="Arial" w:eastAsia="Times New Roman" w:hAnsi="Arial" w:cs="Arial"/>
      <w:sz w:val="20"/>
      <w:szCs w:val="20"/>
    </w:rPr>
  </w:style>
  <w:style w:type="character" w:styleId="FootnoteReference">
    <w:name w:val="footnote reference"/>
    <w:basedOn w:val="DefaultParagraphFont"/>
    <w:rsid w:val="00A116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336">
      <w:bodyDiv w:val="1"/>
      <w:marLeft w:val="0"/>
      <w:marRight w:val="0"/>
      <w:marTop w:val="0"/>
      <w:marBottom w:val="0"/>
      <w:divBdr>
        <w:top w:val="none" w:sz="0" w:space="0" w:color="auto"/>
        <w:left w:val="none" w:sz="0" w:space="0" w:color="auto"/>
        <w:bottom w:val="none" w:sz="0" w:space="0" w:color="auto"/>
        <w:right w:val="none" w:sz="0" w:space="0" w:color="auto"/>
      </w:divBdr>
    </w:div>
    <w:div w:id="11710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tien-te-ngan-hang/thong-tu-39-2013-tt-nhnn-xac-dinh-trich-lap-quan-ly-su-dung-khoan-du-phong-rui-ro-nhnn-218621.aspx" TargetMode="External"/><Relationship Id="rId4" Type="http://schemas.microsoft.com/office/2007/relationships/stylesWithEffects" Target="stylesWithEffects.xml"/><Relationship Id="rId9" Type="http://schemas.openxmlformats.org/officeDocument/2006/relationships/hyperlink" Target="https://thuvienphapluat.vn/van-ban/tien-te-ngan-hang/thong-tu-39-2013-tt-nhnn-xac-dinh-trich-lap-quan-ly-su-dung-khoan-du-phong-rui-ro-nhnn-21862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FADC-536D-41BC-81F2-FCCE8A5D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nghia.vudinh</dc:creator>
  <cp:lastModifiedBy>Mai Thi Thu Ha (TCKT)</cp:lastModifiedBy>
  <cp:revision>4</cp:revision>
  <cp:lastPrinted>2021-05-17T03:47:00Z</cp:lastPrinted>
  <dcterms:created xsi:type="dcterms:W3CDTF">2021-05-16T14:59:00Z</dcterms:created>
  <dcterms:modified xsi:type="dcterms:W3CDTF">2021-05-17T06:45:00Z</dcterms:modified>
</cp:coreProperties>
</file>