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AA4" w:rsidRDefault="000D322E" w:rsidP="008F0D50">
      <w:pPr>
        <w:spacing w:before="0"/>
        <w:ind w:right="113"/>
        <w:jc w:val="center"/>
        <w:rPr>
          <w:b/>
          <w:lang w:val="en-US"/>
        </w:rPr>
      </w:pPr>
      <w:bookmarkStart w:id="0" w:name="_GoBack"/>
      <w:bookmarkEnd w:id="0"/>
      <w:r>
        <w:rPr>
          <w:b/>
          <w:lang w:val="en-US"/>
        </w:rPr>
        <w:t xml:space="preserve">BẢN THUYẾT MINH </w:t>
      </w:r>
      <w:r w:rsidR="004E0071">
        <w:rPr>
          <w:b/>
          <w:lang w:val="en-US"/>
        </w:rPr>
        <w:t xml:space="preserve">MỘT SỐ NỘI DUNG </w:t>
      </w:r>
      <w:r w:rsidR="00291627" w:rsidRPr="00795EA8">
        <w:rPr>
          <w:b/>
          <w:lang w:val="en-US"/>
        </w:rPr>
        <w:t>SỬA ĐỔI, BỔ SUNG</w:t>
      </w:r>
      <w:r w:rsidR="004E0071">
        <w:rPr>
          <w:b/>
          <w:lang w:val="en-US"/>
        </w:rPr>
        <w:t xml:space="preserve"> CHỦ YẾU</w:t>
      </w:r>
      <w:r w:rsidR="00291627" w:rsidRPr="00795EA8">
        <w:rPr>
          <w:b/>
          <w:lang w:val="en-US"/>
        </w:rPr>
        <w:t xml:space="preserve"> TẠI DỰ THẢO </w:t>
      </w:r>
      <w:r w:rsidR="008F4CD9" w:rsidRPr="008F4CD9">
        <w:rPr>
          <w:b/>
          <w:lang w:val="en-US"/>
        </w:rPr>
        <w:t>THÔNG TƯ SỬA ĐỔI,</w:t>
      </w:r>
      <w:r w:rsidR="005B3298">
        <w:rPr>
          <w:b/>
          <w:lang w:val="en-US"/>
        </w:rPr>
        <w:t xml:space="preserve"> </w:t>
      </w:r>
      <w:r w:rsidR="008F4CD9" w:rsidRPr="008F4CD9">
        <w:rPr>
          <w:b/>
          <w:lang w:val="en-US"/>
        </w:rPr>
        <w:t>BỔ</w:t>
      </w:r>
      <w:r w:rsidR="008F0D50">
        <w:rPr>
          <w:b/>
          <w:lang w:val="en-US"/>
        </w:rPr>
        <w:t xml:space="preserve"> SUNG </w:t>
      </w:r>
      <w:r w:rsidR="008F4CD9" w:rsidRPr="008F4CD9">
        <w:rPr>
          <w:b/>
          <w:lang w:val="en-US"/>
        </w:rPr>
        <w:t>THÔNG TƯ 17/2016/TT-NHNN</w:t>
      </w:r>
      <w:r w:rsidR="008F4CD9">
        <w:rPr>
          <w:b/>
          <w:lang w:val="en-US"/>
        </w:rPr>
        <w:t xml:space="preserve"> </w:t>
      </w:r>
      <w:r w:rsidR="004639D2">
        <w:rPr>
          <w:b/>
          <w:lang w:val="en-US"/>
        </w:rPr>
        <w:t>QUY ĐỊNH HOẠT ĐỘNG MÔI GIỚI TIỀN TỆ</w:t>
      </w:r>
      <w:r w:rsidR="00C803D0">
        <w:rPr>
          <w:b/>
          <w:lang w:val="en-US"/>
        </w:rPr>
        <w:t xml:space="preserve"> </w:t>
      </w:r>
    </w:p>
    <w:p w:rsidR="00885CE8" w:rsidRPr="00795EA8" w:rsidRDefault="004639D2" w:rsidP="008F0D50">
      <w:pPr>
        <w:spacing w:before="0"/>
        <w:ind w:right="113"/>
        <w:jc w:val="center"/>
        <w:rPr>
          <w:b/>
          <w:lang w:val="en-US"/>
        </w:rPr>
      </w:pPr>
      <w:r>
        <w:rPr>
          <w:b/>
          <w:lang w:val="en-US"/>
        </w:rPr>
        <w:t xml:space="preserve">CỦA </w:t>
      </w:r>
      <w:r w:rsidR="00D4271A">
        <w:rPr>
          <w:b/>
          <w:lang w:val="en-US"/>
        </w:rPr>
        <w:t>NGÂN HÀNG THƯƠNG MẠI</w:t>
      </w:r>
      <w:r>
        <w:rPr>
          <w:b/>
          <w:lang w:val="en-US"/>
        </w:rPr>
        <w:t>, CHI NHÁNH NGÂN HÀNG NƯỚC NGOÀI</w:t>
      </w:r>
    </w:p>
    <w:p w:rsidR="004903BF" w:rsidRPr="00795EA8" w:rsidRDefault="004903BF">
      <w:pPr>
        <w:rPr>
          <w:lang w:val="en-US"/>
        </w:rPr>
      </w:pPr>
    </w:p>
    <w:tbl>
      <w:tblPr>
        <w:tblStyle w:val="TableGrid"/>
        <w:tblW w:w="14743" w:type="dxa"/>
        <w:tblInd w:w="-176" w:type="dxa"/>
        <w:tblLayout w:type="fixed"/>
        <w:tblLook w:val="04A0" w:firstRow="1" w:lastRow="0" w:firstColumn="1" w:lastColumn="0" w:noHBand="0" w:noVBand="1"/>
      </w:tblPr>
      <w:tblGrid>
        <w:gridCol w:w="710"/>
        <w:gridCol w:w="6520"/>
        <w:gridCol w:w="7513"/>
      </w:tblGrid>
      <w:tr w:rsidR="00F67BA8" w:rsidRPr="003A6A4B" w:rsidTr="00BB76FD">
        <w:trPr>
          <w:trHeight w:val="851"/>
          <w:tblHeader/>
        </w:trPr>
        <w:tc>
          <w:tcPr>
            <w:tcW w:w="710" w:type="dxa"/>
            <w:vAlign w:val="center"/>
          </w:tcPr>
          <w:p w:rsidR="00F67BA8" w:rsidRPr="003A6A4B" w:rsidRDefault="00F67BA8" w:rsidP="00BB76FD">
            <w:pPr>
              <w:jc w:val="center"/>
              <w:rPr>
                <w:rFonts w:asciiTheme="majorHAnsi" w:hAnsiTheme="majorHAnsi" w:cstheme="majorHAnsi"/>
                <w:b/>
                <w:color w:val="auto"/>
                <w:sz w:val="24"/>
                <w:szCs w:val="24"/>
              </w:rPr>
            </w:pPr>
          </w:p>
          <w:p w:rsidR="00F67BA8" w:rsidRPr="003A6A4B" w:rsidRDefault="00F67BA8" w:rsidP="00BB76FD">
            <w:pPr>
              <w:jc w:val="center"/>
              <w:rPr>
                <w:rFonts w:asciiTheme="majorHAnsi" w:hAnsiTheme="majorHAnsi" w:cstheme="majorHAnsi"/>
                <w:b/>
                <w:color w:val="auto"/>
                <w:sz w:val="24"/>
                <w:szCs w:val="24"/>
                <w:lang w:val="en-US"/>
              </w:rPr>
            </w:pPr>
            <w:r w:rsidRPr="003A6A4B">
              <w:rPr>
                <w:rFonts w:asciiTheme="majorHAnsi" w:hAnsiTheme="majorHAnsi" w:cstheme="majorHAnsi"/>
                <w:b/>
                <w:color w:val="auto"/>
                <w:sz w:val="24"/>
                <w:szCs w:val="24"/>
                <w:lang w:val="en-US"/>
              </w:rPr>
              <w:t>STT</w:t>
            </w:r>
          </w:p>
          <w:p w:rsidR="003A6A4B" w:rsidRPr="003A6A4B" w:rsidRDefault="003A6A4B" w:rsidP="00BB76FD">
            <w:pPr>
              <w:jc w:val="center"/>
              <w:rPr>
                <w:rFonts w:asciiTheme="majorHAnsi" w:hAnsiTheme="majorHAnsi" w:cstheme="majorHAnsi"/>
                <w:b/>
                <w:color w:val="auto"/>
                <w:sz w:val="24"/>
                <w:szCs w:val="24"/>
                <w:lang w:val="en-US"/>
              </w:rPr>
            </w:pPr>
          </w:p>
        </w:tc>
        <w:tc>
          <w:tcPr>
            <w:tcW w:w="6520" w:type="dxa"/>
            <w:vAlign w:val="center"/>
          </w:tcPr>
          <w:p w:rsidR="00F67BA8" w:rsidRPr="003A6A4B" w:rsidRDefault="00F67BA8" w:rsidP="00BB76FD">
            <w:pPr>
              <w:jc w:val="center"/>
              <w:rPr>
                <w:rFonts w:asciiTheme="majorHAnsi" w:hAnsiTheme="majorHAnsi" w:cstheme="majorHAnsi"/>
                <w:b/>
                <w:color w:val="auto"/>
                <w:sz w:val="24"/>
                <w:szCs w:val="24"/>
                <w:lang w:val="en-US"/>
              </w:rPr>
            </w:pPr>
            <w:r w:rsidRPr="003A6A4B">
              <w:rPr>
                <w:rFonts w:asciiTheme="majorHAnsi" w:hAnsiTheme="majorHAnsi" w:cstheme="majorHAnsi"/>
                <w:b/>
                <w:color w:val="auto"/>
                <w:sz w:val="24"/>
                <w:szCs w:val="24"/>
                <w:lang w:val="en-US"/>
              </w:rPr>
              <w:t xml:space="preserve">Quy định tại </w:t>
            </w:r>
            <w:r w:rsidR="00A67C94">
              <w:rPr>
                <w:rFonts w:asciiTheme="majorHAnsi" w:hAnsiTheme="majorHAnsi" w:cstheme="majorHAnsi"/>
                <w:b/>
                <w:color w:val="auto"/>
                <w:sz w:val="24"/>
                <w:szCs w:val="24"/>
                <w:lang w:val="en-US"/>
              </w:rPr>
              <w:t>Thông tư 17/2016/TT-NHNN</w:t>
            </w:r>
          </w:p>
        </w:tc>
        <w:tc>
          <w:tcPr>
            <w:tcW w:w="7513" w:type="dxa"/>
            <w:vAlign w:val="center"/>
          </w:tcPr>
          <w:p w:rsidR="00F67BA8" w:rsidRPr="003A6A4B" w:rsidRDefault="00F67BA8" w:rsidP="00BB76FD">
            <w:pPr>
              <w:jc w:val="center"/>
              <w:rPr>
                <w:rFonts w:asciiTheme="majorHAnsi" w:hAnsiTheme="majorHAnsi" w:cstheme="majorHAnsi"/>
                <w:b/>
                <w:color w:val="auto"/>
                <w:sz w:val="24"/>
                <w:szCs w:val="24"/>
                <w:lang w:val="en-US"/>
              </w:rPr>
            </w:pPr>
            <w:r w:rsidRPr="003A6A4B">
              <w:rPr>
                <w:rFonts w:asciiTheme="majorHAnsi" w:hAnsiTheme="majorHAnsi" w:cstheme="majorHAnsi"/>
                <w:b/>
                <w:color w:val="auto"/>
                <w:sz w:val="24"/>
                <w:szCs w:val="24"/>
                <w:lang w:val="en-US"/>
              </w:rPr>
              <w:t>Một số nội dung sửa đổi, bổ</w:t>
            </w:r>
            <w:r w:rsidR="00E670FB">
              <w:rPr>
                <w:rFonts w:asciiTheme="majorHAnsi" w:hAnsiTheme="majorHAnsi" w:cstheme="majorHAnsi"/>
                <w:b/>
                <w:color w:val="auto"/>
                <w:sz w:val="24"/>
                <w:szCs w:val="24"/>
                <w:lang w:val="en-US"/>
              </w:rPr>
              <w:t xml:space="preserve"> sung, thay thế, bãi bỏ </w:t>
            </w:r>
            <w:r w:rsidRPr="003A6A4B">
              <w:rPr>
                <w:rFonts w:asciiTheme="majorHAnsi" w:hAnsiTheme="majorHAnsi" w:cstheme="majorHAnsi"/>
                <w:b/>
                <w:color w:val="auto"/>
                <w:sz w:val="24"/>
                <w:szCs w:val="24"/>
                <w:lang w:val="en-US"/>
              </w:rPr>
              <w:t>tại dự thả</w:t>
            </w:r>
            <w:r w:rsidR="003A6A4B">
              <w:rPr>
                <w:rFonts w:asciiTheme="majorHAnsi" w:hAnsiTheme="majorHAnsi" w:cstheme="majorHAnsi"/>
                <w:b/>
                <w:color w:val="auto"/>
                <w:sz w:val="24"/>
                <w:szCs w:val="24"/>
                <w:lang w:val="en-US"/>
              </w:rPr>
              <w:t>o Thông tư</w:t>
            </w:r>
            <w:r w:rsidR="00E670FB">
              <w:rPr>
                <w:rFonts w:asciiTheme="majorHAnsi" w:hAnsiTheme="majorHAnsi" w:cstheme="majorHAnsi"/>
                <w:b/>
                <w:color w:val="auto"/>
                <w:sz w:val="24"/>
                <w:szCs w:val="24"/>
                <w:lang w:val="en-US"/>
              </w:rPr>
              <w:t xml:space="preserve"> sửa đổi, bổ sung </w:t>
            </w:r>
            <w:r w:rsidR="00E670FB" w:rsidRPr="00E670FB">
              <w:rPr>
                <w:rFonts w:asciiTheme="majorHAnsi" w:hAnsiTheme="majorHAnsi" w:cstheme="majorHAnsi"/>
                <w:b/>
                <w:color w:val="auto"/>
                <w:sz w:val="24"/>
                <w:szCs w:val="24"/>
                <w:lang w:val="en-US"/>
              </w:rPr>
              <w:t>Thông tư 17/2016/TT-NHNN</w:t>
            </w:r>
          </w:p>
        </w:tc>
      </w:tr>
      <w:tr w:rsidR="00BE2E08" w:rsidRPr="003A6A4B" w:rsidTr="00E25370">
        <w:trPr>
          <w:trHeight w:val="4691"/>
        </w:trPr>
        <w:tc>
          <w:tcPr>
            <w:tcW w:w="710" w:type="dxa"/>
            <w:vAlign w:val="center"/>
          </w:tcPr>
          <w:p w:rsidR="00BE2E08" w:rsidRPr="003A6A4B" w:rsidRDefault="00886CC4" w:rsidP="003A6A4B">
            <w:pPr>
              <w:jc w:val="center"/>
              <w:rPr>
                <w:rFonts w:asciiTheme="majorHAnsi" w:hAnsiTheme="majorHAnsi" w:cstheme="majorHAnsi"/>
                <w:color w:val="auto"/>
                <w:sz w:val="24"/>
                <w:szCs w:val="24"/>
                <w:lang w:val="en-US"/>
              </w:rPr>
            </w:pPr>
            <w:r>
              <w:rPr>
                <w:rFonts w:asciiTheme="majorHAnsi" w:hAnsiTheme="majorHAnsi" w:cstheme="majorHAnsi"/>
                <w:color w:val="auto"/>
                <w:sz w:val="24"/>
                <w:szCs w:val="24"/>
                <w:lang w:val="en-US"/>
              </w:rPr>
              <w:t>1</w:t>
            </w:r>
          </w:p>
        </w:tc>
        <w:tc>
          <w:tcPr>
            <w:tcW w:w="6520" w:type="dxa"/>
          </w:tcPr>
          <w:p w:rsidR="00BE2E08" w:rsidRDefault="00BE2E08" w:rsidP="00154E4B">
            <w:pPr>
              <w:spacing w:before="120" w:after="120"/>
              <w:rPr>
                <w:rFonts w:asciiTheme="majorHAnsi" w:hAnsiTheme="majorHAnsi" w:cstheme="majorHAnsi"/>
                <w:b/>
                <w:bCs/>
                <w:color w:val="auto"/>
                <w:sz w:val="24"/>
                <w:szCs w:val="24"/>
                <w:lang w:val="en-US"/>
              </w:rPr>
            </w:pPr>
            <w:r w:rsidRPr="003A6A4B">
              <w:rPr>
                <w:rFonts w:asciiTheme="majorHAnsi" w:hAnsiTheme="majorHAnsi" w:cstheme="majorHAnsi"/>
                <w:b/>
                <w:bCs/>
                <w:color w:val="auto"/>
                <w:sz w:val="24"/>
                <w:szCs w:val="24"/>
                <w:lang w:val="en-US"/>
              </w:rPr>
              <w:t>Điều 2</w:t>
            </w:r>
            <w:r w:rsidR="004A4419">
              <w:rPr>
                <w:rFonts w:asciiTheme="majorHAnsi" w:hAnsiTheme="majorHAnsi" w:cstheme="majorHAnsi"/>
                <w:b/>
                <w:bCs/>
                <w:color w:val="auto"/>
                <w:sz w:val="24"/>
                <w:szCs w:val="24"/>
                <w:lang w:val="en-US"/>
              </w:rPr>
              <w:t xml:space="preserve">. </w:t>
            </w:r>
            <w:r w:rsidR="004A4419" w:rsidRPr="004A4419">
              <w:rPr>
                <w:rFonts w:asciiTheme="majorHAnsi" w:hAnsiTheme="majorHAnsi" w:cstheme="majorHAnsi"/>
                <w:b/>
                <w:bCs/>
                <w:color w:val="auto"/>
                <w:sz w:val="24"/>
                <w:szCs w:val="24"/>
                <w:lang w:val="en-US"/>
              </w:rPr>
              <w:t>Đối tượng áp dụng</w:t>
            </w:r>
          </w:p>
          <w:p w:rsidR="00251B27" w:rsidRPr="00251B27" w:rsidRDefault="00251B27" w:rsidP="00154E4B">
            <w:pPr>
              <w:spacing w:after="120"/>
              <w:rPr>
                <w:rFonts w:asciiTheme="majorHAnsi" w:hAnsiTheme="majorHAnsi" w:cstheme="majorHAnsi"/>
                <w:color w:val="auto"/>
                <w:sz w:val="24"/>
                <w:szCs w:val="24"/>
              </w:rPr>
            </w:pPr>
            <w:r w:rsidRPr="00251B27">
              <w:rPr>
                <w:rFonts w:asciiTheme="majorHAnsi" w:hAnsiTheme="majorHAnsi" w:cstheme="majorHAnsi"/>
                <w:color w:val="auto"/>
                <w:sz w:val="24"/>
                <w:szCs w:val="24"/>
              </w:rPr>
              <w:t>1. Bên môi giới tiền tệ (sau đây gọi là bên môi giới) là ngân hàng thương mại, chi nhánh ngân hàng nước ngoài đã được Ngân hàng Nhà nước chấp thuận hoạt động môi giới tiền tệ tại Giấy phép thành lập và hoạt động của ngân hàng thương mại hoặc Giấy phép thành lập chi nhánh ngân hàng nước ngoài do Ngân hàng Nhà nước cấp.</w:t>
            </w:r>
          </w:p>
          <w:p w:rsidR="00BE2E08" w:rsidRPr="003A6A4B" w:rsidRDefault="00251B27" w:rsidP="00154E4B">
            <w:pPr>
              <w:spacing w:after="120"/>
              <w:rPr>
                <w:rFonts w:asciiTheme="majorHAnsi" w:hAnsiTheme="majorHAnsi" w:cstheme="majorHAnsi"/>
                <w:color w:val="auto"/>
                <w:sz w:val="24"/>
                <w:szCs w:val="24"/>
              </w:rPr>
            </w:pPr>
            <w:r w:rsidRPr="00251B27">
              <w:rPr>
                <w:rFonts w:asciiTheme="majorHAnsi" w:hAnsiTheme="majorHAnsi" w:cstheme="majorHAnsi"/>
                <w:color w:val="auto"/>
                <w:sz w:val="24"/>
                <w:szCs w:val="24"/>
              </w:rPr>
              <w:t>2. Khách hàng được môi giới tiền tệ (sau đây gọi là khách hàng) là tổ chức tín dụng, chi nhánh ngân hàng nước ngoài thành lập và hoạt động theo Luật các tổ chức tín dụng và tổ chức tài chính khác.</w:t>
            </w:r>
          </w:p>
        </w:tc>
        <w:tc>
          <w:tcPr>
            <w:tcW w:w="7513" w:type="dxa"/>
          </w:tcPr>
          <w:p w:rsidR="000F5B61" w:rsidRDefault="000F5B61" w:rsidP="00154E4B">
            <w:pPr>
              <w:spacing w:before="120" w:after="120"/>
              <w:rPr>
                <w:rFonts w:asciiTheme="majorHAnsi" w:hAnsiTheme="majorHAnsi" w:cstheme="majorHAnsi"/>
                <w:b/>
                <w:bCs/>
                <w:color w:val="auto"/>
                <w:sz w:val="24"/>
                <w:szCs w:val="24"/>
                <w:lang w:val="en-US"/>
              </w:rPr>
            </w:pPr>
            <w:r w:rsidRPr="003A6A4B">
              <w:rPr>
                <w:rFonts w:asciiTheme="majorHAnsi" w:hAnsiTheme="majorHAnsi" w:cstheme="majorHAnsi"/>
                <w:b/>
                <w:bCs/>
                <w:color w:val="auto"/>
                <w:sz w:val="24"/>
                <w:szCs w:val="24"/>
                <w:lang w:val="en-US"/>
              </w:rPr>
              <w:t>Điều 2</w:t>
            </w:r>
            <w:r w:rsidR="004A4419">
              <w:rPr>
                <w:rFonts w:asciiTheme="majorHAnsi" w:hAnsiTheme="majorHAnsi" w:cstheme="majorHAnsi"/>
                <w:b/>
                <w:bCs/>
                <w:color w:val="auto"/>
                <w:sz w:val="24"/>
                <w:szCs w:val="24"/>
                <w:lang w:val="en-US"/>
              </w:rPr>
              <w:t xml:space="preserve">. </w:t>
            </w:r>
            <w:r w:rsidR="004A4419" w:rsidRPr="004A4419">
              <w:rPr>
                <w:rFonts w:asciiTheme="majorHAnsi" w:hAnsiTheme="majorHAnsi" w:cstheme="majorHAnsi"/>
                <w:b/>
                <w:bCs/>
                <w:color w:val="auto"/>
                <w:sz w:val="24"/>
                <w:szCs w:val="24"/>
                <w:lang w:val="en-US"/>
              </w:rPr>
              <w:t>Đối tượng áp dụng</w:t>
            </w:r>
          </w:p>
          <w:p w:rsidR="00A33A24" w:rsidRPr="00A33A24" w:rsidRDefault="00A33A24" w:rsidP="00154E4B">
            <w:pPr>
              <w:spacing w:after="120"/>
              <w:ind w:firstLine="34"/>
              <w:rPr>
                <w:rFonts w:asciiTheme="majorHAnsi" w:hAnsiTheme="majorHAnsi" w:cstheme="majorHAnsi"/>
                <w:color w:val="auto"/>
                <w:sz w:val="24"/>
                <w:szCs w:val="24"/>
              </w:rPr>
            </w:pPr>
            <w:r w:rsidRPr="00A33A24">
              <w:rPr>
                <w:rFonts w:asciiTheme="majorHAnsi" w:hAnsiTheme="majorHAnsi" w:cstheme="majorHAnsi"/>
                <w:color w:val="auto"/>
                <w:sz w:val="24"/>
                <w:szCs w:val="24"/>
              </w:rPr>
              <w:t>1. Bên môi giới tiền tệ (sau đây gọi là bên môi giới) là ngân hàng thương mại, chi nhánh ngân hàng nước ngoài đã được Ngân hàng Nhà nước chấp thuận hoạt động môi giới tiền tệ tại Giấy phép thành lập và hoạt động của ngân hàng thương mại hoặc Giấy phép thành lập chi nhánh ngân hàng nước ngoài do Ngân hàng Nhà nước cấp.</w:t>
            </w:r>
          </w:p>
          <w:p w:rsidR="00245AD3" w:rsidRPr="00A32365" w:rsidRDefault="00A33A24" w:rsidP="00154E4B">
            <w:pPr>
              <w:spacing w:after="120"/>
              <w:ind w:firstLine="34"/>
              <w:rPr>
                <w:rFonts w:asciiTheme="majorHAnsi" w:hAnsiTheme="majorHAnsi" w:cstheme="majorHAnsi"/>
                <w:color w:val="auto"/>
                <w:sz w:val="24"/>
                <w:szCs w:val="24"/>
              </w:rPr>
            </w:pPr>
            <w:r w:rsidRPr="00A33A24">
              <w:rPr>
                <w:rFonts w:asciiTheme="majorHAnsi" w:hAnsiTheme="majorHAnsi" w:cstheme="majorHAnsi"/>
                <w:color w:val="auto"/>
                <w:sz w:val="24"/>
                <w:szCs w:val="24"/>
              </w:rPr>
              <w:t xml:space="preserve">2. Khách hàng được môi giới tiền tệ (sau đây gọi là khách hàng) là tổ chức tín dụng, chi nhánh ngân hàng nước ngoài thành lập và hoạt động theo Luật các tổ chức tín dụng </w:t>
            </w:r>
            <w:r w:rsidRPr="00FD2BF6">
              <w:rPr>
                <w:rFonts w:asciiTheme="majorHAnsi" w:hAnsiTheme="majorHAnsi" w:cstheme="majorHAnsi"/>
                <w:strike/>
                <w:color w:val="auto"/>
                <w:sz w:val="24"/>
                <w:szCs w:val="24"/>
              </w:rPr>
              <w:t>và tổ chức tài chính khác</w:t>
            </w:r>
            <w:r w:rsidRPr="00A33A24">
              <w:rPr>
                <w:rFonts w:asciiTheme="majorHAnsi" w:hAnsiTheme="majorHAnsi" w:cstheme="majorHAnsi"/>
                <w:color w:val="auto"/>
                <w:sz w:val="24"/>
                <w:szCs w:val="24"/>
              </w:rPr>
              <w:t>.</w:t>
            </w:r>
          </w:p>
          <w:p w:rsidR="00BE2E08" w:rsidRPr="003A6A4B" w:rsidRDefault="00BE2E08" w:rsidP="00154E4B">
            <w:pPr>
              <w:spacing w:after="120"/>
              <w:rPr>
                <w:rFonts w:asciiTheme="majorHAnsi" w:hAnsiTheme="majorHAnsi" w:cstheme="majorHAnsi"/>
                <w:b/>
                <w:color w:val="auto"/>
                <w:sz w:val="24"/>
                <w:szCs w:val="24"/>
                <w:u w:val="single"/>
                <w:lang w:val="pl-PL"/>
              </w:rPr>
            </w:pPr>
            <w:r w:rsidRPr="003A6A4B">
              <w:rPr>
                <w:rFonts w:asciiTheme="majorHAnsi" w:hAnsiTheme="majorHAnsi" w:cstheme="majorHAnsi"/>
                <w:b/>
                <w:color w:val="auto"/>
                <w:sz w:val="24"/>
                <w:szCs w:val="24"/>
                <w:u w:val="single"/>
                <w:lang w:val="pl-PL"/>
              </w:rPr>
              <w:t>Cơ sở đề xuất:</w:t>
            </w:r>
          </w:p>
          <w:p w:rsidR="00BE2E08" w:rsidRPr="003A6A4B" w:rsidRDefault="00685757" w:rsidP="00154E4B">
            <w:pPr>
              <w:spacing w:after="120"/>
              <w:rPr>
                <w:rFonts w:asciiTheme="majorHAnsi" w:hAnsiTheme="majorHAnsi" w:cstheme="majorHAnsi"/>
                <w:color w:val="auto"/>
                <w:sz w:val="24"/>
                <w:szCs w:val="24"/>
                <w:lang w:val="pl-PL"/>
              </w:rPr>
            </w:pPr>
            <w:r>
              <w:rPr>
                <w:rFonts w:asciiTheme="majorHAnsi" w:hAnsiTheme="majorHAnsi" w:cstheme="majorHAnsi"/>
                <w:color w:val="auto"/>
                <w:sz w:val="24"/>
                <w:szCs w:val="24"/>
                <w:lang w:val="pl-PL"/>
              </w:rPr>
              <w:t>Điều chỉnh đối tượng áp dụng</w:t>
            </w:r>
            <w:r w:rsidR="00C02413">
              <w:rPr>
                <w:rFonts w:asciiTheme="majorHAnsi" w:hAnsiTheme="majorHAnsi" w:cstheme="majorHAnsi"/>
                <w:color w:val="auto"/>
                <w:sz w:val="24"/>
                <w:szCs w:val="24"/>
                <w:lang w:val="pl-PL"/>
              </w:rPr>
              <w:t xml:space="preserve"> (bỏ tổ chức tài chính khác</w:t>
            </w:r>
            <w:r w:rsidR="00227A38">
              <w:rPr>
                <w:rFonts w:asciiTheme="majorHAnsi" w:hAnsiTheme="majorHAnsi" w:cstheme="majorHAnsi"/>
                <w:color w:val="auto"/>
                <w:sz w:val="24"/>
                <w:szCs w:val="24"/>
                <w:lang w:val="pl-PL"/>
              </w:rPr>
              <w:t xml:space="preserve"> không phải là</w:t>
            </w:r>
            <w:r w:rsidR="00E5243B">
              <w:rPr>
                <w:rFonts w:asciiTheme="majorHAnsi" w:hAnsiTheme="majorHAnsi" w:cstheme="majorHAnsi"/>
                <w:color w:val="auto"/>
                <w:sz w:val="24"/>
                <w:szCs w:val="24"/>
                <w:lang w:val="pl-PL"/>
              </w:rPr>
              <w:t xml:space="preserve"> </w:t>
            </w:r>
            <w:r w:rsidR="00E5243B" w:rsidRPr="00E5243B">
              <w:rPr>
                <w:rFonts w:asciiTheme="majorHAnsi" w:hAnsiTheme="majorHAnsi" w:cstheme="majorHAnsi"/>
                <w:color w:val="auto"/>
                <w:sz w:val="24"/>
                <w:szCs w:val="24"/>
                <w:lang w:val="pl-PL"/>
              </w:rPr>
              <w:t>ngân hàng thương mại, chi nhánh ngân hàng nước ngoài</w:t>
            </w:r>
            <w:r w:rsidR="00C02413">
              <w:rPr>
                <w:rFonts w:asciiTheme="majorHAnsi" w:hAnsiTheme="majorHAnsi" w:cstheme="majorHAnsi"/>
                <w:color w:val="auto"/>
                <w:sz w:val="24"/>
                <w:szCs w:val="24"/>
                <w:lang w:val="pl-PL"/>
              </w:rPr>
              <w:t>)</w:t>
            </w:r>
            <w:r w:rsidR="00BE2E08" w:rsidRPr="003A6A4B">
              <w:rPr>
                <w:rFonts w:asciiTheme="majorHAnsi" w:hAnsiTheme="majorHAnsi" w:cstheme="majorHAnsi"/>
                <w:color w:val="auto"/>
                <w:sz w:val="24"/>
                <w:szCs w:val="24"/>
                <w:lang w:val="pl-PL"/>
              </w:rPr>
              <w:t xml:space="preserve"> </w:t>
            </w:r>
            <w:r w:rsidR="00CC3A50">
              <w:rPr>
                <w:rFonts w:asciiTheme="majorHAnsi" w:hAnsiTheme="majorHAnsi" w:cstheme="majorHAnsi"/>
                <w:color w:val="auto"/>
                <w:sz w:val="24"/>
                <w:szCs w:val="24"/>
                <w:lang w:val="pl-PL"/>
              </w:rPr>
              <w:t>đ</w:t>
            </w:r>
            <w:r w:rsidR="00CC3A50" w:rsidRPr="00CC3A50">
              <w:rPr>
                <w:rFonts w:asciiTheme="majorHAnsi" w:hAnsiTheme="majorHAnsi" w:cstheme="majorHAnsi"/>
                <w:color w:val="auto"/>
                <w:sz w:val="24"/>
                <w:szCs w:val="24"/>
                <w:lang w:val="pl-PL"/>
              </w:rPr>
              <w:t xml:space="preserve">ể phù hợp với quy định </w:t>
            </w:r>
            <w:r w:rsidR="00BE2E08" w:rsidRPr="003A6A4B">
              <w:rPr>
                <w:rFonts w:asciiTheme="majorHAnsi" w:hAnsiTheme="majorHAnsi" w:cstheme="majorHAnsi"/>
                <w:color w:val="auto"/>
                <w:sz w:val="24"/>
                <w:szCs w:val="24"/>
              </w:rPr>
              <w:t>về môi giới tiền tệ tại Khoản 2</w:t>
            </w:r>
            <w:r w:rsidR="00E66599">
              <w:rPr>
                <w:rFonts w:asciiTheme="majorHAnsi" w:hAnsiTheme="majorHAnsi" w:cstheme="majorHAnsi"/>
                <w:color w:val="auto"/>
                <w:sz w:val="24"/>
                <w:szCs w:val="24"/>
                <w:lang w:val="en-US"/>
              </w:rPr>
              <w:t>0</w:t>
            </w:r>
            <w:r w:rsidR="00BE2E08" w:rsidRPr="003A6A4B">
              <w:rPr>
                <w:rFonts w:asciiTheme="majorHAnsi" w:hAnsiTheme="majorHAnsi" w:cstheme="majorHAnsi"/>
                <w:color w:val="auto"/>
                <w:sz w:val="24"/>
                <w:szCs w:val="24"/>
              </w:rPr>
              <w:t xml:space="preserve"> Điều 4 Luật TCTD 20</w:t>
            </w:r>
            <w:r w:rsidR="00E66599">
              <w:rPr>
                <w:rFonts w:asciiTheme="majorHAnsi" w:hAnsiTheme="majorHAnsi" w:cstheme="majorHAnsi"/>
                <w:color w:val="auto"/>
                <w:sz w:val="24"/>
                <w:szCs w:val="24"/>
                <w:lang w:val="en-US"/>
              </w:rPr>
              <w:t>24</w:t>
            </w:r>
            <w:r w:rsidR="007346C7" w:rsidRPr="003A6A4B">
              <w:rPr>
                <w:rFonts w:asciiTheme="majorHAnsi" w:hAnsiTheme="majorHAnsi" w:cstheme="majorHAnsi"/>
                <w:color w:val="auto"/>
                <w:sz w:val="24"/>
                <w:szCs w:val="24"/>
                <w:lang w:val="pl-PL"/>
              </w:rPr>
              <w:t xml:space="preserve"> </w:t>
            </w:r>
            <w:r w:rsidR="007346C7" w:rsidRPr="003A6A4B">
              <w:rPr>
                <w:rFonts w:asciiTheme="majorHAnsi" w:hAnsiTheme="majorHAnsi" w:cstheme="majorHAnsi"/>
                <w:i/>
                <w:color w:val="auto"/>
                <w:sz w:val="24"/>
                <w:szCs w:val="24"/>
                <w:lang w:val="pl-PL"/>
              </w:rPr>
              <w:t>“</w:t>
            </w:r>
            <w:r w:rsidR="00E66599" w:rsidRPr="00E66599">
              <w:rPr>
                <w:rFonts w:asciiTheme="majorHAnsi" w:hAnsiTheme="majorHAnsi" w:cstheme="majorHAnsi"/>
                <w:i/>
                <w:sz w:val="24"/>
                <w:szCs w:val="24"/>
                <w:lang w:val="pl-PL"/>
              </w:rPr>
              <w:t>Môi giới tiền tệ là việc làm trung gian có thu phí môi giới để thu xếp thực hiện hoạt động ngân hàng và hoạt động kinh doanh khác theo quy định của Luật này giữa các tổ chức tín dụng, chi nhánh ngân hàng nướ</w:t>
            </w:r>
            <w:r w:rsidR="00E66599">
              <w:rPr>
                <w:rFonts w:asciiTheme="majorHAnsi" w:hAnsiTheme="majorHAnsi" w:cstheme="majorHAnsi"/>
                <w:i/>
                <w:sz w:val="24"/>
                <w:szCs w:val="24"/>
                <w:lang w:val="pl-PL"/>
              </w:rPr>
              <w:t>c ngoài</w:t>
            </w:r>
            <w:r w:rsidR="007346C7" w:rsidRPr="003A6A4B">
              <w:rPr>
                <w:rFonts w:asciiTheme="majorHAnsi" w:hAnsiTheme="majorHAnsi" w:cstheme="majorHAnsi"/>
                <w:i/>
                <w:sz w:val="24"/>
                <w:szCs w:val="24"/>
                <w:lang w:val="pl-PL"/>
              </w:rPr>
              <w:t>”</w:t>
            </w:r>
            <w:r w:rsidR="00BE2E08" w:rsidRPr="003A6A4B">
              <w:rPr>
                <w:rFonts w:asciiTheme="majorHAnsi" w:hAnsiTheme="majorHAnsi" w:cstheme="majorHAnsi"/>
                <w:bCs/>
                <w:i/>
                <w:color w:val="auto"/>
                <w:sz w:val="24"/>
                <w:szCs w:val="24"/>
                <w:lang w:val="pl-PL"/>
              </w:rPr>
              <w:t>.</w:t>
            </w:r>
            <w:r w:rsidR="00BE2E08" w:rsidRPr="003A6A4B">
              <w:rPr>
                <w:rFonts w:asciiTheme="majorHAnsi" w:hAnsiTheme="majorHAnsi" w:cstheme="majorHAnsi"/>
                <w:bCs/>
                <w:color w:val="auto"/>
                <w:sz w:val="24"/>
                <w:szCs w:val="24"/>
                <w:lang w:val="pl-PL"/>
              </w:rPr>
              <w:t xml:space="preserve"> </w:t>
            </w:r>
          </w:p>
        </w:tc>
      </w:tr>
      <w:tr w:rsidR="00BE2E08" w:rsidRPr="003A6A4B" w:rsidTr="00E25370">
        <w:trPr>
          <w:trHeight w:val="1705"/>
        </w:trPr>
        <w:tc>
          <w:tcPr>
            <w:tcW w:w="710" w:type="dxa"/>
            <w:vAlign w:val="center"/>
          </w:tcPr>
          <w:p w:rsidR="00BE2E08" w:rsidRPr="003A6A4B" w:rsidRDefault="0098545A" w:rsidP="003A6A4B">
            <w:pPr>
              <w:jc w:val="center"/>
              <w:rPr>
                <w:rFonts w:asciiTheme="majorHAnsi" w:hAnsiTheme="majorHAnsi" w:cstheme="majorHAnsi"/>
                <w:color w:val="auto"/>
                <w:sz w:val="24"/>
                <w:szCs w:val="24"/>
                <w:lang w:val="pl-PL"/>
              </w:rPr>
            </w:pPr>
            <w:r>
              <w:rPr>
                <w:rFonts w:asciiTheme="majorHAnsi" w:hAnsiTheme="majorHAnsi" w:cstheme="majorHAnsi"/>
                <w:color w:val="auto"/>
                <w:sz w:val="24"/>
                <w:szCs w:val="24"/>
                <w:lang w:val="pl-PL"/>
              </w:rPr>
              <w:t>2</w:t>
            </w:r>
          </w:p>
        </w:tc>
        <w:tc>
          <w:tcPr>
            <w:tcW w:w="6520" w:type="dxa"/>
          </w:tcPr>
          <w:p w:rsidR="00DC529B" w:rsidRPr="00DC529B" w:rsidRDefault="00DC529B" w:rsidP="00154E4B">
            <w:pPr>
              <w:spacing w:before="120" w:after="120"/>
              <w:rPr>
                <w:rFonts w:asciiTheme="majorHAnsi" w:hAnsiTheme="majorHAnsi" w:cstheme="majorHAnsi"/>
                <w:b/>
                <w:color w:val="auto"/>
                <w:sz w:val="24"/>
                <w:szCs w:val="24"/>
                <w:lang w:val="en-US"/>
              </w:rPr>
            </w:pPr>
            <w:bookmarkStart w:id="1" w:name="dieu_3"/>
            <w:r w:rsidRPr="00DC529B">
              <w:rPr>
                <w:rFonts w:asciiTheme="majorHAnsi" w:hAnsiTheme="majorHAnsi" w:cstheme="majorHAnsi"/>
                <w:b/>
                <w:bCs/>
                <w:color w:val="auto"/>
                <w:sz w:val="24"/>
                <w:szCs w:val="24"/>
                <w:lang w:val="en-US"/>
              </w:rPr>
              <w:t>Điều 3. Giải thích từ ngữ</w:t>
            </w:r>
            <w:bookmarkEnd w:id="1"/>
          </w:p>
          <w:p w:rsidR="00DC529B" w:rsidRPr="008F7C53" w:rsidRDefault="00DC529B" w:rsidP="00154E4B">
            <w:pPr>
              <w:spacing w:after="120"/>
              <w:rPr>
                <w:rFonts w:asciiTheme="majorHAnsi" w:hAnsiTheme="majorHAnsi" w:cstheme="majorHAnsi"/>
                <w:color w:val="auto"/>
                <w:sz w:val="24"/>
                <w:szCs w:val="24"/>
                <w:lang w:val="en-US"/>
              </w:rPr>
            </w:pPr>
            <w:r w:rsidRPr="008F7C53">
              <w:rPr>
                <w:rFonts w:asciiTheme="majorHAnsi" w:hAnsiTheme="majorHAnsi" w:cstheme="majorHAnsi"/>
                <w:color w:val="auto"/>
                <w:sz w:val="24"/>
                <w:szCs w:val="24"/>
                <w:lang w:val="en-US"/>
              </w:rPr>
              <w:t>Trong Thông tư này, các từ ngữ dưới đây được hiểu như sau:</w:t>
            </w:r>
          </w:p>
          <w:p w:rsidR="00DC529B" w:rsidRPr="008F7C53" w:rsidRDefault="00DC529B" w:rsidP="00154E4B">
            <w:pPr>
              <w:spacing w:before="120" w:after="120"/>
              <w:rPr>
                <w:rFonts w:asciiTheme="majorHAnsi" w:hAnsiTheme="majorHAnsi" w:cstheme="majorHAnsi"/>
                <w:color w:val="auto"/>
                <w:sz w:val="24"/>
                <w:szCs w:val="24"/>
                <w:lang w:val="en-US"/>
              </w:rPr>
            </w:pPr>
            <w:r w:rsidRPr="008F7C53">
              <w:rPr>
                <w:rFonts w:asciiTheme="majorHAnsi" w:hAnsiTheme="majorHAnsi" w:cstheme="majorHAnsi"/>
                <w:color w:val="auto"/>
                <w:sz w:val="24"/>
                <w:szCs w:val="24"/>
                <w:lang w:val="en-US"/>
              </w:rPr>
              <w:t>1. Môi giới tiền tệ là việc làm trung gian có thu phí môi giới để thu xếp thực hiện các hoạt động ngân hàng và các hoạt động kinh doanh khác theo quy định tại </w:t>
            </w:r>
            <w:bookmarkStart w:id="2" w:name="tc_1"/>
            <w:r w:rsidRPr="008F7C53">
              <w:rPr>
                <w:rFonts w:asciiTheme="majorHAnsi" w:hAnsiTheme="majorHAnsi" w:cstheme="majorHAnsi"/>
                <w:color w:val="auto"/>
                <w:sz w:val="24"/>
                <w:szCs w:val="24"/>
                <w:lang w:val="en-US"/>
              </w:rPr>
              <w:t>Điều 5 Thông tư này</w:t>
            </w:r>
            <w:bookmarkEnd w:id="2"/>
            <w:r w:rsidRPr="008F7C53">
              <w:rPr>
                <w:rFonts w:asciiTheme="majorHAnsi" w:hAnsiTheme="majorHAnsi" w:cstheme="majorHAnsi"/>
                <w:color w:val="auto"/>
                <w:sz w:val="24"/>
                <w:szCs w:val="24"/>
                <w:lang w:val="en-US"/>
              </w:rPr>
              <w:t> giữa các tổ chức tín dụng, chi nhánh ngân hàng nước ngoài, tổ chức tài chính khác.</w:t>
            </w:r>
          </w:p>
          <w:p w:rsidR="00DC529B" w:rsidRPr="008F7C53" w:rsidRDefault="00DC529B" w:rsidP="00154E4B">
            <w:pPr>
              <w:spacing w:after="120"/>
              <w:rPr>
                <w:rFonts w:asciiTheme="majorHAnsi" w:hAnsiTheme="majorHAnsi" w:cstheme="majorHAnsi"/>
                <w:color w:val="auto"/>
                <w:sz w:val="24"/>
                <w:szCs w:val="24"/>
                <w:lang w:val="en-US"/>
              </w:rPr>
            </w:pPr>
            <w:r w:rsidRPr="008F7C53">
              <w:rPr>
                <w:rFonts w:asciiTheme="majorHAnsi" w:hAnsiTheme="majorHAnsi" w:cstheme="majorHAnsi"/>
                <w:color w:val="auto"/>
                <w:sz w:val="24"/>
                <w:szCs w:val="24"/>
                <w:lang w:val="en-US"/>
              </w:rPr>
              <w:t>2. Tổ chức tài chính khác là tổ chức tài chính được xác định theo quy định của Luật Phòng, chống rửa tiền.</w:t>
            </w:r>
          </w:p>
          <w:p w:rsidR="00DC529B" w:rsidRPr="008F7C53" w:rsidRDefault="00DC529B" w:rsidP="00154E4B">
            <w:pPr>
              <w:spacing w:after="120"/>
              <w:rPr>
                <w:rFonts w:asciiTheme="majorHAnsi" w:hAnsiTheme="majorHAnsi" w:cstheme="majorHAnsi"/>
                <w:color w:val="auto"/>
                <w:sz w:val="24"/>
                <w:szCs w:val="24"/>
                <w:lang w:val="en-US"/>
              </w:rPr>
            </w:pPr>
            <w:r w:rsidRPr="008F7C53">
              <w:rPr>
                <w:rFonts w:asciiTheme="majorHAnsi" w:hAnsiTheme="majorHAnsi" w:cstheme="majorHAnsi"/>
                <w:color w:val="auto"/>
                <w:sz w:val="24"/>
                <w:szCs w:val="24"/>
                <w:lang w:val="en-US"/>
              </w:rPr>
              <w:lastRenderedPageBreak/>
              <w:t>3. Phí môi giới tiền tệ là số tiền khách hàng phải trả cho bên môi giới để được cung ứng dịch vụ môi giới tiền tệ.</w:t>
            </w:r>
          </w:p>
          <w:p w:rsidR="00BE2E08" w:rsidRPr="004623A7" w:rsidRDefault="00BE2E08" w:rsidP="00154E4B">
            <w:pPr>
              <w:spacing w:before="120" w:after="120"/>
              <w:rPr>
                <w:rFonts w:asciiTheme="majorHAnsi" w:hAnsiTheme="majorHAnsi" w:cstheme="majorHAnsi"/>
                <w:b/>
                <w:color w:val="auto"/>
                <w:sz w:val="24"/>
                <w:szCs w:val="24"/>
              </w:rPr>
            </w:pPr>
          </w:p>
        </w:tc>
        <w:tc>
          <w:tcPr>
            <w:tcW w:w="7513" w:type="dxa"/>
          </w:tcPr>
          <w:p w:rsidR="00524C9C" w:rsidRPr="003A6A4B" w:rsidRDefault="00BE2E08" w:rsidP="00154E4B">
            <w:pPr>
              <w:pStyle w:val="NormalWeb"/>
              <w:spacing w:before="120" w:beforeAutospacing="0" w:after="120" w:afterAutospacing="0"/>
              <w:jc w:val="both"/>
              <w:rPr>
                <w:rFonts w:asciiTheme="majorHAnsi" w:hAnsiTheme="majorHAnsi" w:cstheme="majorHAnsi"/>
                <w:b/>
                <w:bCs/>
                <w:lang w:val="pl-PL"/>
              </w:rPr>
            </w:pPr>
            <w:r w:rsidRPr="003A6A4B">
              <w:rPr>
                <w:rFonts w:asciiTheme="majorHAnsi" w:hAnsiTheme="majorHAnsi" w:cstheme="majorHAnsi"/>
                <w:b/>
                <w:bCs/>
                <w:lang w:val="pl-PL"/>
              </w:rPr>
              <w:lastRenderedPageBreak/>
              <w:t>Điều 3. Giải thích từ ngữ</w:t>
            </w:r>
            <w:r w:rsidR="00524C9C" w:rsidRPr="003A6A4B">
              <w:rPr>
                <w:rFonts w:asciiTheme="majorHAnsi" w:hAnsiTheme="majorHAnsi" w:cstheme="majorHAnsi"/>
                <w:b/>
                <w:bCs/>
                <w:lang w:val="pl-PL"/>
              </w:rPr>
              <w:t xml:space="preserve"> </w:t>
            </w:r>
          </w:p>
          <w:p w:rsidR="0023668B" w:rsidRPr="001A7995" w:rsidRDefault="0023668B" w:rsidP="00154E4B">
            <w:pPr>
              <w:spacing w:after="120"/>
              <w:rPr>
                <w:rFonts w:asciiTheme="majorHAnsi" w:hAnsiTheme="majorHAnsi" w:cstheme="majorHAnsi"/>
                <w:color w:val="auto"/>
                <w:sz w:val="24"/>
                <w:szCs w:val="24"/>
                <w:lang w:val="en-US"/>
              </w:rPr>
            </w:pPr>
            <w:r w:rsidRPr="001A7995">
              <w:rPr>
                <w:rFonts w:asciiTheme="majorHAnsi" w:hAnsiTheme="majorHAnsi" w:cstheme="majorHAnsi"/>
                <w:color w:val="auto"/>
                <w:sz w:val="24"/>
                <w:szCs w:val="24"/>
                <w:lang w:val="en-US"/>
              </w:rPr>
              <w:t>Trong Thông tư này, các từ ngữ dưới đây được hiểu như sau:</w:t>
            </w:r>
          </w:p>
          <w:p w:rsidR="0023668B" w:rsidRPr="001A7995" w:rsidRDefault="0023668B" w:rsidP="00154E4B">
            <w:pPr>
              <w:spacing w:after="120"/>
              <w:rPr>
                <w:rFonts w:asciiTheme="majorHAnsi" w:hAnsiTheme="majorHAnsi" w:cstheme="majorHAnsi"/>
                <w:color w:val="auto"/>
                <w:sz w:val="24"/>
                <w:szCs w:val="24"/>
                <w:lang w:val="en-US"/>
              </w:rPr>
            </w:pPr>
            <w:r w:rsidRPr="001A7995">
              <w:rPr>
                <w:rFonts w:asciiTheme="majorHAnsi" w:hAnsiTheme="majorHAnsi" w:cstheme="majorHAnsi"/>
                <w:color w:val="auto"/>
                <w:sz w:val="24"/>
                <w:szCs w:val="24"/>
                <w:lang w:val="en-US"/>
              </w:rPr>
              <w:t>1. Môi giới tiền tệ là việc làm trung gian có thu phí môi giới để thu xếp thực hiện các hoạt động ngân hàng và các hoạt động kinh doanh khác theo quy định tại Điều 5 Thông tư này giữa các tổ chức tín dụng, chi nhánh ngân hàng nước ngoài</w:t>
            </w:r>
            <w:r w:rsidRPr="0066699E">
              <w:rPr>
                <w:rFonts w:asciiTheme="majorHAnsi" w:hAnsiTheme="majorHAnsi" w:cstheme="majorHAnsi"/>
                <w:strike/>
                <w:color w:val="auto"/>
                <w:sz w:val="24"/>
                <w:szCs w:val="24"/>
                <w:lang w:val="en-US"/>
              </w:rPr>
              <w:t>, tổ chức tài chính khác</w:t>
            </w:r>
            <w:r w:rsidRPr="001A7995">
              <w:rPr>
                <w:rFonts w:asciiTheme="majorHAnsi" w:hAnsiTheme="majorHAnsi" w:cstheme="majorHAnsi"/>
                <w:color w:val="auto"/>
                <w:sz w:val="24"/>
                <w:szCs w:val="24"/>
                <w:lang w:val="en-US"/>
              </w:rPr>
              <w:t>.</w:t>
            </w:r>
          </w:p>
          <w:p w:rsidR="0023668B" w:rsidRPr="0066699E" w:rsidRDefault="0023668B" w:rsidP="00154E4B">
            <w:pPr>
              <w:spacing w:after="120"/>
              <w:rPr>
                <w:rFonts w:asciiTheme="majorHAnsi" w:hAnsiTheme="majorHAnsi" w:cstheme="majorHAnsi"/>
                <w:strike/>
                <w:color w:val="auto"/>
                <w:sz w:val="24"/>
                <w:szCs w:val="24"/>
                <w:lang w:val="en-US"/>
              </w:rPr>
            </w:pPr>
            <w:r w:rsidRPr="0066699E">
              <w:rPr>
                <w:rFonts w:asciiTheme="majorHAnsi" w:hAnsiTheme="majorHAnsi" w:cstheme="majorHAnsi"/>
                <w:strike/>
                <w:color w:val="auto"/>
                <w:sz w:val="24"/>
                <w:szCs w:val="24"/>
                <w:lang w:val="en-US"/>
              </w:rPr>
              <w:t>2. Tổ chức tài chính khác là tổ chức tài chính được xác định theo quy định của Luật Phòng, chống rửa tiền.</w:t>
            </w:r>
          </w:p>
          <w:p w:rsidR="0023668B" w:rsidRPr="001A7995" w:rsidRDefault="0023668B" w:rsidP="00154E4B">
            <w:pPr>
              <w:spacing w:after="120"/>
              <w:rPr>
                <w:rFonts w:asciiTheme="majorHAnsi" w:hAnsiTheme="majorHAnsi" w:cstheme="majorHAnsi"/>
                <w:color w:val="auto"/>
                <w:sz w:val="24"/>
                <w:szCs w:val="24"/>
                <w:lang w:val="en-US"/>
              </w:rPr>
            </w:pPr>
            <w:r w:rsidRPr="001A7995">
              <w:rPr>
                <w:rFonts w:asciiTheme="majorHAnsi" w:hAnsiTheme="majorHAnsi" w:cstheme="majorHAnsi"/>
                <w:color w:val="auto"/>
                <w:sz w:val="24"/>
                <w:szCs w:val="24"/>
                <w:lang w:val="en-US"/>
              </w:rPr>
              <w:lastRenderedPageBreak/>
              <w:t>3. Phí môi giới tiền tệ là số tiền khách hàng phải trả cho bên môi giới để được cung ứng dịch vụ môi giới tiền tệ.</w:t>
            </w:r>
          </w:p>
          <w:p w:rsidR="00BE2E08" w:rsidRPr="003A6A4B" w:rsidRDefault="00BE2E08" w:rsidP="00154E4B">
            <w:pPr>
              <w:pStyle w:val="NormalWeb"/>
              <w:spacing w:before="120" w:beforeAutospacing="0" w:after="120" w:afterAutospacing="0"/>
              <w:jc w:val="both"/>
              <w:rPr>
                <w:rFonts w:asciiTheme="majorHAnsi" w:hAnsiTheme="majorHAnsi" w:cstheme="majorHAnsi"/>
                <w:b/>
                <w:bCs/>
                <w:u w:val="single"/>
                <w:lang w:val="vi-VN"/>
              </w:rPr>
            </w:pPr>
            <w:r w:rsidRPr="003A6A4B">
              <w:rPr>
                <w:rFonts w:asciiTheme="majorHAnsi" w:hAnsiTheme="majorHAnsi" w:cstheme="majorHAnsi"/>
                <w:b/>
                <w:bCs/>
                <w:u w:val="single"/>
                <w:lang w:val="vi-VN"/>
              </w:rPr>
              <w:t>Cơ sở đề xuất:</w:t>
            </w:r>
          </w:p>
          <w:p w:rsidR="00BE2E08" w:rsidRPr="003A6A4B" w:rsidRDefault="00BE2E08" w:rsidP="00154E4B">
            <w:pPr>
              <w:pStyle w:val="NormalWeb"/>
              <w:spacing w:before="120" w:beforeAutospacing="0" w:after="120" w:afterAutospacing="0"/>
              <w:jc w:val="both"/>
              <w:rPr>
                <w:rFonts w:asciiTheme="majorHAnsi" w:hAnsiTheme="majorHAnsi" w:cstheme="majorHAnsi"/>
                <w:bCs/>
                <w:lang w:val="vi-VN"/>
              </w:rPr>
            </w:pPr>
            <w:r w:rsidRPr="003A6A4B">
              <w:rPr>
                <w:rFonts w:asciiTheme="majorHAnsi" w:hAnsiTheme="majorHAnsi" w:cstheme="majorHAnsi"/>
                <w:bCs/>
                <w:lang w:val="vi-VN"/>
              </w:rPr>
              <w:t xml:space="preserve">- </w:t>
            </w:r>
            <w:r w:rsidR="008E0297" w:rsidRPr="008E0297">
              <w:rPr>
                <w:rFonts w:asciiTheme="majorHAnsi" w:hAnsiTheme="majorHAnsi" w:cstheme="majorHAnsi"/>
                <w:bCs/>
              </w:rPr>
              <w:t>Để phù hợp với quy định về môi giới tiền tệ tại Khoản 20 Điều 4 Luật TCTD 2024.</w:t>
            </w:r>
          </w:p>
          <w:p w:rsidR="00EB7CF6" w:rsidRPr="00A662B0" w:rsidRDefault="00BE2E08" w:rsidP="00AB7F00">
            <w:pPr>
              <w:tabs>
                <w:tab w:val="left" w:pos="0"/>
              </w:tabs>
              <w:spacing w:before="120" w:after="120"/>
              <w:ind w:firstLine="34"/>
              <w:rPr>
                <w:rFonts w:asciiTheme="majorHAnsi" w:hAnsiTheme="majorHAnsi" w:cstheme="majorHAnsi"/>
                <w:bCs/>
                <w:sz w:val="24"/>
                <w:szCs w:val="24"/>
                <w:lang w:val="en-US"/>
              </w:rPr>
            </w:pPr>
            <w:r w:rsidRPr="003A6A4B">
              <w:rPr>
                <w:rFonts w:asciiTheme="majorHAnsi" w:hAnsiTheme="majorHAnsi" w:cstheme="majorHAnsi"/>
                <w:bCs/>
                <w:sz w:val="24"/>
                <w:szCs w:val="24"/>
              </w:rPr>
              <w:t xml:space="preserve">- </w:t>
            </w:r>
            <w:r w:rsidR="00A662B0">
              <w:rPr>
                <w:rFonts w:asciiTheme="majorHAnsi" w:hAnsiTheme="majorHAnsi" w:cstheme="majorHAnsi"/>
                <w:bCs/>
                <w:sz w:val="24"/>
                <w:szCs w:val="24"/>
                <w:lang w:val="en-US"/>
              </w:rPr>
              <w:t xml:space="preserve">Bãi bỏ </w:t>
            </w:r>
            <w:r w:rsidR="00A662B0" w:rsidRPr="00A662B0">
              <w:rPr>
                <w:rFonts w:asciiTheme="majorHAnsi" w:hAnsiTheme="majorHAnsi" w:cstheme="majorHAnsi"/>
                <w:bCs/>
                <w:sz w:val="24"/>
                <w:szCs w:val="24"/>
                <w:lang w:val="en-US"/>
              </w:rPr>
              <w:t xml:space="preserve">Khoản 2 Điều 3 </w:t>
            </w:r>
            <w:r w:rsidR="00A662B0">
              <w:rPr>
                <w:rFonts w:asciiTheme="majorHAnsi" w:hAnsiTheme="majorHAnsi" w:cstheme="majorHAnsi"/>
                <w:bCs/>
                <w:sz w:val="24"/>
                <w:szCs w:val="24"/>
                <w:lang w:val="en-US"/>
              </w:rPr>
              <w:t>do</w:t>
            </w:r>
            <w:r w:rsidR="00A662B0" w:rsidRPr="00A662B0">
              <w:rPr>
                <w:rFonts w:asciiTheme="majorHAnsi" w:hAnsiTheme="majorHAnsi" w:cstheme="majorHAnsi"/>
                <w:bCs/>
                <w:sz w:val="24"/>
                <w:szCs w:val="24"/>
                <w:lang w:val="en-US"/>
              </w:rPr>
              <w:t xml:space="preserve"> Luật Phòng</w:t>
            </w:r>
            <w:r w:rsidR="00A70448">
              <w:rPr>
                <w:rFonts w:asciiTheme="majorHAnsi" w:hAnsiTheme="majorHAnsi" w:cstheme="majorHAnsi"/>
                <w:bCs/>
                <w:sz w:val="24"/>
                <w:szCs w:val="24"/>
                <w:lang w:val="en-US"/>
              </w:rPr>
              <w:t xml:space="preserve"> để phù hợp với </w:t>
            </w:r>
            <w:r w:rsidR="00A70448" w:rsidRPr="00A70448">
              <w:rPr>
                <w:rFonts w:asciiTheme="majorHAnsi" w:hAnsiTheme="majorHAnsi" w:cstheme="majorHAnsi"/>
                <w:bCs/>
                <w:sz w:val="24"/>
                <w:szCs w:val="24"/>
                <w:lang w:val="en-US"/>
              </w:rPr>
              <w:t>Khoản 20 Điều 4 Luật TCTD 2024</w:t>
            </w:r>
            <w:r w:rsidR="00AB7F00">
              <w:rPr>
                <w:rFonts w:asciiTheme="majorHAnsi" w:hAnsiTheme="majorHAnsi" w:cstheme="majorHAnsi"/>
                <w:bCs/>
                <w:sz w:val="24"/>
                <w:szCs w:val="24"/>
                <w:lang w:val="en-US"/>
              </w:rPr>
              <w:t xml:space="preserve"> </w:t>
            </w:r>
            <w:r w:rsidR="00E737E6">
              <w:rPr>
                <w:rFonts w:asciiTheme="majorHAnsi" w:hAnsiTheme="majorHAnsi" w:cstheme="majorHAnsi"/>
                <w:bCs/>
                <w:sz w:val="24"/>
                <w:szCs w:val="24"/>
                <w:lang w:val="en-US"/>
              </w:rPr>
              <w:t>(</w:t>
            </w:r>
            <w:r w:rsidR="002204E4">
              <w:rPr>
                <w:rFonts w:asciiTheme="majorHAnsi" w:hAnsiTheme="majorHAnsi" w:cstheme="majorHAnsi"/>
                <w:bCs/>
                <w:sz w:val="24"/>
                <w:szCs w:val="24"/>
                <w:lang w:val="en-US"/>
              </w:rPr>
              <w:t>tổ chức tài chính</w:t>
            </w:r>
            <w:r w:rsidR="00FD5963">
              <w:rPr>
                <w:rFonts w:asciiTheme="majorHAnsi" w:hAnsiTheme="majorHAnsi" w:cstheme="majorHAnsi"/>
                <w:bCs/>
                <w:sz w:val="24"/>
                <w:szCs w:val="24"/>
                <w:lang w:val="en-US"/>
              </w:rPr>
              <w:t xml:space="preserve"> khác</w:t>
            </w:r>
            <w:r w:rsidR="002204E4">
              <w:rPr>
                <w:rFonts w:asciiTheme="majorHAnsi" w:hAnsiTheme="majorHAnsi" w:cstheme="majorHAnsi"/>
                <w:bCs/>
                <w:sz w:val="24"/>
                <w:szCs w:val="24"/>
                <w:lang w:val="en-US"/>
              </w:rPr>
              <w:t xml:space="preserve"> không</w:t>
            </w:r>
            <w:r w:rsidR="00217643">
              <w:rPr>
                <w:rFonts w:asciiTheme="majorHAnsi" w:hAnsiTheme="majorHAnsi" w:cstheme="majorHAnsi"/>
                <w:bCs/>
                <w:sz w:val="24"/>
                <w:szCs w:val="24"/>
                <w:lang w:val="en-US"/>
              </w:rPr>
              <w:t xml:space="preserve"> còn</w:t>
            </w:r>
            <w:r w:rsidR="002204E4">
              <w:rPr>
                <w:rFonts w:asciiTheme="majorHAnsi" w:hAnsiTheme="majorHAnsi" w:cstheme="majorHAnsi"/>
                <w:bCs/>
                <w:sz w:val="24"/>
                <w:szCs w:val="24"/>
                <w:lang w:val="en-US"/>
              </w:rPr>
              <w:t xml:space="preserve"> thuộc đối tượng</w:t>
            </w:r>
            <w:r w:rsidR="00011F9F">
              <w:rPr>
                <w:rFonts w:asciiTheme="majorHAnsi" w:hAnsiTheme="majorHAnsi" w:cstheme="majorHAnsi"/>
                <w:bCs/>
                <w:sz w:val="24"/>
                <w:szCs w:val="24"/>
                <w:lang w:val="en-US"/>
              </w:rPr>
              <w:t xml:space="preserve"> tham gia giao dịch môi giới tiền tệ</w:t>
            </w:r>
            <w:r w:rsidR="00AB7F00">
              <w:rPr>
                <w:rFonts w:asciiTheme="majorHAnsi" w:hAnsiTheme="majorHAnsi" w:cstheme="majorHAnsi"/>
                <w:bCs/>
                <w:sz w:val="24"/>
                <w:szCs w:val="24"/>
                <w:lang w:val="en-US"/>
              </w:rPr>
              <w:t>)</w:t>
            </w:r>
            <w:r w:rsidR="003037D2">
              <w:rPr>
                <w:rFonts w:asciiTheme="majorHAnsi" w:hAnsiTheme="majorHAnsi" w:cstheme="majorHAnsi"/>
                <w:bCs/>
                <w:sz w:val="24"/>
                <w:szCs w:val="24"/>
                <w:lang w:val="en-US"/>
              </w:rPr>
              <w:t>.</w:t>
            </w:r>
          </w:p>
        </w:tc>
      </w:tr>
      <w:tr w:rsidR="0098545A" w:rsidRPr="003A6A4B" w:rsidTr="00E25370">
        <w:trPr>
          <w:trHeight w:val="1705"/>
        </w:trPr>
        <w:tc>
          <w:tcPr>
            <w:tcW w:w="710" w:type="dxa"/>
            <w:vAlign w:val="center"/>
          </w:tcPr>
          <w:p w:rsidR="0098545A" w:rsidRPr="003A6A4B" w:rsidRDefault="0098545A" w:rsidP="003A6A4B">
            <w:pPr>
              <w:jc w:val="center"/>
              <w:rPr>
                <w:rFonts w:asciiTheme="majorHAnsi" w:hAnsiTheme="majorHAnsi" w:cstheme="majorHAnsi"/>
                <w:color w:val="auto"/>
                <w:sz w:val="24"/>
                <w:szCs w:val="24"/>
                <w:lang w:val="pl-PL"/>
              </w:rPr>
            </w:pPr>
            <w:r>
              <w:rPr>
                <w:rFonts w:asciiTheme="majorHAnsi" w:hAnsiTheme="majorHAnsi" w:cstheme="majorHAnsi"/>
                <w:color w:val="auto"/>
                <w:sz w:val="24"/>
                <w:szCs w:val="24"/>
                <w:lang w:val="pl-PL"/>
              </w:rPr>
              <w:lastRenderedPageBreak/>
              <w:t>3</w:t>
            </w:r>
          </w:p>
        </w:tc>
        <w:tc>
          <w:tcPr>
            <w:tcW w:w="6520" w:type="dxa"/>
          </w:tcPr>
          <w:p w:rsidR="00E25370" w:rsidRPr="00E25370" w:rsidRDefault="00E25370" w:rsidP="00154E4B">
            <w:pPr>
              <w:spacing w:before="120" w:after="120"/>
              <w:rPr>
                <w:rFonts w:asciiTheme="majorHAnsi" w:hAnsiTheme="majorHAnsi" w:cstheme="majorHAnsi"/>
                <w:b/>
                <w:bCs/>
                <w:color w:val="auto"/>
                <w:sz w:val="24"/>
                <w:szCs w:val="24"/>
                <w:lang w:val="en-US"/>
              </w:rPr>
            </w:pPr>
            <w:r w:rsidRPr="00E25370">
              <w:rPr>
                <w:rFonts w:asciiTheme="majorHAnsi" w:hAnsiTheme="majorHAnsi" w:cstheme="majorHAnsi"/>
                <w:b/>
                <w:bCs/>
                <w:color w:val="auto"/>
                <w:sz w:val="24"/>
                <w:szCs w:val="24"/>
                <w:lang w:val="en-US"/>
              </w:rPr>
              <w:t>Điều 4. Nguyên tắc môi giới tiền tệ</w:t>
            </w:r>
          </w:p>
          <w:p w:rsidR="00E25370" w:rsidRPr="00E25370" w:rsidRDefault="00E25370" w:rsidP="00154E4B">
            <w:pPr>
              <w:spacing w:after="120"/>
              <w:rPr>
                <w:rFonts w:asciiTheme="majorHAnsi" w:hAnsiTheme="majorHAnsi" w:cstheme="majorHAnsi"/>
                <w:bCs/>
                <w:color w:val="auto"/>
                <w:sz w:val="24"/>
                <w:szCs w:val="24"/>
                <w:lang w:val="en-US"/>
              </w:rPr>
            </w:pPr>
            <w:r w:rsidRPr="00E25370">
              <w:rPr>
                <w:rFonts w:asciiTheme="majorHAnsi" w:hAnsiTheme="majorHAnsi" w:cstheme="majorHAnsi"/>
                <w:bCs/>
                <w:color w:val="auto"/>
                <w:sz w:val="24"/>
                <w:szCs w:val="24"/>
                <w:lang w:val="en-US"/>
              </w:rPr>
              <w:t>1. Ngân hàng thương mại, chi nhánh ngân hàng nước ngoài phải ban hành quy định nội bộ về hoạt động môi giới tiền tệ phù hợp với quy định tại Thông tư này và các quy định của pháp luật có liên quan, trong đó phải bao gồm tối thiểu các nội dung sau: quy trình, thủ tục thực hiện môi giới tiền tệ; phạm vi trách nhiệm và quyền hạn của những người liên quan đến hoạt động môi giới tiền tệ; quản lý rủi ro đối với hoạt động môi giới tiền tệ.</w:t>
            </w:r>
          </w:p>
          <w:p w:rsidR="00E25370" w:rsidRPr="00E25370" w:rsidRDefault="00E25370" w:rsidP="00154E4B">
            <w:pPr>
              <w:spacing w:after="120"/>
              <w:rPr>
                <w:rFonts w:asciiTheme="majorHAnsi" w:hAnsiTheme="majorHAnsi" w:cstheme="majorHAnsi"/>
                <w:bCs/>
                <w:color w:val="auto"/>
                <w:sz w:val="24"/>
                <w:szCs w:val="24"/>
                <w:lang w:val="en-US"/>
              </w:rPr>
            </w:pPr>
            <w:r w:rsidRPr="00E25370">
              <w:rPr>
                <w:rFonts w:asciiTheme="majorHAnsi" w:hAnsiTheme="majorHAnsi" w:cstheme="majorHAnsi"/>
                <w:bCs/>
                <w:color w:val="auto"/>
                <w:sz w:val="24"/>
                <w:szCs w:val="24"/>
                <w:lang w:val="en-US"/>
              </w:rPr>
              <w:t>Trong thời hạn 10 ngày kể từ ngày ban hành, sửa đổi, bổ sung hoặc thay thế quy định nội bộ về hoạt động môi giới tiền tệ, ngân hàng thương mại, chi nhánh ngân hàng nước ngoài phải gửi trực tiếp hoặc bằng đường bưu điện cho Ngân hàng Nhà nước (Cơ quan Thanh tra, giám sát ngân hàng) quy định nội bộ được ban hành, sửa đổi, bổ sung hoặc thay thế.</w:t>
            </w:r>
          </w:p>
          <w:p w:rsidR="00E25370" w:rsidRPr="00E25370" w:rsidRDefault="00E25370" w:rsidP="00154E4B">
            <w:pPr>
              <w:spacing w:after="120"/>
              <w:rPr>
                <w:rFonts w:asciiTheme="majorHAnsi" w:hAnsiTheme="majorHAnsi" w:cstheme="majorHAnsi"/>
                <w:bCs/>
                <w:color w:val="auto"/>
                <w:sz w:val="24"/>
                <w:szCs w:val="24"/>
                <w:lang w:val="en-US"/>
              </w:rPr>
            </w:pPr>
            <w:r w:rsidRPr="00E25370">
              <w:rPr>
                <w:rFonts w:asciiTheme="majorHAnsi" w:hAnsiTheme="majorHAnsi" w:cstheme="majorHAnsi"/>
                <w:bCs/>
                <w:color w:val="auto"/>
                <w:sz w:val="24"/>
                <w:szCs w:val="24"/>
                <w:lang w:val="en-US"/>
              </w:rPr>
              <w:t>2. Việc thực hiện môi giới tiền tệ phải tuân thủ quy định tại Thông tư này và các quy định pháp luật khác có liên quan.</w:t>
            </w:r>
          </w:p>
          <w:p w:rsidR="00E25370" w:rsidRPr="00E25370" w:rsidRDefault="00E25370" w:rsidP="00154E4B">
            <w:pPr>
              <w:spacing w:after="120"/>
              <w:rPr>
                <w:rFonts w:asciiTheme="majorHAnsi" w:hAnsiTheme="majorHAnsi" w:cstheme="majorHAnsi"/>
                <w:bCs/>
                <w:color w:val="auto"/>
                <w:sz w:val="24"/>
                <w:szCs w:val="24"/>
                <w:lang w:val="en-US"/>
              </w:rPr>
            </w:pPr>
            <w:r w:rsidRPr="00E25370">
              <w:rPr>
                <w:rFonts w:asciiTheme="majorHAnsi" w:hAnsiTheme="majorHAnsi" w:cstheme="majorHAnsi"/>
                <w:bCs/>
                <w:color w:val="auto"/>
                <w:sz w:val="24"/>
                <w:szCs w:val="24"/>
                <w:lang w:val="en-US"/>
              </w:rPr>
              <w:t>3. Có ít nhất một bên khách hàng được môi giới tiền tệ là tổ chức tín dụng, chi nhánh ngân hàng nước ngoài thành lập và hoạt động theo Luật các tổ chức tín dụng.</w:t>
            </w:r>
          </w:p>
          <w:p w:rsidR="00E25370" w:rsidRPr="00E25370" w:rsidRDefault="00E25370" w:rsidP="00154E4B">
            <w:pPr>
              <w:spacing w:after="120"/>
              <w:rPr>
                <w:rFonts w:asciiTheme="majorHAnsi" w:hAnsiTheme="majorHAnsi" w:cstheme="majorHAnsi"/>
                <w:bCs/>
                <w:color w:val="auto"/>
                <w:sz w:val="24"/>
                <w:szCs w:val="24"/>
                <w:lang w:val="en-US"/>
              </w:rPr>
            </w:pPr>
            <w:r w:rsidRPr="00E25370">
              <w:rPr>
                <w:rFonts w:asciiTheme="majorHAnsi" w:hAnsiTheme="majorHAnsi" w:cstheme="majorHAnsi"/>
                <w:bCs/>
                <w:color w:val="auto"/>
                <w:sz w:val="24"/>
                <w:szCs w:val="24"/>
                <w:lang w:val="en-US"/>
              </w:rPr>
              <w:lastRenderedPageBreak/>
              <w:t>4. Đảm bảo trung thực, khách quan, vì lợi ích hợp pháp của khách hàng:</w:t>
            </w:r>
          </w:p>
          <w:p w:rsidR="00E25370" w:rsidRPr="00E25370" w:rsidRDefault="00E25370" w:rsidP="00154E4B">
            <w:pPr>
              <w:spacing w:after="120"/>
              <w:rPr>
                <w:rFonts w:asciiTheme="majorHAnsi" w:hAnsiTheme="majorHAnsi" w:cstheme="majorHAnsi"/>
                <w:bCs/>
                <w:color w:val="auto"/>
                <w:sz w:val="24"/>
                <w:szCs w:val="24"/>
                <w:lang w:val="en-US"/>
              </w:rPr>
            </w:pPr>
            <w:r w:rsidRPr="00E25370">
              <w:rPr>
                <w:rFonts w:asciiTheme="majorHAnsi" w:hAnsiTheme="majorHAnsi" w:cstheme="majorHAnsi"/>
                <w:bCs/>
                <w:color w:val="auto"/>
                <w:sz w:val="24"/>
                <w:szCs w:val="24"/>
                <w:lang w:val="en-US"/>
              </w:rPr>
              <w:t>a) Thông tin về giao dịch được môi giới tiền tệ và thông tin khác được khách hàng cho phép cung cấp phải được phản ánh đầy đủ, chính xác;</w:t>
            </w:r>
          </w:p>
          <w:p w:rsidR="00E25370" w:rsidRPr="00E25370" w:rsidRDefault="00E25370" w:rsidP="00154E4B">
            <w:pPr>
              <w:spacing w:after="120"/>
              <w:rPr>
                <w:rFonts w:asciiTheme="majorHAnsi" w:hAnsiTheme="majorHAnsi" w:cstheme="majorHAnsi"/>
                <w:bCs/>
                <w:color w:val="auto"/>
                <w:sz w:val="24"/>
                <w:szCs w:val="24"/>
                <w:lang w:val="en-US"/>
              </w:rPr>
            </w:pPr>
            <w:r w:rsidRPr="00E25370">
              <w:rPr>
                <w:rFonts w:asciiTheme="majorHAnsi" w:hAnsiTheme="majorHAnsi" w:cstheme="majorHAnsi"/>
                <w:bCs/>
                <w:color w:val="auto"/>
                <w:sz w:val="24"/>
                <w:szCs w:val="24"/>
                <w:lang w:val="en-US"/>
              </w:rPr>
              <w:t>b) Không được cung cấp thông tin sai lệch hoặc can thiệp dưới mọi hình thức nhằm làm sai lệch thông tin dẫn đến khách hàng đánh giá không chính xác về giao dịch được môi giới tiền tệ và/hoặc ảnh hưởng tới lợi ích hợp pháp của khách hàng;</w:t>
            </w:r>
          </w:p>
          <w:p w:rsidR="00E25370" w:rsidRPr="00E25370" w:rsidRDefault="00E25370" w:rsidP="00154E4B">
            <w:pPr>
              <w:spacing w:after="120"/>
              <w:rPr>
                <w:rFonts w:asciiTheme="majorHAnsi" w:hAnsiTheme="majorHAnsi" w:cstheme="majorHAnsi"/>
                <w:bCs/>
                <w:color w:val="auto"/>
                <w:sz w:val="24"/>
                <w:szCs w:val="24"/>
                <w:lang w:val="en-US"/>
              </w:rPr>
            </w:pPr>
            <w:r w:rsidRPr="00E25370">
              <w:rPr>
                <w:rFonts w:asciiTheme="majorHAnsi" w:hAnsiTheme="majorHAnsi" w:cstheme="majorHAnsi"/>
                <w:bCs/>
                <w:color w:val="auto"/>
                <w:sz w:val="24"/>
                <w:szCs w:val="24"/>
                <w:lang w:val="en-US"/>
              </w:rPr>
              <w:t>5. Không cung cấp thông tin liên quan đến khách hàng và giao dịch được môi giới tiền tệ cho bên thứ ba, trừ trường hợp có yêu cầu của cơ quan nhà nước có thẩm quyền theo quy định của pháp luật hoặc được sự chấp thuận của khách hàng.</w:t>
            </w:r>
          </w:p>
          <w:p w:rsidR="0098545A" w:rsidRPr="00DC529B" w:rsidRDefault="00E25370" w:rsidP="00154E4B">
            <w:pPr>
              <w:spacing w:after="120"/>
              <w:rPr>
                <w:rFonts w:asciiTheme="majorHAnsi" w:hAnsiTheme="majorHAnsi" w:cstheme="majorHAnsi"/>
                <w:b/>
                <w:bCs/>
                <w:color w:val="auto"/>
                <w:sz w:val="24"/>
                <w:szCs w:val="24"/>
                <w:lang w:val="en-US"/>
              </w:rPr>
            </w:pPr>
            <w:r w:rsidRPr="00E25370">
              <w:rPr>
                <w:rFonts w:asciiTheme="majorHAnsi" w:hAnsiTheme="majorHAnsi" w:cstheme="majorHAnsi"/>
                <w:bCs/>
                <w:color w:val="auto"/>
                <w:sz w:val="24"/>
                <w:szCs w:val="24"/>
                <w:lang w:val="en-US"/>
              </w:rPr>
              <w:t>6. Ngân hàng thương mại, chi nhánh ngân hàng nước ngoài không được đồng thời vừa là bên môi giới, vừa là một bên thực hiện giao dịch được môi giới tiền tệ với khách hàng.</w:t>
            </w:r>
          </w:p>
        </w:tc>
        <w:tc>
          <w:tcPr>
            <w:tcW w:w="7513" w:type="dxa"/>
          </w:tcPr>
          <w:p w:rsidR="00E25370" w:rsidRPr="00E25370" w:rsidRDefault="00E25370" w:rsidP="00154E4B">
            <w:pPr>
              <w:spacing w:before="120" w:after="120"/>
              <w:rPr>
                <w:rFonts w:asciiTheme="majorHAnsi" w:hAnsiTheme="majorHAnsi" w:cstheme="majorHAnsi"/>
                <w:b/>
                <w:bCs/>
                <w:color w:val="auto"/>
                <w:sz w:val="24"/>
                <w:szCs w:val="24"/>
                <w:lang w:val="en-US"/>
              </w:rPr>
            </w:pPr>
            <w:r w:rsidRPr="00E25370">
              <w:rPr>
                <w:rFonts w:asciiTheme="majorHAnsi" w:hAnsiTheme="majorHAnsi" w:cstheme="majorHAnsi"/>
                <w:b/>
                <w:bCs/>
                <w:color w:val="auto"/>
                <w:sz w:val="24"/>
                <w:szCs w:val="24"/>
                <w:lang w:val="en-US"/>
              </w:rPr>
              <w:lastRenderedPageBreak/>
              <w:t>Điều 4. Nguyên tắc môi giới tiền tệ</w:t>
            </w:r>
          </w:p>
          <w:p w:rsidR="00E25370" w:rsidRPr="00E25370" w:rsidRDefault="00E25370" w:rsidP="00154E4B">
            <w:pPr>
              <w:spacing w:after="120"/>
              <w:rPr>
                <w:rFonts w:asciiTheme="majorHAnsi" w:hAnsiTheme="majorHAnsi" w:cstheme="majorHAnsi"/>
                <w:bCs/>
                <w:color w:val="auto"/>
                <w:sz w:val="24"/>
                <w:szCs w:val="24"/>
                <w:lang w:val="en-US"/>
              </w:rPr>
            </w:pPr>
            <w:r w:rsidRPr="00E25370">
              <w:rPr>
                <w:rFonts w:asciiTheme="majorHAnsi" w:hAnsiTheme="majorHAnsi" w:cstheme="majorHAnsi"/>
                <w:bCs/>
                <w:color w:val="auto"/>
                <w:sz w:val="24"/>
                <w:szCs w:val="24"/>
                <w:lang w:val="en-US"/>
              </w:rPr>
              <w:t>1. Ngân hàng thương mại, chi nhánh ngân hàng nước ngoài phải ban hành quy định nội bộ về hoạt động môi giới tiền tệ phù hợp với quy định tại Thông tư này và các quy định của pháp luật có liên quan, trong đó phải bao gồm tối thiểu các nội dung sau: quy trình, thủ tục thực hiện môi giới tiền tệ; phạm vi trách nhiệm và quyền hạn của những người liên quan đến hoạt động môi giới tiền tệ; quản lý rủi ro đối với hoạt động môi giới tiền tệ.</w:t>
            </w:r>
          </w:p>
          <w:p w:rsidR="00E25370" w:rsidRDefault="00E25370" w:rsidP="00154E4B">
            <w:pPr>
              <w:spacing w:after="120"/>
              <w:rPr>
                <w:rFonts w:asciiTheme="majorHAnsi" w:hAnsiTheme="majorHAnsi" w:cstheme="majorHAnsi"/>
                <w:bCs/>
                <w:color w:val="auto"/>
                <w:sz w:val="24"/>
                <w:szCs w:val="24"/>
                <w:lang w:val="en-US"/>
              </w:rPr>
            </w:pPr>
            <w:r w:rsidRPr="00E25370">
              <w:rPr>
                <w:rFonts w:asciiTheme="majorHAnsi" w:hAnsiTheme="majorHAnsi" w:cstheme="majorHAnsi"/>
                <w:bCs/>
                <w:color w:val="auto"/>
                <w:sz w:val="24"/>
                <w:szCs w:val="24"/>
                <w:lang w:val="en-US"/>
              </w:rPr>
              <w:t>Trong thời hạn 10 ngày kể từ ngày ban hành, sửa đổi, bổ sung hoặc thay thế quy định nội bộ về hoạt động môi giới tiền tệ, ngân hàng thương mại, chi nhánh ngân hàng nước ngoài phải gửi trực tiếp hoặc bằng đường bưu điện cho Ngân hàng Nhà nước (Cơ quan Thanh tra, giám sát ngân hàng) quy định nội bộ được ban hành, sửa đổi, bổ sung hoặc thay thế.</w:t>
            </w:r>
          </w:p>
          <w:p w:rsidR="00E25370" w:rsidRPr="00E25370" w:rsidRDefault="00E25370" w:rsidP="00154E4B">
            <w:pPr>
              <w:spacing w:after="120"/>
              <w:rPr>
                <w:rFonts w:asciiTheme="majorHAnsi" w:hAnsiTheme="majorHAnsi" w:cstheme="majorHAnsi"/>
                <w:bCs/>
                <w:color w:val="auto"/>
                <w:sz w:val="24"/>
                <w:szCs w:val="24"/>
                <w:lang w:val="en-US"/>
              </w:rPr>
            </w:pPr>
            <w:r w:rsidRPr="00E25370">
              <w:rPr>
                <w:rFonts w:asciiTheme="majorHAnsi" w:hAnsiTheme="majorHAnsi" w:cstheme="majorHAnsi"/>
                <w:bCs/>
                <w:color w:val="auto"/>
                <w:sz w:val="24"/>
                <w:szCs w:val="24"/>
                <w:lang w:val="en-US"/>
              </w:rPr>
              <w:t>2. Việc thực hiện môi giới tiền tệ phải tuân thủ quy định tại Thông tư này và các quy định pháp luật khác có liên quan.</w:t>
            </w:r>
          </w:p>
          <w:p w:rsidR="00E25370" w:rsidRPr="00861CF8" w:rsidRDefault="00E25370" w:rsidP="00154E4B">
            <w:pPr>
              <w:spacing w:after="120"/>
              <w:rPr>
                <w:rFonts w:asciiTheme="majorHAnsi" w:hAnsiTheme="majorHAnsi" w:cstheme="majorHAnsi"/>
                <w:bCs/>
                <w:strike/>
                <w:color w:val="auto"/>
                <w:sz w:val="24"/>
                <w:szCs w:val="24"/>
                <w:lang w:val="en-US"/>
              </w:rPr>
            </w:pPr>
            <w:r w:rsidRPr="00861CF8">
              <w:rPr>
                <w:rFonts w:asciiTheme="majorHAnsi" w:hAnsiTheme="majorHAnsi" w:cstheme="majorHAnsi"/>
                <w:bCs/>
                <w:strike/>
                <w:color w:val="auto"/>
                <w:sz w:val="24"/>
                <w:szCs w:val="24"/>
                <w:lang w:val="en-US"/>
              </w:rPr>
              <w:t>3. Có ít nhất một bên khách hàng được môi giới tiền tệ là tổ chức tín dụng, chi nhánh ngân hàng nước ngoài thành lập và hoạt động theo Luật các tổ chức tín dụng.</w:t>
            </w:r>
          </w:p>
          <w:p w:rsidR="00E25370" w:rsidRPr="00E25370" w:rsidRDefault="00E25370" w:rsidP="00154E4B">
            <w:pPr>
              <w:spacing w:after="120"/>
              <w:rPr>
                <w:rFonts w:asciiTheme="majorHAnsi" w:hAnsiTheme="majorHAnsi" w:cstheme="majorHAnsi"/>
                <w:bCs/>
                <w:color w:val="auto"/>
                <w:sz w:val="24"/>
                <w:szCs w:val="24"/>
                <w:lang w:val="en-US"/>
              </w:rPr>
            </w:pPr>
            <w:r w:rsidRPr="00E25370">
              <w:rPr>
                <w:rFonts w:asciiTheme="majorHAnsi" w:hAnsiTheme="majorHAnsi" w:cstheme="majorHAnsi"/>
                <w:bCs/>
                <w:color w:val="auto"/>
                <w:sz w:val="24"/>
                <w:szCs w:val="24"/>
                <w:lang w:val="en-US"/>
              </w:rPr>
              <w:t>4. Đảm bảo trung thực, khách quan, vì lợi ích hợp pháp của khách hàng:</w:t>
            </w:r>
          </w:p>
          <w:p w:rsidR="00E25370" w:rsidRPr="00E25370" w:rsidRDefault="00E25370" w:rsidP="00154E4B">
            <w:pPr>
              <w:spacing w:after="120"/>
              <w:rPr>
                <w:rFonts w:asciiTheme="majorHAnsi" w:hAnsiTheme="majorHAnsi" w:cstheme="majorHAnsi"/>
                <w:bCs/>
                <w:color w:val="auto"/>
                <w:sz w:val="24"/>
                <w:szCs w:val="24"/>
                <w:lang w:val="en-US"/>
              </w:rPr>
            </w:pPr>
            <w:r w:rsidRPr="00E25370">
              <w:rPr>
                <w:rFonts w:asciiTheme="majorHAnsi" w:hAnsiTheme="majorHAnsi" w:cstheme="majorHAnsi"/>
                <w:bCs/>
                <w:color w:val="auto"/>
                <w:sz w:val="24"/>
                <w:szCs w:val="24"/>
                <w:lang w:val="en-US"/>
              </w:rPr>
              <w:lastRenderedPageBreak/>
              <w:t>a) Thông tin về giao dịch được môi giới tiền tệ và thông tin khác được khách hàng cho phép cung cấp phải được phản ánh đầy đủ, chính xác;</w:t>
            </w:r>
          </w:p>
          <w:p w:rsidR="00E25370" w:rsidRPr="00E25370" w:rsidRDefault="00E25370" w:rsidP="00154E4B">
            <w:pPr>
              <w:spacing w:after="120"/>
              <w:rPr>
                <w:rFonts w:asciiTheme="majorHAnsi" w:hAnsiTheme="majorHAnsi" w:cstheme="majorHAnsi"/>
                <w:bCs/>
                <w:color w:val="auto"/>
                <w:sz w:val="24"/>
                <w:szCs w:val="24"/>
                <w:lang w:val="en-US"/>
              </w:rPr>
            </w:pPr>
            <w:r w:rsidRPr="00E25370">
              <w:rPr>
                <w:rFonts w:asciiTheme="majorHAnsi" w:hAnsiTheme="majorHAnsi" w:cstheme="majorHAnsi"/>
                <w:bCs/>
                <w:color w:val="auto"/>
                <w:sz w:val="24"/>
                <w:szCs w:val="24"/>
                <w:lang w:val="en-US"/>
              </w:rPr>
              <w:t>b) Không được cung cấp thông tin sai lệch hoặc can thiệp dưới mọi hình thức nhằm làm sai lệch thông tin dẫn đến khách hàng đánh giá không chính xác về giao dịch được môi giới tiền tệ và/hoặc ảnh hưởng tới lợi ích hợp pháp của khách hàng;</w:t>
            </w:r>
          </w:p>
          <w:p w:rsidR="00E25370" w:rsidRPr="00E25370" w:rsidRDefault="00E25370" w:rsidP="00154E4B">
            <w:pPr>
              <w:spacing w:after="120"/>
              <w:rPr>
                <w:rFonts w:asciiTheme="majorHAnsi" w:hAnsiTheme="majorHAnsi" w:cstheme="majorHAnsi"/>
                <w:bCs/>
                <w:color w:val="auto"/>
                <w:sz w:val="24"/>
                <w:szCs w:val="24"/>
                <w:lang w:val="en-US"/>
              </w:rPr>
            </w:pPr>
            <w:r w:rsidRPr="00E25370">
              <w:rPr>
                <w:rFonts w:asciiTheme="majorHAnsi" w:hAnsiTheme="majorHAnsi" w:cstheme="majorHAnsi"/>
                <w:bCs/>
                <w:color w:val="auto"/>
                <w:sz w:val="24"/>
                <w:szCs w:val="24"/>
                <w:lang w:val="en-US"/>
              </w:rPr>
              <w:t>5. Không cung cấp thông tin liên quan đến khách hàng và giao dịch được môi giới tiền tệ cho bên thứ ba, trừ trường hợp có yêu cầu của cơ quan nhà nước có thẩm quyền theo quy định của pháp luật hoặc được sự chấp thuận của khách hàng.</w:t>
            </w:r>
          </w:p>
          <w:p w:rsidR="0098545A" w:rsidRDefault="00E25370" w:rsidP="00154E4B">
            <w:pPr>
              <w:pStyle w:val="NormalWeb"/>
              <w:spacing w:before="120" w:beforeAutospacing="0" w:after="120" w:afterAutospacing="0"/>
              <w:jc w:val="both"/>
              <w:rPr>
                <w:rFonts w:asciiTheme="majorHAnsi" w:hAnsiTheme="majorHAnsi" w:cstheme="majorHAnsi"/>
                <w:bCs/>
              </w:rPr>
            </w:pPr>
            <w:r w:rsidRPr="00E25370">
              <w:rPr>
                <w:rFonts w:asciiTheme="majorHAnsi" w:hAnsiTheme="majorHAnsi" w:cstheme="majorHAnsi"/>
                <w:bCs/>
              </w:rPr>
              <w:t>6. Ngân hàng thương mại, chi nhánh ngân hàng nước ngoài không được đồng thời vừa là bên môi giới, vừa là một bên thực hiện giao dịch được môi giới tiền tệ với khách hàng.</w:t>
            </w:r>
          </w:p>
          <w:p w:rsidR="00861CF8" w:rsidRPr="003A6A4B" w:rsidRDefault="00861CF8" w:rsidP="00154E4B">
            <w:pPr>
              <w:pStyle w:val="NormalWeb"/>
              <w:spacing w:before="120" w:beforeAutospacing="0" w:after="120" w:afterAutospacing="0"/>
              <w:jc w:val="both"/>
              <w:rPr>
                <w:rFonts w:asciiTheme="majorHAnsi" w:hAnsiTheme="majorHAnsi" w:cstheme="majorHAnsi"/>
                <w:b/>
                <w:bCs/>
                <w:u w:val="single"/>
                <w:lang w:val="vi-VN"/>
              </w:rPr>
            </w:pPr>
            <w:r w:rsidRPr="003A6A4B">
              <w:rPr>
                <w:rFonts w:asciiTheme="majorHAnsi" w:hAnsiTheme="majorHAnsi" w:cstheme="majorHAnsi"/>
                <w:b/>
                <w:bCs/>
                <w:u w:val="single"/>
                <w:lang w:val="vi-VN"/>
              </w:rPr>
              <w:t>Cơ sở đề xuất:</w:t>
            </w:r>
          </w:p>
          <w:p w:rsidR="00861CF8" w:rsidRPr="008B7132" w:rsidRDefault="00873726" w:rsidP="008B7132">
            <w:pPr>
              <w:pStyle w:val="NormalWeb"/>
              <w:spacing w:before="120" w:beforeAutospacing="0" w:after="120" w:afterAutospacing="0"/>
              <w:jc w:val="both"/>
              <w:rPr>
                <w:rFonts w:asciiTheme="majorHAnsi" w:hAnsiTheme="majorHAnsi" w:cstheme="majorHAnsi"/>
                <w:bCs/>
              </w:rPr>
            </w:pPr>
            <w:r w:rsidRPr="00873726">
              <w:rPr>
                <w:rFonts w:asciiTheme="majorHAnsi" w:hAnsiTheme="majorHAnsi" w:cstheme="majorHAnsi"/>
                <w:bCs/>
              </w:rPr>
              <w:t>Đối tượng tham gia môi giới tiền tệ đã được sửa đổi để phù hợp với Khoản 20 Điều 4 Luật TCTD 2024 chỉ bao gồm tổ chức tín dụng, chi nhánh ngân hàng nước ngoài thành lập và hoạt động theo Luật các t</w:t>
            </w:r>
            <w:r w:rsidR="008B7132">
              <w:rPr>
                <w:rFonts w:asciiTheme="majorHAnsi" w:hAnsiTheme="majorHAnsi" w:cstheme="majorHAnsi"/>
                <w:bCs/>
              </w:rPr>
              <w:t xml:space="preserve">ổ chức tín dụng; do đó Khoản 3 Điều 4 </w:t>
            </w:r>
            <w:r w:rsidRPr="00873726">
              <w:rPr>
                <w:rFonts w:asciiTheme="majorHAnsi" w:hAnsiTheme="majorHAnsi" w:cstheme="majorHAnsi"/>
                <w:bCs/>
              </w:rPr>
              <w:t>không còn cần thiết.</w:t>
            </w:r>
          </w:p>
        </w:tc>
      </w:tr>
      <w:tr w:rsidR="002B6995" w:rsidRPr="003A6A4B" w:rsidTr="00E25370">
        <w:trPr>
          <w:trHeight w:val="1705"/>
        </w:trPr>
        <w:tc>
          <w:tcPr>
            <w:tcW w:w="710" w:type="dxa"/>
            <w:vAlign w:val="center"/>
          </w:tcPr>
          <w:p w:rsidR="002B6995" w:rsidRDefault="00A63E23" w:rsidP="003A6A4B">
            <w:pPr>
              <w:jc w:val="center"/>
              <w:rPr>
                <w:rFonts w:asciiTheme="majorHAnsi" w:hAnsiTheme="majorHAnsi" w:cstheme="majorHAnsi"/>
                <w:color w:val="auto"/>
                <w:sz w:val="24"/>
                <w:szCs w:val="24"/>
                <w:lang w:val="pl-PL"/>
              </w:rPr>
            </w:pPr>
            <w:r>
              <w:rPr>
                <w:rFonts w:asciiTheme="majorHAnsi" w:hAnsiTheme="majorHAnsi" w:cstheme="majorHAnsi"/>
                <w:color w:val="auto"/>
                <w:sz w:val="24"/>
                <w:szCs w:val="24"/>
                <w:lang w:val="pl-PL"/>
              </w:rPr>
              <w:lastRenderedPageBreak/>
              <w:t>4</w:t>
            </w:r>
          </w:p>
        </w:tc>
        <w:tc>
          <w:tcPr>
            <w:tcW w:w="6520" w:type="dxa"/>
          </w:tcPr>
          <w:p w:rsidR="006C7FA0" w:rsidRPr="006C7FA0" w:rsidRDefault="006C7FA0" w:rsidP="00154E4B">
            <w:pPr>
              <w:spacing w:before="120" w:after="120"/>
              <w:rPr>
                <w:rFonts w:asciiTheme="majorHAnsi" w:hAnsiTheme="majorHAnsi" w:cstheme="majorHAnsi"/>
                <w:b/>
                <w:bCs/>
                <w:color w:val="auto"/>
                <w:sz w:val="24"/>
                <w:szCs w:val="24"/>
                <w:lang w:val="en-US"/>
              </w:rPr>
            </w:pPr>
            <w:r w:rsidRPr="006C7FA0">
              <w:rPr>
                <w:rFonts w:asciiTheme="majorHAnsi" w:hAnsiTheme="majorHAnsi" w:cstheme="majorHAnsi"/>
                <w:b/>
                <w:bCs/>
                <w:color w:val="auto"/>
                <w:sz w:val="24"/>
                <w:szCs w:val="24"/>
                <w:lang w:val="en-US"/>
              </w:rPr>
              <w:t>Điều 6. Phương thức thực hiện môi giới tiền tệ</w:t>
            </w:r>
          </w:p>
          <w:p w:rsidR="002B6995" w:rsidRPr="006C7FA0" w:rsidRDefault="006C7FA0" w:rsidP="00154E4B">
            <w:pPr>
              <w:spacing w:after="120"/>
              <w:rPr>
                <w:rFonts w:asciiTheme="majorHAnsi" w:hAnsiTheme="majorHAnsi" w:cstheme="majorHAnsi"/>
                <w:bCs/>
                <w:color w:val="auto"/>
                <w:sz w:val="24"/>
                <w:szCs w:val="24"/>
                <w:lang w:val="en-US"/>
              </w:rPr>
            </w:pPr>
            <w:r w:rsidRPr="006C7FA0">
              <w:rPr>
                <w:rFonts w:asciiTheme="majorHAnsi" w:hAnsiTheme="majorHAnsi" w:cstheme="majorHAnsi"/>
                <w:bCs/>
                <w:color w:val="auto"/>
                <w:sz w:val="24"/>
                <w:szCs w:val="24"/>
                <w:lang w:val="en-US"/>
              </w:rPr>
              <w:t>Bên môi giới có thể thực hiện hoạt động môi giới tiền tệ thông qua giao dịch trực tiếp hoặc gián tiếp qua mạng máy vi tính và/hoặc điện thoại với khách hàng, hoặc các phương thức khác do các bên thỏa thuận phù hợp với Điều kiện của các bên, tuân thủ quy định của pháp luật.</w:t>
            </w:r>
          </w:p>
        </w:tc>
        <w:tc>
          <w:tcPr>
            <w:tcW w:w="7513" w:type="dxa"/>
          </w:tcPr>
          <w:p w:rsidR="00C4691C" w:rsidRPr="00C4691C" w:rsidRDefault="00C4691C" w:rsidP="00154E4B">
            <w:pPr>
              <w:spacing w:before="120" w:after="120"/>
              <w:rPr>
                <w:rFonts w:asciiTheme="majorHAnsi" w:hAnsiTheme="majorHAnsi" w:cstheme="majorHAnsi"/>
                <w:b/>
                <w:bCs/>
                <w:color w:val="auto"/>
                <w:sz w:val="24"/>
                <w:szCs w:val="24"/>
                <w:lang w:val="en-US"/>
              </w:rPr>
            </w:pPr>
            <w:r w:rsidRPr="00C4691C">
              <w:rPr>
                <w:rFonts w:asciiTheme="majorHAnsi" w:hAnsiTheme="majorHAnsi" w:cstheme="majorHAnsi"/>
                <w:b/>
                <w:bCs/>
                <w:color w:val="auto"/>
                <w:sz w:val="24"/>
                <w:szCs w:val="24"/>
                <w:lang w:val="en-US"/>
              </w:rPr>
              <w:t>Điều 6. Phương thức thực hiện môi giới tiền tệ</w:t>
            </w:r>
          </w:p>
          <w:p w:rsidR="00C4691C" w:rsidRPr="00C4691C" w:rsidRDefault="00BE7167" w:rsidP="00154E4B">
            <w:pPr>
              <w:spacing w:before="120" w:after="120"/>
              <w:rPr>
                <w:rFonts w:asciiTheme="majorHAnsi" w:hAnsiTheme="majorHAnsi" w:cstheme="majorHAnsi"/>
                <w:bCs/>
                <w:color w:val="auto"/>
                <w:sz w:val="24"/>
                <w:szCs w:val="24"/>
                <w:lang w:val="en-US"/>
              </w:rPr>
            </w:pPr>
            <w:r w:rsidRPr="00BE7167">
              <w:rPr>
                <w:rFonts w:asciiTheme="majorHAnsi" w:hAnsiTheme="majorHAnsi" w:cstheme="majorHAnsi"/>
                <w:bCs/>
                <w:color w:val="auto"/>
                <w:sz w:val="24"/>
                <w:szCs w:val="24"/>
                <w:lang w:val="en-US"/>
              </w:rPr>
              <w:t xml:space="preserve">Bên môi giới có thể thực hiện hoạt động môi giới tiền tệ với khách hàng thông qua giao dịch trực tiếp hoặc </w:t>
            </w:r>
            <w:r w:rsidRPr="00BE7167">
              <w:rPr>
                <w:rFonts w:asciiTheme="majorHAnsi" w:hAnsiTheme="majorHAnsi" w:cstheme="majorHAnsi"/>
                <w:bCs/>
                <w:color w:val="auto"/>
                <w:sz w:val="24"/>
                <w:szCs w:val="24"/>
                <w:u w:val="single"/>
                <w:lang w:val="en-US"/>
              </w:rPr>
              <w:t>giao dịch điện tử theo quy định của Luật Giao dịch điện tử</w:t>
            </w:r>
            <w:r w:rsidRPr="00BE7167">
              <w:rPr>
                <w:rFonts w:asciiTheme="majorHAnsi" w:hAnsiTheme="majorHAnsi" w:cstheme="majorHAnsi"/>
                <w:bCs/>
                <w:color w:val="auto"/>
                <w:sz w:val="24"/>
                <w:szCs w:val="24"/>
                <w:lang w:val="en-US"/>
              </w:rPr>
              <w:t>.</w:t>
            </w:r>
          </w:p>
          <w:p w:rsidR="00D4465F" w:rsidRPr="003A6A4B" w:rsidRDefault="00D4465F" w:rsidP="00154E4B">
            <w:pPr>
              <w:pStyle w:val="NormalWeb"/>
              <w:spacing w:before="120" w:beforeAutospacing="0" w:after="120" w:afterAutospacing="0"/>
              <w:jc w:val="both"/>
              <w:rPr>
                <w:rFonts w:asciiTheme="majorHAnsi" w:hAnsiTheme="majorHAnsi" w:cstheme="majorHAnsi"/>
                <w:b/>
                <w:bCs/>
                <w:u w:val="single"/>
                <w:lang w:val="vi-VN"/>
              </w:rPr>
            </w:pPr>
            <w:r w:rsidRPr="003A6A4B">
              <w:rPr>
                <w:rFonts w:asciiTheme="majorHAnsi" w:hAnsiTheme="majorHAnsi" w:cstheme="majorHAnsi"/>
                <w:b/>
                <w:bCs/>
                <w:u w:val="single"/>
                <w:lang w:val="vi-VN"/>
              </w:rPr>
              <w:t>Cơ sở đề xuất:</w:t>
            </w:r>
          </w:p>
          <w:p w:rsidR="00EB08D4" w:rsidRDefault="00D4465F" w:rsidP="00154E4B">
            <w:pPr>
              <w:spacing w:after="120"/>
              <w:rPr>
                <w:rFonts w:asciiTheme="majorHAnsi" w:hAnsiTheme="majorHAnsi" w:cstheme="majorHAnsi"/>
                <w:bCs/>
                <w:color w:val="auto"/>
                <w:sz w:val="24"/>
                <w:szCs w:val="24"/>
                <w:lang w:val="en-US"/>
              </w:rPr>
            </w:pPr>
            <w:r w:rsidRPr="00D4465F">
              <w:rPr>
                <w:rFonts w:asciiTheme="majorHAnsi" w:hAnsiTheme="majorHAnsi" w:cstheme="majorHAnsi"/>
                <w:bCs/>
                <w:color w:val="auto"/>
                <w:sz w:val="24"/>
                <w:szCs w:val="24"/>
                <w:lang w:val="en-US"/>
              </w:rPr>
              <w:t>Sửa</w:t>
            </w:r>
            <w:r>
              <w:rPr>
                <w:rFonts w:asciiTheme="majorHAnsi" w:hAnsiTheme="majorHAnsi" w:cstheme="majorHAnsi"/>
                <w:bCs/>
                <w:color w:val="auto"/>
                <w:sz w:val="24"/>
                <w:szCs w:val="24"/>
                <w:lang w:val="en-US"/>
              </w:rPr>
              <w:t xml:space="preserve"> đổi</w:t>
            </w:r>
            <w:r w:rsidR="009C3EEA">
              <w:rPr>
                <w:rFonts w:asciiTheme="majorHAnsi" w:hAnsiTheme="majorHAnsi" w:cstheme="majorHAnsi"/>
                <w:bCs/>
                <w:color w:val="auto"/>
                <w:sz w:val="24"/>
                <w:szCs w:val="24"/>
                <w:lang w:val="en-US"/>
              </w:rPr>
              <w:t xml:space="preserve"> nội dung liên quan</w:t>
            </w:r>
            <w:r w:rsidR="00761924">
              <w:rPr>
                <w:rFonts w:asciiTheme="majorHAnsi" w:hAnsiTheme="majorHAnsi" w:cstheme="majorHAnsi"/>
                <w:bCs/>
                <w:color w:val="auto"/>
                <w:sz w:val="24"/>
                <w:szCs w:val="24"/>
                <w:lang w:val="en-US"/>
              </w:rPr>
              <w:t xml:space="preserve"> tới</w:t>
            </w:r>
            <w:r>
              <w:rPr>
                <w:rFonts w:asciiTheme="majorHAnsi" w:hAnsiTheme="majorHAnsi" w:cstheme="majorHAnsi"/>
                <w:bCs/>
                <w:color w:val="auto"/>
                <w:sz w:val="24"/>
                <w:szCs w:val="24"/>
                <w:lang w:val="en-US"/>
              </w:rPr>
              <w:t xml:space="preserve"> phương thức thực hiện môi giới tiền tệ</w:t>
            </w:r>
            <w:r w:rsidR="00563B18">
              <w:rPr>
                <w:rFonts w:asciiTheme="majorHAnsi" w:hAnsiTheme="majorHAnsi" w:cstheme="majorHAnsi"/>
                <w:bCs/>
                <w:color w:val="auto"/>
                <w:sz w:val="24"/>
                <w:szCs w:val="24"/>
                <w:lang w:val="en-US"/>
              </w:rPr>
              <w:t xml:space="preserve">, cụ thể </w:t>
            </w:r>
            <w:r w:rsidR="0086319E">
              <w:rPr>
                <w:rFonts w:asciiTheme="majorHAnsi" w:hAnsiTheme="majorHAnsi" w:cstheme="majorHAnsi"/>
                <w:bCs/>
                <w:color w:val="auto"/>
                <w:sz w:val="24"/>
                <w:szCs w:val="24"/>
                <w:lang w:val="en-US"/>
              </w:rPr>
              <w:t>thay “</w:t>
            </w:r>
            <w:r w:rsidR="00210CA0">
              <w:rPr>
                <w:rFonts w:asciiTheme="majorHAnsi" w:hAnsiTheme="majorHAnsi" w:cstheme="majorHAnsi"/>
                <w:bCs/>
                <w:color w:val="auto"/>
                <w:sz w:val="24"/>
                <w:szCs w:val="24"/>
                <w:lang w:val="en-US"/>
              </w:rPr>
              <w:t xml:space="preserve">hoặc </w:t>
            </w:r>
            <w:r w:rsidR="0086319E" w:rsidRPr="006C7FA0">
              <w:rPr>
                <w:rFonts w:asciiTheme="majorHAnsi" w:hAnsiTheme="majorHAnsi" w:cstheme="majorHAnsi"/>
                <w:bCs/>
                <w:color w:val="auto"/>
                <w:sz w:val="24"/>
                <w:szCs w:val="24"/>
                <w:lang w:val="en-US"/>
              </w:rPr>
              <w:t>gián tiếp qua mạng máy vi tính và/hoặc điện thoại</w:t>
            </w:r>
            <w:r w:rsidR="00210CA0">
              <w:rPr>
                <w:rFonts w:asciiTheme="majorHAnsi" w:hAnsiTheme="majorHAnsi" w:cstheme="majorHAnsi"/>
                <w:bCs/>
                <w:color w:val="auto"/>
                <w:sz w:val="24"/>
                <w:szCs w:val="24"/>
                <w:lang w:val="en-US"/>
              </w:rPr>
              <w:t xml:space="preserve"> </w:t>
            </w:r>
            <w:r w:rsidR="00210CA0" w:rsidRPr="006C7FA0">
              <w:rPr>
                <w:rFonts w:asciiTheme="majorHAnsi" w:hAnsiTheme="majorHAnsi" w:cstheme="majorHAnsi"/>
                <w:bCs/>
                <w:color w:val="auto"/>
                <w:sz w:val="24"/>
                <w:szCs w:val="24"/>
                <w:lang w:val="en-US"/>
              </w:rPr>
              <w:t>hoặc các phương thức khác do các bên thỏa thuận phù hợp với Điều kiện của các bên, tuân thủ quy định của pháp luật</w:t>
            </w:r>
            <w:r w:rsidR="0086319E">
              <w:rPr>
                <w:rFonts w:asciiTheme="majorHAnsi" w:hAnsiTheme="majorHAnsi" w:cstheme="majorHAnsi"/>
                <w:bCs/>
                <w:color w:val="auto"/>
                <w:sz w:val="24"/>
                <w:szCs w:val="24"/>
                <w:lang w:val="en-US"/>
              </w:rPr>
              <w:t>” bằng “</w:t>
            </w:r>
            <w:r w:rsidR="00486C69">
              <w:rPr>
                <w:rFonts w:asciiTheme="majorHAnsi" w:hAnsiTheme="majorHAnsi" w:cstheme="majorHAnsi"/>
                <w:bCs/>
                <w:color w:val="auto"/>
                <w:sz w:val="24"/>
                <w:szCs w:val="24"/>
                <w:lang w:val="en-US"/>
              </w:rPr>
              <w:t xml:space="preserve"> hoặc</w:t>
            </w:r>
            <w:r w:rsidR="00EE2A6D">
              <w:rPr>
                <w:rFonts w:asciiTheme="majorHAnsi" w:hAnsiTheme="majorHAnsi" w:cstheme="majorHAnsi"/>
                <w:bCs/>
                <w:color w:val="auto"/>
                <w:sz w:val="24"/>
                <w:szCs w:val="24"/>
                <w:lang w:val="en-US"/>
              </w:rPr>
              <w:t xml:space="preserve"> </w:t>
            </w:r>
            <w:r w:rsidR="006B1537" w:rsidRPr="006B1537">
              <w:rPr>
                <w:rFonts w:asciiTheme="majorHAnsi" w:hAnsiTheme="majorHAnsi" w:cstheme="majorHAnsi"/>
                <w:bCs/>
                <w:color w:val="auto"/>
                <w:sz w:val="24"/>
                <w:szCs w:val="24"/>
                <w:lang w:val="en-US"/>
              </w:rPr>
              <w:t xml:space="preserve">giao dịch điện tử theo quy định </w:t>
            </w:r>
            <w:r w:rsidR="006B1537" w:rsidRPr="006B1537">
              <w:rPr>
                <w:rFonts w:asciiTheme="majorHAnsi" w:hAnsiTheme="majorHAnsi" w:cstheme="majorHAnsi"/>
                <w:bCs/>
                <w:color w:val="auto"/>
                <w:sz w:val="24"/>
                <w:szCs w:val="24"/>
                <w:lang w:val="en-US"/>
              </w:rPr>
              <w:lastRenderedPageBreak/>
              <w:t>của Luật Giao dịch điện tử</w:t>
            </w:r>
            <w:r w:rsidR="0086319E">
              <w:rPr>
                <w:rFonts w:asciiTheme="majorHAnsi" w:hAnsiTheme="majorHAnsi" w:cstheme="majorHAnsi"/>
                <w:bCs/>
                <w:color w:val="auto"/>
                <w:sz w:val="24"/>
                <w:szCs w:val="24"/>
                <w:lang w:val="en-US"/>
              </w:rPr>
              <w:t>”</w:t>
            </w:r>
            <w:r w:rsidR="00DE2C25">
              <w:rPr>
                <w:rFonts w:asciiTheme="majorHAnsi" w:hAnsiTheme="majorHAnsi" w:cstheme="majorHAnsi"/>
                <w:bCs/>
                <w:color w:val="auto"/>
                <w:sz w:val="24"/>
                <w:szCs w:val="24"/>
                <w:lang w:val="en-US"/>
              </w:rPr>
              <w:t xml:space="preserve"> để phù hợp với Luật giao dịch điện t</w:t>
            </w:r>
            <w:r w:rsidR="00224857">
              <w:rPr>
                <w:rFonts w:asciiTheme="majorHAnsi" w:hAnsiTheme="majorHAnsi" w:cstheme="majorHAnsi"/>
                <w:bCs/>
                <w:color w:val="auto"/>
                <w:sz w:val="24"/>
                <w:szCs w:val="24"/>
                <w:lang w:val="en-US"/>
              </w:rPr>
              <w:t>ử</w:t>
            </w:r>
            <w:r w:rsidR="005A2635">
              <w:rPr>
                <w:rFonts w:asciiTheme="majorHAnsi" w:hAnsiTheme="majorHAnsi" w:cstheme="majorHAnsi"/>
                <w:bCs/>
                <w:color w:val="auto"/>
                <w:sz w:val="24"/>
                <w:szCs w:val="24"/>
                <w:lang w:val="en-US"/>
              </w:rPr>
              <w:t xml:space="preserve"> 2023 và tình hình thực tiễn.</w:t>
            </w:r>
          </w:p>
          <w:p w:rsidR="00487A56" w:rsidRDefault="00487A56" w:rsidP="00154E4B">
            <w:pPr>
              <w:spacing w:after="120"/>
              <w:rPr>
                <w:rFonts w:asciiTheme="majorHAnsi" w:hAnsiTheme="majorHAnsi" w:cstheme="majorHAnsi"/>
                <w:bCs/>
                <w:color w:val="auto"/>
                <w:sz w:val="24"/>
                <w:szCs w:val="24"/>
                <w:lang w:val="en-US"/>
              </w:rPr>
            </w:pPr>
            <w:r>
              <w:rPr>
                <w:rFonts w:asciiTheme="majorHAnsi" w:hAnsiTheme="majorHAnsi" w:cstheme="majorHAnsi"/>
                <w:bCs/>
                <w:color w:val="auto"/>
                <w:sz w:val="24"/>
                <w:szCs w:val="24"/>
                <w:lang w:val="en-US"/>
              </w:rPr>
              <w:t>Tại Khoản 1 và Khoản 2 Điều 3 Luật giao dịch điện tử 2023 có quy định:</w:t>
            </w:r>
          </w:p>
          <w:p w:rsidR="00487A56" w:rsidRPr="00811900" w:rsidRDefault="00487A56" w:rsidP="00154E4B">
            <w:pPr>
              <w:spacing w:after="120"/>
              <w:rPr>
                <w:rFonts w:asciiTheme="majorHAnsi" w:hAnsiTheme="majorHAnsi" w:cstheme="majorHAnsi"/>
                <w:bCs/>
                <w:i/>
                <w:color w:val="auto"/>
                <w:sz w:val="24"/>
                <w:szCs w:val="24"/>
                <w:lang w:val="en-US"/>
              </w:rPr>
            </w:pPr>
            <w:r>
              <w:rPr>
                <w:rFonts w:asciiTheme="majorHAnsi" w:hAnsiTheme="majorHAnsi" w:cstheme="majorHAnsi"/>
                <w:bCs/>
                <w:color w:val="auto"/>
                <w:sz w:val="24"/>
                <w:szCs w:val="24"/>
                <w:lang w:val="en-US"/>
              </w:rPr>
              <w:t>“</w:t>
            </w:r>
            <w:r w:rsidRPr="00811900">
              <w:rPr>
                <w:rFonts w:asciiTheme="majorHAnsi" w:hAnsiTheme="majorHAnsi" w:cstheme="majorHAnsi"/>
                <w:bCs/>
                <w:i/>
                <w:color w:val="auto"/>
                <w:sz w:val="24"/>
                <w:szCs w:val="24"/>
                <w:lang w:val="en-US"/>
              </w:rPr>
              <w:t>1. Giao dịch điện tử là giao dịch được thực hiện bằng phương tiện điện tử.</w:t>
            </w:r>
          </w:p>
          <w:p w:rsidR="00E82FF4" w:rsidRPr="00D4465F" w:rsidRDefault="00811900" w:rsidP="00CC1305">
            <w:pPr>
              <w:spacing w:after="120"/>
              <w:rPr>
                <w:rFonts w:asciiTheme="majorHAnsi" w:hAnsiTheme="majorHAnsi" w:cstheme="majorHAnsi"/>
                <w:bCs/>
                <w:color w:val="auto"/>
                <w:sz w:val="24"/>
                <w:szCs w:val="24"/>
                <w:lang w:val="en-US"/>
              </w:rPr>
            </w:pPr>
            <w:r w:rsidRPr="00811900">
              <w:rPr>
                <w:rFonts w:asciiTheme="majorHAnsi" w:hAnsiTheme="majorHAnsi" w:cstheme="majorHAnsi"/>
                <w:bCs/>
                <w:i/>
                <w:color w:val="auto"/>
                <w:sz w:val="24"/>
                <w:szCs w:val="24"/>
                <w:lang w:val="en-US"/>
              </w:rPr>
              <w:t xml:space="preserve">  </w:t>
            </w:r>
            <w:r w:rsidR="00487A56" w:rsidRPr="00811900">
              <w:rPr>
                <w:rFonts w:asciiTheme="majorHAnsi" w:hAnsiTheme="majorHAnsi" w:cstheme="majorHAnsi"/>
                <w:bCs/>
                <w:i/>
                <w:color w:val="auto"/>
                <w:sz w:val="24"/>
                <w:szCs w:val="24"/>
                <w:lang w:val="en-US"/>
              </w:rPr>
              <w:t>2. Phương tiện điện tử là phần cứng, phần mềm, hệ thống thông tin hoặc phương tiện khác hoạt động dựa trên công nghệ thông tin, công nghệ điện, điện tử, kỹ thuật số, từ tính, truyền dẫn không dây, quang học, điện từ hoặc công nghệ khác tương tự.</w:t>
            </w:r>
            <w:r w:rsidR="00487A56">
              <w:rPr>
                <w:rFonts w:asciiTheme="majorHAnsi" w:hAnsiTheme="majorHAnsi" w:cstheme="majorHAnsi"/>
                <w:bCs/>
                <w:color w:val="auto"/>
                <w:sz w:val="24"/>
                <w:szCs w:val="24"/>
                <w:lang w:val="en-US"/>
              </w:rPr>
              <w:t>”</w:t>
            </w:r>
          </w:p>
        </w:tc>
      </w:tr>
    </w:tbl>
    <w:p w:rsidR="004903BF" w:rsidRPr="00795EA8" w:rsidRDefault="004903BF" w:rsidP="004A2D4A">
      <w:pPr>
        <w:rPr>
          <w:color w:val="FF0000"/>
          <w:lang w:val="pl-PL"/>
        </w:rPr>
      </w:pPr>
    </w:p>
    <w:sectPr w:rsidR="004903BF" w:rsidRPr="00795EA8" w:rsidSect="00BF3F96">
      <w:headerReference w:type="default" r:id="rId11"/>
      <w:pgSz w:w="16840" w:h="11907" w:orient="landscape" w:code="9"/>
      <w:pgMar w:top="568" w:right="1134" w:bottom="851" w:left="1134" w:header="720" w:footer="72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51D3" w:rsidRDefault="002C51D3" w:rsidP="00E17A98">
      <w:pPr>
        <w:spacing w:before="0"/>
      </w:pPr>
      <w:r>
        <w:separator/>
      </w:r>
    </w:p>
  </w:endnote>
  <w:endnote w:type="continuationSeparator" w:id="0">
    <w:p w:rsidR="002C51D3" w:rsidRDefault="002C51D3" w:rsidP="00E17A9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51D3" w:rsidRDefault="002C51D3" w:rsidP="00E17A98">
      <w:pPr>
        <w:spacing w:before="0"/>
      </w:pPr>
      <w:r>
        <w:separator/>
      </w:r>
    </w:p>
  </w:footnote>
  <w:footnote w:type="continuationSeparator" w:id="0">
    <w:p w:rsidR="002C51D3" w:rsidRDefault="002C51D3" w:rsidP="00E17A98">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3379960"/>
      <w:docPartObj>
        <w:docPartGallery w:val="Page Numbers (Top of Page)"/>
        <w:docPartUnique/>
      </w:docPartObj>
    </w:sdtPr>
    <w:sdtEndPr>
      <w:rPr>
        <w:noProof/>
      </w:rPr>
    </w:sdtEndPr>
    <w:sdtContent>
      <w:p w:rsidR="00BF3F96" w:rsidRDefault="00BF3F96">
        <w:pPr>
          <w:pStyle w:val="Header"/>
          <w:jc w:val="center"/>
        </w:pPr>
        <w:r>
          <w:fldChar w:fldCharType="begin"/>
        </w:r>
        <w:r>
          <w:instrText xml:space="preserve"> PAGE   \* MERGEFORMAT </w:instrText>
        </w:r>
        <w:r>
          <w:fldChar w:fldCharType="separate"/>
        </w:r>
        <w:r w:rsidR="001C6B0D">
          <w:rPr>
            <w:noProof/>
          </w:rPr>
          <w:t>2</w:t>
        </w:r>
        <w:r>
          <w:rPr>
            <w:noProof/>
          </w:rPr>
          <w:fldChar w:fldCharType="end"/>
        </w:r>
      </w:p>
    </w:sdtContent>
  </w:sdt>
  <w:p w:rsidR="00BF3F96" w:rsidRDefault="00BF3F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133D0"/>
    <w:multiLevelType w:val="hybridMultilevel"/>
    <w:tmpl w:val="29BC985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230F31C1"/>
    <w:multiLevelType w:val="hybridMultilevel"/>
    <w:tmpl w:val="ED628652"/>
    <w:lvl w:ilvl="0" w:tplc="0B809EF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1312E7"/>
    <w:multiLevelType w:val="hybridMultilevel"/>
    <w:tmpl w:val="6D18A7EE"/>
    <w:lvl w:ilvl="0" w:tplc="687856E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3BF"/>
    <w:rsid w:val="00006224"/>
    <w:rsid w:val="0000714D"/>
    <w:rsid w:val="00010DAE"/>
    <w:rsid w:val="00011F9F"/>
    <w:rsid w:val="00012232"/>
    <w:rsid w:val="00015554"/>
    <w:rsid w:val="00015566"/>
    <w:rsid w:val="000169E7"/>
    <w:rsid w:val="00020E55"/>
    <w:rsid w:val="00022F95"/>
    <w:rsid w:val="000247EE"/>
    <w:rsid w:val="0002495E"/>
    <w:rsid w:val="000340EE"/>
    <w:rsid w:val="000443DB"/>
    <w:rsid w:val="000563D2"/>
    <w:rsid w:val="000969C4"/>
    <w:rsid w:val="000A3A3B"/>
    <w:rsid w:val="000A64A1"/>
    <w:rsid w:val="000B580F"/>
    <w:rsid w:val="000D322E"/>
    <w:rsid w:val="000F5B61"/>
    <w:rsid w:val="000F7593"/>
    <w:rsid w:val="00107974"/>
    <w:rsid w:val="001143D2"/>
    <w:rsid w:val="00120F85"/>
    <w:rsid w:val="00126907"/>
    <w:rsid w:val="001355DD"/>
    <w:rsid w:val="00135C3F"/>
    <w:rsid w:val="001457DE"/>
    <w:rsid w:val="00150D0F"/>
    <w:rsid w:val="00154E4B"/>
    <w:rsid w:val="00160C35"/>
    <w:rsid w:val="00164CF9"/>
    <w:rsid w:val="001724EB"/>
    <w:rsid w:val="00176A8A"/>
    <w:rsid w:val="00181E57"/>
    <w:rsid w:val="001832C8"/>
    <w:rsid w:val="00183896"/>
    <w:rsid w:val="00191D5A"/>
    <w:rsid w:val="00194F7B"/>
    <w:rsid w:val="001957BD"/>
    <w:rsid w:val="001A7995"/>
    <w:rsid w:val="001B7E9B"/>
    <w:rsid w:val="001C51BA"/>
    <w:rsid w:val="001C6B0D"/>
    <w:rsid w:val="001E0C68"/>
    <w:rsid w:val="001F2656"/>
    <w:rsid w:val="001F3AA6"/>
    <w:rsid w:val="001F462A"/>
    <w:rsid w:val="001F5C0C"/>
    <w:rsid w:val="00206BA9"/>
    <w:rsid w:val="0020715E"/>
    <w:rsid w:val="00210CA0"/>
    <w:rsid w:val="00217643"/>
    <w:rsid w:val="002204E4"/>
    <w:rsid w:val="002209D4"/>
    <w:rsid w:val="002218B3"/>
    <w:rsid w:val="002239A5"/>
    <w:rsid w:val="00224857"/>
    <w:rsid w:val="00227A38"/>
    <w:rsid w:val="0023070D"/>
    <w:rsid w:val="00234ACC"/>
    <w:rsid w:val="00234D3E"/>
    <w:rsid w:val="0023668B"/>
    <w:rsid w:val="002436FE"/>
    <w:rsid w:val="00244C57"/>
    <w:rsid w:val="00245AD3"/>
    <w:rsid w:val="00251B27"/>
    <w:rsid w:val="00252358"/>
    <w:rsid w:val="00255859"/>
    <w:rsid w:val="002564E5"/>
    <w:rsid w:val="0026103B"/>
    <w:rsid w:val="002628F3"/>
    <w:rsid w:val="00264951"/>
    <w:rsid w:val="00271879"/>
    <w:rsid w:val="00272EC9"/>
    <w:rsid w:val="00281BAE"/>
    <w:rsid w:val="002859B2"/>
    <w:rsid w:val="00290113"/>
    <w:rsid w:val="00291627"/>
    <w:rsid w:val="002A25AD"/>
    <w:rsid w:val="002B4EEE"/>
    <w:rsid w:val="002B6995"/>
    <w:rsid w:val="002B7BEC"/>
    <w:rsid w:val="002C0925"/>
    <w:rsid w:val="002C51D3"/>
    <w:rsid w:val="002C791A"/>
    <w:rsid w:val="002D1F5A"/>
    <w:rsid w:val="002D5DB0"/>
    <w:rsid w:val="002E0D7A"/>
    <w:rsid w:val="002E79EE"/>
    <w:rsid w:val="002F5498"/>
    <w:rsid w:val="00300C64"/>
    <w:rsid w:val="003037D2"/>
    <w:rsid w:val="003042FD"/>
    <w:rsid w:val="0030682E"/>
    <w:rsid w:val="0031698B"/>
    <w:rsid w:val="00320355"/>
    <w:rsid w:val="003211D2"/>
    <w:rsid w:val="00321547"/>
    <w:rsid w:val="00323F53"/>
    <w:rsid w:val="00333754"/>
    <w:rsid w:val="00333AD5"/>
    <w:rsid w:val="0036218F"/>
    <w:rsid w:val="003628E5"/>
    <w:rsid w:val="00362B94"/>
    <w:rsid w:val="00364EEF"/>
    <w:rsid w:val="00366889"/>
    <w:rsid w:val="003774A5"/>
    <w:rsid w:val="00386170"/>
    <w:rsid w:val="00387D66"/>
    <w:rsid w:val="003A2694"/>
    <w:rsid w:val="003A4668"/>
    <w:rsid w:val="003A555E"/>
    <w:rsid w:val="003A6A4B"/>
    <w:rsid w:val="003A7EAB"/>
    <w:rsid w:val="003B32AD"/>
    <w:rsid w:val="003B3FF5"/>
    <w:rsid w:val="003C1DE0"/>
    <w:rsid w:val="003D18F7"/>
    <w:rsid w:val="003D2947"/>
    <w:rsid w:val="003E2B42"/>
    <w:rsid w:val="003F0412"/>
    <w:rsid w:val="003F14FA"/>
    <w:rsid w:val="00401E0F"/>
    <w:rsid w:val="00406541"/>
    <w:rsid w:val="00413D7A"/>
    <w:rsid w:val="00415327"/>
    <w:rsid w:val="004176B6"/>
    <w:rsid w:val="00425A3E"/>
    <w:rsid w:val="00441EC4"/>
    <w:rsid w:val="004446AD"/>
    <w:rsid w:val="00455826"/>
    <w:rsid w:val="00460F08"/>
    <w:rsid w:val="004623A7"/>
    <w:rsid w:val="004632B4"/>
    <w:rsid w:val="004639D2"/>
    <w:rsid w:val="0046506F"/>
    <w:rsid w:val="0047472D"/>
    <w:rsid w:val="0047510A"/>
    <w:rsid w:val="004857D9"/>
    <w:rsid w:val="00486C69"/>
    <w:rsid w:val="0048741D"/>
    <w:rsid w:val="00487A56"/>
    <w:rsid w:val="00490341"/>
    <w:rsid w:val="004903BF"/>
    <w:rsid w:val="00491C56"/>
    <w:rsid w:val="00497782"/>
    <w:rsid w:val="004A2D4A"/>
    <w:rsid w:val="004A4419"/>
    <w:rsid w:val="004A556F"/>
    <w:rsid w:val="004A739B"/>
    <w:rsid w:val="004A7B04"/>
    <w:rsid w:val="004C43D0"/>
    <w:rsid w:val="004D1F98"/>
    <w:rsid w:val="004D20EC"/>
    <w:rsid w:val="004D29E3"/>
    <w:rsid w:val="004E0071"/>
    <w:rsid w:val="004E19AD"/>
    <w:rsid w:val="004E1D81"/>
    <w:rsid w:val="004F03EB"/>
    <w:rsid w:val="004F54A5"/>
    <w:rsid w:val="004F60B9"/>
    <w:rsid w:val="00503DA9"/>
    <w:rsid w:val="00513D07"/>
    <w:rsid w:val="005239EF"/>
    <w:rsid w:val="00524C9C"/>
    <w:rsid w:val="00526C84"/>
    <w:rsid w:val="00536A27"/>
    <w:rsid w:val="00545B61"/>
    <w:rsid w:val="005521AB"/>
    <w:rsid w:val="0055293E"/>
    <w:rsid w:val="005532F6"/>
    <w:rsid w:val="005551EC"/>
    <w:rsid w:val="00561626"/>
    <w:rsid w:val="00563241"/>
    <w:rsid w:val="00563B18"/>
    <w:rsid w:val="0057097D"/>
    <w:rsid w:val="0058079E"/>
    <w:rsid w:val="00585FBD"/>
    <w:rsid w:val="00590176"/>
    <w:rsid w:val="0059421C"/>
    <w:rsid w:val="0059474A"/>
    <w:rsid w:val="00594B61"/>
    <w:rsid w:val="005A12EC"/>
    <w:rsid w:val="005A2635"/>
    <w:rsid w:val="005B3298"/>
    <w:rsid w:val="005B6116"/>
    <w:rsid w:val="005B6E70"/>
    <w:rsid w:val="005B7805"/>
    <w:rsid w:val="005C6CB2"/>
    <w:rsid w:val="005C717D"/>
    <w:rsid w:val="005D22E7"/>
    <w:rsid w:val="005D5DFB"/>
    <w:rsid w:val="005D723D"/>
    <w:rsid w:val="005E59BF"/>
    <w:rsid w:val="005F43A8"/>
    <w:rsid w:val="006008D6"/>
    <w:rsid w:val="0061034E"/>
    <w:rsid w:val="0061200E"/>
    <w:rsid w:val="00613F87"/>
    <w:rsid w:val="00614246"/>
    <w:rsid w:val="00617971"/>
    <w:rsid w:val="0062164C"/>
    <w:rsid w:val="00634C9D"/>
    <w:rsid w:val="00635CD3"/>
    <w:rsid w:val="00637112"/>
    <w:rsid w:val="0064330C"/>
    <w:rsid w:val="00643FCE"/>
    <w:rsid w:val="00644CAE"/>
    <w:rsid w:val="00647A37"/>
    <w:rsid w:val="006503CE"/>
    <w:rsid w:val="00651873"/>
    <w:rsid w:val="00652B0F"/>
    <w:rsid w:val="00654B3F"/>
    <w:rsid w:val="0066699E"/>
    <w:rsid w:val="00666C24"/>
    <w:rsid w:val="006817B1"/>
    <w:rsid w:val="006828FB"/>
    <w:rsid w:val="00685757"/>
    <w:rsid w:val="00696F1C"/>
    <w:rsid w:val="0069749B"/>
    <w:rsid w:val="006B1537"/>
    <w:rsid w:val="006B383C"/>
    <w:rsid w:val="006B6940"/>
    <w:rsid w:val="006C7FA0"/>
    <w:rsid w:val="006D015D"/>
    <w:rsid w:val="006D44BB"/>
    <w:rsid w:val="006E1FC8"/>
    <w:rsid w:val="006E7508"/>
    <w:rsid w:val="006F5EBE"/>
    <w:rsid w:val="00701DA0"/>
    <w:rsid w:val="007128ED"/>
    <w:rsid w:val="00715272"/>
    <w:rsid w:val="00722390"/>
    <w:rsid w:val="00730649"/>
    <w:rsid w:val="00731072"/>
    <w:rsid w:val="00731BF2"/>
    <w:rsid w:val="00731F8E"/>
    <w:rsid w:val="007328C4"/>
    <w:rsid w:val="007346C7"/>
    <w:rsid w:val="00741387"/>
    <w:rsid w:val="00747570"/>
    <w:rsid w:val="0075429A"/>
    <w:rsid w:val="007550C3"/>
    <w:rsid w:val="00761924"/>
    <w:rsid w:val="00762789"/>
    <w:rsid w:val="00771268"/>
    <w:rsid w:val="0077346D"/>
    <w:rsid w:val="0077717D"/>
    <w:rsid w:val="007848EF"/>
    <w:rsid w:val="0079201C"/>
    <w:rsid w:val="00794FE6"/>
    <w:rsid w:val="00795EA8"/>
    <w:rsid w:val="007A00F3"/>
    <w:rsid w:val="007A210C"/>
    <w:rsid w:val="007B09B6"/>
    <w:rsid w:val="007B6AE3"/>
    <w:rsid w:val="007B7785"/>
    <w:rsid w:val="007E7BA1"/>
    <w:rsid w:val="007F4615"/>
    <w:rsid w:val="007F6DD5"/>
    <w:rsid w:val="007F7D7E"/>
    <w:rsid w:val="00801056"/>
    <w:rsid w:val="00801583"/>
    <w:rsid w:val="00807AA4"/>
    <w:rsid w:val="00811900"/>
    <w:rsid w:val="00813149"/>
    <w:rsid w:val="00813F32"/>
    <w:rsid w:val="00821213"/>
    <w:rsid w:val="008233DE"/>
    <w:rsid w:val="00826A69"/>
    <w:rsid w:val="00830051"/>
    <w:rsid w:val="00831F15"/>
    <w:rsid w:val="0083460C"/>
    <w:rsid w:val="00837ADB"/>
    <w:rsid w:val="0084197B"/>
    <w:rsid w:val="00855780"/>
    <w:rsid w:val="0086133B"/>
    <w:rsid w:val="00861CF8"/>
    <w:rsid w:val="0086319E"/>
    <w:rsid w:val="00873726"/>
    <w:rsid w:val="00873D31"/>
    <w:rsid w:val="00874E8B"/>
    <w:rsid w:val="00877688"/>
    <w:rsid w:val="0088095F"/>
    <w:rsid w:val="00885690"/>
    <w:rsid w:val="00885CE8"/>
    <w:rsid w:val="00885EA6"/>
    <w:rsid w:val="00886CC4"/>
    <w:rsid w:val="008A1599"/>
    <w:rsid w:val="008A38B3"/>
    <w:rsid w:val="008A406A"/>
    <w:rsid w:val="008B1449"/>
    <w:rsid w:val="008B7132"/>
    <w:rsid w:val="008C2AB7"/>
    <w:rsid w:val="008C38DB"/>
    <w:rsid w:val="008C61E8"/>
    <w:rsid w:val="008E0297"/>
    <w:rsid w:val="008E116A"/>
    <w:rsid w:val="008E6E8F"/>
    <w:rsid w:val="008F020F"/>
    <w:rsid w:val="008F0D50"/>
    <w:rsid w:val="008F4CD9"/>
    <w:rsid w:val="008F7C53"/>
    <w:rsid w:val="009008CB"/>
    <w:rsid w:val="00901CFB"/>
    <w:rsid w:val="00920153"/>
    <w:rsid w:val="009231D8"/>
    <w:rsid w:val="00932485"/>
    <w:rsid w:val="0093345A"/>
    <w:rsid w:val="0094369F"/>
    <w:rsid w:val="00957054"/>
    <w:rsid w:val="00961965"/>
    <w:rsid w:val="009709FF"/>
    <w:rsid w:val="009714B2"/>
    <w:rsid w:val="00972BC7"/>
    <w:rsid w:val="0098036F"/>
    <w:rsid w:val="009812C1"/>
    <w:rsid w:val="0098545A"/>
    <w:rsid w:val="0099321E"/>
    <w:rsid w:val="009A0E0E"/>
    <w:rsid w:val="009A1F18"/>
    <w:rsid w:val="009B124E"/>
    <w:rsid w:val="009C0670"/>
    <w:rsid w:val="009C3EEA"/>
    <w:rsid w:val="009C636A"/>
    <w:rsid w:val="009D10BC"/>
    <w:rsid w:val="009D2682"/>
    <w:rsid w:val="009D74BE"/>
    <w:rsid w:val="009E3D88"/>
    <w:rsid w:val="009E3E3A"/>
    <w:rsid w:val="009F5E34"/>
    <w:rsid w:val="009F753F"/>
    <w:rsid w:val="00A03D68"/>
    <w:rsid w:val="00A200A4"/>
    <w:rsid w:val="00A21584"/>
    <w:rsid w:val="00A21E2A"/>
    <w:rsid w:val="00A22765"/>
    <w:rsid w:val="00A22CF2"/>
    <w:rsid w:val="00A32365"/>
    <w:rsid w:val="00A326CC"/>
    <w:rsid w:val="00A33A24"/>
    <w:rsid w:val="00A44B2E"/>
    <w:rsid w:val="00A45B91"/>
    <w:rsid w:val="00A467C5"/>
    <w:rsid w:val="00A50EA0"/>
    <w:rsid w:val="00A55FD1"/>
    <w:rsid w:val="00A57BB0"/>
    <w:rsid w:val="00A61A5A"/>
    <w:rsid w:val="00A63E23"/>
    <w:rsid w:val="00A662B0"/>
    <w:rsid w:val="00A67C94"/>
    <w:rsid w:val="00A70448"/>
    <w:rsid w:val="00A74510"/>
    <w:rsid w:val="00A875DD"/>
    <w:rsid w:val="00A924C9"/>
    <w:rsid w:val="00AA1C43"/>
    <w:rsid w:val="00AA3AB2"/>
    <w:rsid w:val="00AB04DA"/>
    <w:rsid w:val="00AB664C"/>
    <w:rsid w:val="00AB7734"/>
    <w:rsid w:val="00AB7F00"/>
    <w:rsid w:val="00AC220F"/>
    <w:rsid w:val="00AC2434"/>
    <w:rsid w:val="00AD473B"/>
    <w:rsid w:val="00AE1D85"/>
    <w:rsid w:val="00AE3C1F"/>
    <w:rsid w:val="00AF1719"/>
    <w:rsid w:val="00AF28E1"/>
    <w:rsid w:val="00B0000F"/>
    <w:rsid w:val="00B03332"/>
    <w:rsid w:val="00B07768"/>
    <w:rsid w:val="00B102D8"/>
    <w:rsid w:val="00B13386"/>
    <w:rsid w:val="00B14777"/>
    <w:rsid w:val="00B1683E"/>
    <w:rsid w:val="00B412BC"/>
    <w:rsid w:val="00B41B59"/>
    <w:rsid w:val="00B47199"/>
    <w:rsid w:val="00B534E9"/>
    <w:rsid w:val="00B65D25"/>
    <w:rsid w:val="00B73493"/>
    <w:rsid w:val="00B736EA"/>
    <w:rsid w:val="00B77038"/>
    <w:rsid w:val="00B8527C"/>
    <w:rsid w:val="00B87458"/>
    <w:rsid w:val="00B949D2"/>
    <w:rsid w:val="00BB02C5"/>
    <w:rsid w:val="00BB1164"/>
    <w:rsid w:val="00BB76FD"/>
    <w:rsid w:val="00BC055E"/>
    <w:rsid w:val="00BD7006"/>
    <w:rsid w:val="00BE17A6"/>
    <w:rsid w:val="00BE2E08"/>
    <w:rsid w:val="00BE7167"/>
    <w:rsid w:val="00BF3F96"/>
    <w:rsid w:val="00C02413"/>
    <w:rsid w:val="00C163B6"/>
    <w:rsid w:val="00C16DE3"/>
    <w:rsid w:val="00C20860"/>
    <w:rsid w:val="00C233D8"/>
    <w:rsid w:val="00C2524B"/>
    <w:rsid w:val="00C30759"/>
    <w:rsid w:val="00C3334D"/>
    <w:rsid w:val="00C34D0C"/>
    <w:rsid w:val="00C4691C"/>
    <w:rsid w:val="00C53089"/>
    <w:rsid w:val="00C60CF1"/>
    <w:rsid w:val="00C632B0"/>
    <w:rsid w:val="00C70B05"/>
    <w:rsid w:val="00C741C2"/>
    <w:rsid w:val="00C803D0"/>
    <w:rsid w:val="00C8616B"/>
    <w:rsid w:val="00C875CC"/>
    <w:rsid w:val="00C93B3A"/>
    <w:rsid w:val="00C9453E"/>
    <w:rsid w:val="00C95349"/>
    <w:rsid w:val="00C95BB1"/>
    <w:rsid w:val="00CA16AA"/>
    <w:rsid w:val="00CA22BD"/>
    <w:rsid w:val="00CB7930"/>
    <w:rsid w:val="00CC1305"/>
    <w:rsid w:val="00CC3A1D"/>
    <w:rsid w:val="00CC3A50"/>
    <w:rsid w:val="00CD30DF"/>
    <w:rsid w:val="00CD4CF6"/>
    <w:rsid w:val="00CD61B7"/>
    <w:rsid w:val="00CD64D9"/>
    <w:rsid w:val="00CF637D"/>
    <w:rsid w:val="00CF6D66"/>
    <w:rsid w:val="00D0538C"/>
    <w:rsid w:val="00D14E07"/>
    <w:rsid w:val="00D164E9"/>
    <w:rsid w:val="00D274D1"/>
    <w:rsid w:val="00D3189C"/>
    <w:rsid w:val="00D3231F"/>
    <w:rsid w:val="00D35FDB"/>
    <w:rsid w:val="00D4271A"/>
    <w:rsid w:val="00D4465F"/>
    <w:rsid w:val="00D61467"/>
    <w:rsid w:val="00D62858"/>
    <w:rsid w:val="00D67D20"/>
    <w:rsid w:val="00D765A4"/>
    <w:rsid w:val="00D80900"/>
    <w:rsid w:val="00D82740"/>
    <w:rsid w:val="00D90C13"/>
    <w:rsid w:val="00D92378"/>
    <w:rsid w:val="00D96DEA"/>
    <w:rsid w:val="00DA5CD9"/>
    <w:rsid w:val="00DC0E9A"/>
    <w:rsid w:val="00DC1EEC"/>
    <w:rsid w:val="00DC529B"/>
    <w:rsid w:val="00DD30E6"/>
    <w:rsid w:val="00DD4104"/>
    <w:rsid w:val="00DE1D5A"/>
    <w:rsid w:val="00DE2C25"/>
    <w:rsid w:val="00DE6B7A"/>
    <w:rsid w:val="00E17A98"/>
    <w:rsid w:val="00E25370"/>
    <w:rsid w:val="00E367BC"/>
    <w:rsid w:val="00E37E33"/>
    <w:rsid w:val="00E410E7"/>
    <w:rsid w:val="00E5243B"/>
    <w:rsid w:val="00E53EAE"/>
    <w:rsid w:val="00E53F61"/>
    <w:rsid w:val="00E66599"/>
    <w:rsid w:val="00E670FB"/>
    <w:rsid w:val="00E718FB"/>
    <w:rsid w:val="00E737E6"/>
    <w:rsid w:val="00E82FF4"/>
    <w:rsid w:val="00E84C0B"/>
    <w:rsid w:val="00E8718F"/>
    <w:rsid w:val="00EA19AF"/>
    <w:rsid w:val="00EA3318"/>
    <w:rsid w:val="00EB08D4"/>
    <w:rsid w:val="00EB2441"/>
    <w:rsid w:val="00EB7CF6"/>
    <w:rsid w:val="00EC6703"/>
    <w:rsid w:val="00EE21D9"/>
    <w:rsid w:val="00EE2A6D"/>
    <w:rsid w:val="00EE57F0"/>
    <w:rsid w:val="00EF5517"/>
    <w:rsid w:val="00EF7B11"/>
    <w:rsid w:val="00F05413"/>
    <w:rsid w:val="00F102E5"/>
    <w:rsid w:val="00F10D6A"/>
    <w:rsid w:val="00F1341D"/>
    <w:rsid w:val="00F14631"/>
    <w:rsid w:val="00F202DB"/>
    <w:rsid w:val="00F20763"/>
    <w:rsid w:val="00F21AA5"/>
    <w:rsid w:val="00F247D6"/>
    <w:rsid w:val="00F24DA8"/>
    <w:rsid w:val="00F30906"/>
    <w:rsid w:val="00F31E6D"/>
    <w:rsid w:val="00F33C61"/>
    <w:rsid w:val="00F33E61"/>
    <w:rsid w:val="00F41617"/>
    <w:rsid w:val="00F45E9A"/>
    <w:rsid w:val="00F539F3"/>
    <w:rsid w:val="00F55632"/>
    <w:rsid w:val="00F5702B"/>
    <w:rsid w:val="00F61573"/>
    <w:rsid w:val="00F63CCB"/>
    <w:rsid w:val="00F63FDA"/>
    <w:rsid w:val="00F67BA8"/>
    <w:rsid w:val="00F81FDF"/>
    <w:rsid w:val="00F82791"/>
    <w:rsid w:val="00F831AC"/>
    <w:rsid w:val="00F9544C"/>
    <w:rsid w:val="00FA2881"/>
    <w:rsid w:val="00FA6C42"/>
    <w:rsid w:val="00FB07A9"/>
    <w:rsid w:val="00FC2693"/>
    <w:rsid w:val="00FC5167"/>
    <w:rsid w:val="00FD17ED"/>
    <w:rsid w:val="00FD2BF6"/>
    <w:rsid w:val="00FD5963"/>
    <w:rsid w:val="00FD77CE"/>
    <w:rsid w:val="00FE1334"/>
    <w:rsid w:val="00FE3E20"/>
    <w:rsid w:val="00FE4BD8"/>
    <w:rsid w:val="00FF272E"/>
    <w:rsid w:val="00FF7EA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3C05C4-357E-4832-9867-4BA4ABB56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themeColor="text1"/>
        <w:sz w:val="28"/>
        <w:szCs w:val="28"/>
        <w:lang w:val="vi-VN" w:eastAsia="en-US" w:bidi="ar-SA"/>
      </w:rPr>
    </w:rPrDefault>
    <w:pPrDefault>
      <w:pPr>
        <w:spacing w:before="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2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03BF"/>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link w:val="NormalWebChar"/>
    <w:rsid w:val="007128ED"/>
    <w:pPr>
      <w:spacing w:before="100" w:beforeAutospacing="1" w:after="100" w:afterAutospacing="1"/>
      <w:jc w:val="left"/>
    </w:pPr>
    <w:rPr>
      <w:rFonts w:eastAsia="Times New Roman"/>
      <w:color w:val="auto"/>
      <w:sz w:val="24"/>
      <w:szCs w:val="24"/>
      <w:lang w:val="en-US"/>
    </w:rPr>
  </w:style>
  <w:style w:type="character" w:customStyle="1" w:styleId="NormalWebChar">
    <w:name w:val="Normal (Web) Char"/>
    <w:basedOn w:val="DefaultParagraphFont"/>
    <w:link w:val="NormalWeb"/>
    <w:rsid w:val="004D1F98"/>
    <w:rPr>
      <w:rFonts w:eastAsia="Times New Roman"/>
      <w:color w:val="auto"/>
      <w:sz w:val="24"/>
      <w:szCs w:val="24"/>
      <w:lang w:val="en-US"/>
    </w:rPr>
  </w:style>
  <w:style w:type="character" w:styleId="PlaceholderText">
    <w:name w:val="Placeholder Text"/>
    <w:basedOn w:val="DefaultParagraphFont"/>
    <w:uiPriority w:val="99"/>
    <w:semiHidden/>
    <w:rsid w:val="008E116A"/>
    <w:rPr>
      <w:color w:val="808080"/>
    </w:rPr>
  </w:style>
  <w:style w:type="paragraph" w:styleId="BalloonText">
    <w:name w:val="Balloon Text"/>
    <w:basedOn w:val="Normal"/>
    <w:link w:val="BalloonTextChar"/>
    <w:uiPriority w:val="99"/>
    <w:semiHidden/>
    <w:unhideWhenUsed/>
    <w:rsid w:val="008E116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116A"/>
    <w:rPr>
      <w:rFonts w:ascii="Tahoma" w:hAnsi="Tahoma" w:cs="Tahoma"/>
      <w:sz w:val="16"/>
      <w:szCs w:val="16"/>
    </w:rPr>
  </w:style>
  <w:style w:type="paragraph" w:styleId="ListParagraph">
    <w:name w:val="List Paragraph"/>
    <w:basedOn w:val="Normal"/>
    <w:uiPriority w:val="34"/>
    <w:qFormat/>
    <w:rsid w:val="00290113"/>
    <w:pPr>
      <w:ind w:left="720"/>
      <w:contextualSpacing/>
    </w:pPr>
  </w:style>
  <w:style w:type="paragraph" w:styleId="Footer">
    <w:name w:val="footer"/>
    <w:basedOn w:val="Normal"/>
    <w:link w:val="FooterChar"/>
    <w:uiPriority w:val="99"/>
    <w:rsid w:val="0099321E"/>
    <w:pPr>
      <w:tabs>
        <w:tab w:val="center" w:pos="4320"/>
        <w:tab w:val="right" w:pos="8640"/>
      </w:tabs>
      <w:spacing w:before="0"/>
      <w:jc w:val="left"/>
    </w:pPr>
    <w:rPr>
      <w:rFonts w:eastAsia="Times New Roman"/>
      <w:color w:val="auto"/>
      <w:sz w:val="24"/>
      <w:szCs w:val="24"/>
      <w:lang w:val="en-US"/>
    </w:rPr>
  </w:style>
  <w:style w:type="character" w:customStyle="1" w:styleId="FooterChar">
    <w:name w:val="Footer Char"/>
    <w:basedOn w:val="DefaultParagraphFont"/>
    <w:link w:val="Footer"/>
    <w:uiPriority w:val="99"/>
    <w:rsid w:val="0099321E"/>
    <w:rPr>
      <w:rFonts w:eastAsia="Times New Roman"/>
      <w:color w:val="auto"/>
      <w:sz w:val="24"/>
      <w:szCs w:val="24"/>
      <w:lang w:val="en-US"/>
    </w:rPr>
  </w:style>
  <w:style w:type="paragraph" w:styleId="Header">
    <w:name w:val="header"/>
    <w:basedOn w:val="Normal"/>
    <w:link w:val="HeaderChar"/>
    <w:uiPriority w:val="99"/>
    <w:unhideWhenUsed/>
    <w:rsid w:val="00E17A98"/>
    <w:pPr>
      <w:tabs>
        <w:tab w:val="center" w:pos="4513"/>
        <w:tab w:val="right" w:pos="9026"/>
      </w:tabs>
      <w:spacing w:before="0"/>
    </w:pPr>
  </w:style>
  <w:style w:type="character" w:customStyle="1" w:styleId="HeaderChar">
    <w:name w:val="Header Char"/>
    <w:basedOn w:val="DefaultParagraphFont"/>
    <w:link w:val="Header"/>
    <w:uiPriority w:val="99"/>
    <w:rsid w:val="00E17A98"/>
  </w:style>
  <w:style w:type="paragraph" w:styleId="Revision">
    <w:name w:val="Revision"/>
    <w:hidden/>
    <w:uiPriority w:val="99"/>
    <w:semiHidden/>
    <w:rsid w:val="00961965"/>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155027">
      <w:bodyDiv w:val="1"/>
      <w:marLeft w:val="0"/>
      <w:marRight w:val="0"/>
      <w:marTop w:val="0"/>
      <w:marBottom w:val="0"/>
      <w:divBdr>
        <w:top w:val="none" w:sz="0" w:space="0" w:color="auto"/>
        <w:left w:val="none" w:sz="0" w:space="0" w:color="auto"/>
        <w:bottom w:val="none" w:sz="0" w:space="0" w:color="auto"/>
        <w:right w:val="none" w:sz="0" w:space="0" w:color="auto"/>
      </w:divBdr>
    </w:div>
    <w:div w:id="349600722">
      <w:bodyDiv w:val="1"/>
      <w:marLeft w:val="0"/>
      <w:marRight w:val="0"/>
      <w:marTop w:val="0"/>
      <w:marBottom w:val="0"/>
      <w:divBdr>
        <w:top w:val="none" w:sz="0" w:space="0" w:color="auto"/>
        <w:left w:val="none" w:sz="0" w:space="0" w:color="auto"/>
        <w:bottom w:val="none" w:sz="0" w:space="0" w:color="auto"/>
        <w:right w:val="none" w:sz="0" w:space="0" w:color="auto"/>
      </w:divBdr>
    </w:div>
    <w:div w:id="380128615">
      <w:bodyDiv w:val="1"/>
      <w:marLeft w:val="0"/>
      <w:marRight w:val="0"/>
      <w:marTop w:val="0"/>
      <w:marBottom w:val="0"/>
      <w:divBdr>
        <w:top w:val="none" w:sz="0" w:space="0" w:color="auto"/>
        <w:left w:val="none" w:sz="0" w:space="0" w:color="auto"/>
        <w:bottom w:val="none" w:sz="0" w:space="0" w:color="auto"/>
        <w:right w:val="none" w:sz="0" w:space="0" w:color="auto"/>
      </w:divBdr>
    </w:div>
    <w:div w:id="696008666">
      <w:bodyDiv w:val="1"/>
      <w:marLeft w:val="0"/>
      <w:marRight w:val="0"/>
      <w:marTop w:val="0"/>
      <w:marBottom w:val="0"/>
      <w:divBdr>
        <w:top w:val="none" w:sz="0" w:space="0" w:color="auto"/>
        <w:left w:val="none" w:sz="0" w:space="0" w:color="auto"/>
        <w:bottom w:val="none" w:sz="0" w:space="0" w:color="auto"/>
        <w:right w:val="none" w:sz="0" w:space="0" w:color="auto"/>
      </w:divBdr>
    </w:div>
    <w:div w:id="836652829">
      <w:bodyDiv w:val="1"/>
      <w:marLeft w:val="0"/>
      <w:marRight w:val="0"/>
      <w:marTop w:val="0"/>
      <w:marBottom w:val="0"/>
      <w:divBdr>
        <w:top w:val="none" w:sz="0" w:space="0" w:color="auto"/>
        <w:left w:val="none" w:sz="0" w:space="0" w:color="auto"/>
        <w:bottom w:val="none" w:sz="0" w:space="0" w:color="auto"/>
        <w:right w:val="none" w:sz="0" w:space="0" w:color="auto"/>
      </w:divBdr>
    </w:div>
    <w:div w:id="938023670">
      <w:bodyDiv w:val="1"/>
      <w:marLeft w:val="0"/>
      <w:marRight w:val="0"/>
      <w:marTop w:val="0"/>
      <w:marBottom w:val="0"/>
      <w:divBdr>
        <w:top w:val="none" w:sz="0" w:space="0" w:color="auto"/>
        <w:left w:val="none" w:sz="0" w:space="0" w:color="auto"/>
        <w:bottom w:val="none" w:sz="0" w:space="0" w:color="auto"/>
        <w:right w:val="none" w:sz="0" w:space="0" w:color="auto"/>
      </w:divBdr>
    </w:div>
    <w:div w:id="124710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0ECED-CE5B-488B-900A-68A43A3004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6921AB-583A-42D6-8810-B5094B566077}">
  <ds:schemaRefs>
    <ds:schemaRef ds:uri="http://schemas.microsoft.com/sharepoint/v3/contenttype/forms"/>
  </ds:schemaRefs>
</ds:datastoreItem>
</file>

<file path=customXml/itemProps3.xml><?xml version="1.0" encoding="utf-8"?>
<ds:datastoreItem xmlns:ds="http://schemas.openxmlformats.org/officeDocument/2006/customXml" ds:itemID="{D3EA80B2-BDF3-431F-B367-74723C5C2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5F06A77-1ED4-47B4-A88F-AD1BB7110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1318</Words>
  <Characters>7514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Le Thu Huong (VTTh)</cp:lastModifiedBy>
  <cp:revision>2</cp:revision>
  <cp:lastPrinted>2024-02-22T09:05:00Z</cp:lastPrinted>
  <dcterms:created xsi:type="dcterms:W3CDTF">2024-03-07T09:18:00Z</dcterms:created>
  <dcterms:modified xsi:type="dcterms:W3CDTF">2024-03-07T09:18:00Z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