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715" w:rsidRPr="005B326F" w:rsidRDefault="00513715" w:rsidP="00513715">
      <w:pPr>
        <w:spacing w:line="288" w:lineRule="auto"/>
        <w:jc w:val="center"/>
        <w:rPr>
          <w:rStyle w:val="BodyTextChar1"/>
          <w:b/>
          <w:bCs/>
          <w:sz w:val="28"/>
          <w:szCs w:val="28"/>
          <w:lang w:val="en-US"/>
        </w:rPr>
      </w:pPr>
      <w:r w:rsidRPr="005B326F">
        <w:rPr>
          <w:rStyle w:val="BodyTextChar1"/>
          <w:b/>
          <w:bCs/>
          <w:sz w:val="28"/>
          <w:szCs w:val="28"/>
        </w:rPr>
        <w:t>Phụ lục số 0</w:t>
      </w:r>
      <w:r w:rsidR="007830A9">
        <w:rPr>
          <w:rStyle w:val="BodyTextChar1"/>
          <w:b/>
          <w:bCs/>
          <w:sz w:val="28"/>
          <w:szCs w:val="28"/>
          <w:lang w:val="en-US"/>
        </w:rPr>
        <w:t>5</w:t>
      </w:r>
      <w:bookmarkStart w:id="0" w:name="_GoBack"/>
      <w:bookmarkEnd w:id="0"/>
    </w:p>
    <w:p w:rsidR="00513715" w:rsidRPr="00513715" w:rsidRDefault="00513715" w:rsidP="00513715">
      <w:pPr>
        <w:spacing w:before="120"/>
        <w:jc w:val="center"/>
        <w:rPr>
          <w:rFonts w:ascii="Times New Roman" w:hAnsi="Times New Roman" w:cs="Times New Roman"/>
          <w:sz w:val="28"/>
          <w:szCs w:val="28"/>
          <w:lang w:val="en-US"/>
        </w:rPr>
      </w:pPr>
      <w:r w:rsidRPr="00513715">
        <w:rPr>
          <w:rStyle w:val="Strong"/>
          <w:rFonts w:ascii="Times New Roman" w:hAnsi="Times New Roman" w:cs="Times New Roman"/>
          <w:color w:val="222222"/>
          <w:sz w:val="28"/>
          <w:szCs w:val="28"/>
        </w:rPr>
        <w:t>Báo cáo về tình hình phân phối, sử dụng sổ tiết kiệm trắng của tổ chức tín dụng là hợp tác xã</w:t>
      </w:r>
    </w:p>
    <w:p w:rsidR="00513715" w:rsidRPr="005B326F" w:rsidRDefault="00513715" w:rsidP="00513715">
      <w:pPr>
        <w:spacing w:line="288" w:lineRule="auto"/>
        <w:jc w:val="center"/>
        <w:rPr>
          <w:rStyle w:val="BodyTextChar1"/>
          <w:i/>
          <w:iCs/>
          <w:sz w:val="28"/>
          <w:szCs w:val="28"/>
        </w:rPr>
      </w:pPr>
      <w:r w:rsidRPr="005B326F">
        <w:rPr>
          <w:rStyle w:val="BodyTextChar1"/>
          <w:i/>
          <w:iCs/>
          <w:sz w:val="28"/>
          <w:szCs w:val="28"/>
        </w:rPr>
        <w:t xml:space="preserve"> (Ban hành kèm theo Thông tư số </w:t>
      </w:r>
      <w:r>
        <w:rPr>
          <w:rStyle w:val="BodyTextChar1"/>
          <w:i/>
          <w:iCs/>
          <w:sz w:val="28"/>
          <w:szCs w:val="28"/>
        </w:rPr>
        <w:t xml:space="preserve">    </w:t>
      </w:r>
      <w:r w:rsidRPr="005B326F">
        <w:rPr>
          <w:rStyle w:val="BodyTextChar1"/>
          <w:i/>
          <w:iCs/>
          <w:sz w:val="28"/>
          <w:szCs w:val="28"/>
        </w:rPr>
        <w:t>/</w:t>
      </w:r>
      <w:r w:rsidR="00536DA0">
        <w:rPr>
          <w:rStyle w:val="BodyTextChar1"/>
          <w:i/>
          <w:iCs/>
          <w:sz w:val="28"/>
          <w:szCs w:val="28"/>
        </w:rPr>
        <w:t>2024</w:t>
      </w:r>
      <w:r w:rsidRPr="005B326F">
        <w:rPr>
          <w:rStyle w:val="BodyTextChar1"/>
          <w:i/>
          <w:iCs/>
          <w:sz w:val="28"/>
          <w:szCs w:val="28"/>
        </w:rPr>
        <w:t xml:space="preserve">/TT-NHNN ngày </w:t>
      </w:r>
      <w:r>
        <w:rPr>
          <w:rStyle w:val="BodyTextChar1"/>
          <w:i/>
          <w:iCs/>
          <w:sz w:val="28"/>
          <w:szCs w:val="28"/>
        </w:rPr>
        <w:t xml:space="preserve">  </w:t>
      </w:r>
      <w:r w:rsidRPr="005B326F">
        <w:rPr>
          <w:rStyle w:val="BodyTextChar1"/>
          <w:i/>
          <w:iCs/>
          <w:sz w:val="28"/>
          <w:szCs w:val="28"/>
        </w:rPr>
        <w:t>/</w:t>
      </w:r>
      <w:r>
        <w:rPr>
          <w:rStyle w:val="BodyTextChar1"/>
          <w:i/>
          <w:iCs/>
          <w:sz w:val="28"/>
          <w:szCs w:val="28"/>
        </w:rPr>
        <w:t xml:space="preserve">    </w:t>
      </w:r>
      <w:r w:rsidRPr="005B326F">
        <w:rPr>
          <w:rStyle w:val="BodyTextChar1"/>
          <w:i/>
          <w:iCs/>
          <w:sz w:val="28"/>
          <w:szCs w:val="28"/>
        </w:rPr>
        <w:t>/202</w:t>
      </w:r>
      <w:r>
        <w:rPr>
          <w:rStyle w:val="BodyTextChar1"/>
          <w:i/>
          <w:iCs/>
          <w:sz w:val="28"/>
          <w:szCs w:val="28"/>
        </w:rPr>
        <w:t>4</w:t>
      </w:r>
      <w:r w:rsidRPr="005B326F">
        <w:rPr>
          <w:rStyle w:val="BodyTextChar1"/>
          <w:i/>
          <w:iCs/>
          <w:sz w:val="28"/>
          <w:szCs w:val="28"/>
        </w:rPr>
        <w:t xml:space="preserve"> của Thống đốc Ngân hàng Nhà nước Việt Nam)</w:t>
      </w:r>
    </w:p>
    <w:p w:rsidR="00513715" w:rsidRPr="005B326F" w:rsidRDefault="00513715" w:rsidP="00513715">
      <w:pPr>
        <w:spacing w:line="288" w:lineRule="auto"/>
        <w:rPr>
          <w:rStyle w:val="BodyTextChar1"/>
          <w:b/>
          <w:bCs/>
          <w:sz w:val="28"/>
          <w:szCs w:val="28"/>
        </w:rPr>
      </w:pPr>
      <w:r w:rsidRPr="00513715">
        <w:rPr>
          <w:rStyle w:val="BodyTextChar1"/>
          <w:b/>
          <w:bCs/>
          <w:sz w:val="28"/>
          <w:szCs w:val="28"/>
        </w:rPr>
        <w:t>Đơn vị báo cáo….</w:t>
      </w:r>
    </w:p>
    <w:p w:rsidR="00513715" w:rsidRPr="005B326F" w:rsidRDefault="00513715" w:rsidP="00513715">
      <w:pPr>
        <w:spacing w:line="288" w:lineRule="auto"/>
        <w:jc w:val="center"/>
        <w:rPr>
          <w:rStyle w:val="BodyTextChar1"/>
          <w:b/>
          <w:bCs/>
          <w:sz w:val="28"/>
          <w:szCs w:val="28"/>
          <w:lang w:val="en-US"/>
        </w:rPr>
      </w:pPr>
      <w:r w:rsidRPr="005B326F">
        <w:rPr>
          <w:rStyle w:val="BodyTextChar1"/>
          <w:b/>
          <w:bCs/>
          <w:sz w:val="28"/>
          <w:szCs w:val="28"/>
          <w:lang w:val="en-US"/>
        </w:rPr>
        <w:t>BÁO CÁO VỀ TÌNH HÌNH PHÂN PHỐI, SỬ DỤNG SỔ TIẾT KIỆM TRẮNG CỦA TỔ CHỨC TÍN DỤNG LÀ HỢP TÁC XÃ</w:t>
      </w:r>
    </w:p>
    <w:p w:rsidR="00513715" w:rsidRPr="00513715" w:rsidRDefault="00513715" w:rsidP="00536DA0">
      <w:pPr>
        <w:spacing w:after="120" w:line="288" w:lineRule="auto"/>
        <w:jc w:val="center"/>
        <w:rPr>
          <w:rStyle w:val="BodyTextChar1"/>
          <w:bCs/>
          <w:i/>
          <w:sz w:val="28"/>
          <w:szCs w:val="28"/>
          <w:lang w:val="en-US"/>
        </w:rPr>
      </w:pPr>
      <w:r w:rsidRPr="00513715">
        <w:rPr>
          <w:rStyle w:val="BodyTextChar1"/>
          <w:bCs/>
          <w:i/>
          <w:sz w:val="28"/>
          <w:szCs w:val="28"/>
          <w:lang w:val="en-US"/>
        </w:rPr>
        <w:t>(Tháng…năm…)</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08"/>
        <w:gridCol w:w="685"/>
        <w:gridCol w:w="685"/>
        <w:gridCol w:w="685"/>
        <w:gridCol w:w="685"/>
        <w:gridCol w:w="685"/>
        <w:gridCol w:w="686"/>
        <w:gridCol w:w="685"/>
        <w:gridCol w:w="685"/>
        <w:gridCol w:w="685"/>
        <w:gridCol w:w="685"/>
        <w:gridCol w:w="685"/>
        <w:gridCol w:w="686"/>
      </w:tblGrid>
      <w:tr w:rsidR="00513715" w:rsidRPr="00513715" w:rsidTr="00985220">
        <w:trPr>
          <w:trHeight w:val="493"/>
        </w:trPr>
        <w:tc>
          <w:tcPr>
            <w:tcW w:w="568" w:type="dxa"/>
            <w:vMerge w:val="restart"/>
            <w:shd w:val="clear" w:color="auto" w:fill="auto"/>
            <w:vAlign w:val="center"/>
          </w:tcPr>
          <w:p w:rsidR="00513715" w:rsidRPr="0074608F" w:rsidRDefault="00513715" w:rsidP="00985220">
            <w:pPr>
              <w:spacing w:line="288" w:lineRule="auto"/>
              <w:rPr>
                <w:rStyle w:val="BodyTextChar1"/>
                <w:rFonts w:eastAsia="Times New Roman"/>
                <w:b/>
                <w:bCs/>
                <w:sz w:val="18"/>
                <w:szCs w:val="18"/>
                <w:lang w:val="en-US"/>
              </w:rPr>
            </w:pPr>
            <w:r w:rsidRPr="0074608F">
              <w:rPr>
                <w:rStyle w:val="BodyTextChar1"/>
                <w:rFonts w:eastAsia="Times New Roman"/>
                <w:b/>
                <w:bCs/>
                <w:sz w:val="18"/>
                <w:szCs w:val="18"/>
                <w:lang w:val="en-US"/>
              </w:rPr>
              <w:t>TT</w:t>
            </w:r>
          </w:p>
        </w:tc>
        <w:tc>
          <w:tcPr>
            <w:tcW w:w="708" w:type="dxa"/>
            <w:vMerge w:val="restart"/>
            <w:shd w:val="clear" w:color="auto" w:fill="auto"/>
            <w:vAlign w:val="center"/>
          </w:tcPr>
          <w:p w:rsidR="00513715" w:rsidRPr="0074608F" w:rsidRDefault="00513715" w:rsidP="00985220">
            <w:pPr>
              <w:spacing w:line="288" w:lineRule="auto"/>
              <w:jc w:val="center"/>
              <w:rPr>
                <w:rStyle w:val="BodyTextChar1"/>
                <w:rFonts w:eastAsia="Times New Roman"/>
                <w:b/>
                <w:bCs/>
                <w:sz w:val="18"/>
                <w:szCs w:val="18"/>
                <w:lang w:val="en-US"/>
              </w:rPr>
            </w:pPr>
            <w:r w:rsidRPr="0074608F">
              <w:rPr>
                <w:rStyle w:val="BodyTextChar1"/>
                <w:rFonts w:eastAsia="Times New Roman"/>
                <w:b/>
                <w:bCs/>
                <w:sz w:val="18"/>
                <w:szCs w:val="18"/>
                <w:lang w:val="en-US"/>
              </w:rPr>
              <w:t>Loại sổ tiết kiệm</w:t>
            </w:r>
          </w:p>
        </w:tc>
        <w:tc>
          <w:tcPr>
            <w:tcW w:w="2055" w:type="dxa"/>
            <w:gridSpan w:val="3"/>
            <w:shd w:val="clear" w:color="auto" w:fill="auto"/>
            <w:vAlign w:val="center"/>
          </w:tcPr>
          <w:p w:rsidR="00513715" w:rsidRPr="00530090" w:rsidRDefault="00513715" w:rsidP="00985220">
            <w:pPr>
              <w:spacing w:line="288" w:lineRule="auto"/>
              <w:jc w:val="center"/>
              <w:rPr>
                <w:rStyle w:val="BodyTextChar1"/>
                <w:rFonts w:eastAsia="Times New Roman"/>
                <w:b/>
                <w:bCs/>
                <w:sz w:val="18"/>
                <w:szCs w:val="18"/>
                <w:lang w:val="en-US"/>
              </w:rPr>
            </w:pPr>
            <w:r w:rsidRPr="00530090">
              <w:rPr>
                <w:rStyle w:val="BodyTextChar1"/>
                <w:rFonts w:eastAsia="Times New Roman"/>
                <w:b/>
                <w:bCs/>
                <w:sz w:val="18"/>
                <w:szCs w:val="18"/>
                <w:lang w:val="en-US"/>
              </w:rPr>
              <w:t>Số đầu kỳ</w:t>
            </w:r>
          </w:p>
        </w:tc>
        <w:tc>
          <w:tcPr>
            <w:tcW w:w="2056" w:type="dxa"/>
            <w:gridSpan w:val="3"/>
            <w:shd w:val="clear" w:color="auto" w:fill="auto"/>
            <w:vAlign w:val="center"/>
          </w:tcPr>
          <w:p w:rsidR="00513715" w:rsidRPr="00BF414A" w:rsidRDefault="00513715" w:rsidP="00985220">
            <w:pPr>
              <w:spacing w:line="288" w:lineRule="auto"/>
              <w:jc w:val="center"/>
              <w:rPr>
                <w:rStyle w:val="BodyTextChar1"/>
                <w:rFonts w:eastAsia="Times New Roman"/>
                <w:b/>
                <w:bCs/>
                <w:sz w:val="18"/>
                <w:szCs w:val="18"/>
                <w:lang w:val="en-US"/>
              </w:rPr>
            </w:pPr>
            <w:r w:rsidRPr="00BF414A">
              <w:rPr>
                <w:rStyle w:val="BodyTextChar1"/>
                <w:rFonts w:eastAsia="Times New Roman"/>
                <w:b/>
                <w:bCs/>
                <w:sz w:val="18"/>
                <w:szCs w:val="18"/>
                <w:lang w:val="en-US"/>
              </w:rPr>
              <w:t>Số nhập trong kỳ</w:t>
            </w:r>
          </w:p>
        </w:tc>
        <w:tc>
          <w:tcPr>
            <w:tcW w:w="2055" w:type="dxa"/>
            <w:gridSpan w:val="3"/>
            <w:shd w:val="clear" w:color="auto" w:fill="auto"/>
            <w:vAlign w:val="center"/>
          </w:tcPr>
          <w:p w:rsidR="00513715" w:rsidRPr="00F65AEC" w:rsidRDefault="00513715" w:rsidP="00985220">
            <w:pPr>
              <w:spacing w:line="288" w:lineRule="auto"/>
              <w:jc w:val="center"/>
              <w:rPr>
                <w:rStyle w:val="BodyTextChar1"/>
                <w:rFonts w:eastAsia="Times New Roman"/>
                <w:b/>
                <w:bCs/>
                <w:sz w:val="18"/>
                <w:szCs w:val="18"/>
                <w:lang w:val="en-US"/>
              </w:rPr>
            </w:pPr>
            <w:r w:rsidRPr="00F65AEC">
              <w:rPr>
                <w:rStyle w:val="BodyTextChar1"/>
                <w:rFonts w:eastAsia="Times New Roman"/>
                <w:b/>
                <w:bCs/>
                <w:sz w:val="18"/>
                <w:szCs w:val="18"/>
                <w:lang w:val="en-US"/>
              </w:rPr>
              <w:t>Số sử dụng trong kỳ</w:t>
            </w:r>
          </w:p>
        </w:tc>
        <w:tc>
          <w:tcPr>
            <w:tcW w:w="2056" w:type="dxa"/>
            <w:gridSpan w:val="3"/>
            <w:shd w:val="clear" w:color="auto" w:fill="auto"/>
            <w:vAlign w:val="center"/>
          </w:tcPr>
          <w:p w:rsidR="00513715" w:rsidRPr="00513715" w:rsidRDefault="00513715" w:rsidP="00985220">
            <w:pPr>
              <w:spacing w:line="288" w:lineRule="auto"/>
              <w:jc w:val="center"/>
              <w:rPr>
                <w:rStyle w:val="BodyTextChar1"/>
                <w:rFonts w:eastAsia="Times New Roman"/>
                <w:b/>
                <w:bCs/>
                <w:sz w:val="18"/>
                <w:szCs w:val="18"/>
                <w:lang w:val="en-US"/>
              </w:rPr>
            </w:pPr>
            <w:r w:rsidRPr="00513715">
              <w:rPr>
                <w:rStyle w:val="BodyTextChar1"/>
                <w:rFonts w:eastAsia="Times New Roman"/>
                <w:b/>
                <w:bCs/>
                <w:sz w:val="18"/>
                <w:szCs w:val="18"/>
                <w:lang w:val="en-US"/>
              </w:rPr>
              <w:t>Số cuối kỳ</w:t>
            </w:r>
          </w:p>
        </w:tc>
      </w:tr>
      <w:tr w:rsidR="00513715" w:rsidRPr="00513715" w:rsidTr="00985220">
        <w:trPr>
          <w:trHeight w:val="1656"/>
        </w:trPr>
        <w:tc>
          <w:tcPr>
            <w:tcW w:w="568" w:type="dxa"/>
            <w:vMerge/>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708" w:type="dxa"/>
            <w:vMerge/>
            <w:shd w:val="clear" w:color="auto" w:fill="auto"/>
            <w:vAlign w:val="center"/>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shd w:val="clear" w:color="auto" w:fill="auto"/>
            <w:vAlign w:val="center"/>
          </w:tcPr>
          <w:p w:rsidR="00513715" w:rsidRPr="00513715" w:rsidRDefault="00513715" w:rsidP="00985220">
            <w:pPr>
              <w:spacing w:line="288" w:lineRule="auto"/>
              <w:jc w:val="center"/>
              <w:rPr>
                <w:rStyle w:val="BodyTextChar1"/>
                <w:rFonts w:eastAsia="Times New Roman"/>
                <w:b/>
                <w:bCs/>
                <w:sz w:val="18"/>
                <w:szCs w:val="18"/>
                <w:lang w:val="en-US"/>
              </w:rPr>
            </w:pPr>
            <w:r w:rsidRPr="00513715">
              <w:rPr>
                <w:rStyle w:val="BodyTextChar1"/>
                <w:rFonts w:eastAsia="Times New Roman"/>
                <w:b/>
                <w:bCs/>
                <w:sz w:val="18"/>
                <w:szCs w:val="18"/>
                <w:lang w:val="en-US"/>
              </w:rPr>
              <w:t>Số lượng</w:t>
            </w:r>
          </w:p>
        </w:tc>
        <w:tc>
          <w:tcPr>
            <w:tcW w:w="685" w:type="dxa"/>
            <w:shd w:val="clear" w:color="auto" w:fill="auto"/>
            <w:vAlign w:val="center"/>
          </w:tcPr>
          <w:p w:rsidR="00513715" w:rsidRPr="00513715" w:rsidRDefault="00513715" w:rsidP="00985220">
            <w:pPr>
              <w:spacing w:line="288" w:lineRule="auto"/>
              <w:jc w:val="center"/>
              <w:rPr>
                <w:rStyle w:val="BodyTextChar1"/>
                <w:rFonts w:eastAsia="Times New Roman"/>
                <w:b/>
                <w:bCs/>
                <w:sz w:val="18"/>
                <w:szCs w:val="18"/>
                <w:lang w:val="en-US"/>
              </w:rPr>
            </w:pPr>
            <w:r w:rsidRPr="00513715">
              <w:rPr>
                <w:rStyle w:val="BodyTextChar1"/>
                <w:rFonts w:eastAsia="Times New Roman"/>
                <w:b/>
                <w:bCs/>
                <w:sz w:val="18"/>
                <w:szCs w:val="18"/>
                <w:lang w:val="en-US"/>
              </w:rPr>
              <w:t>Từ serial đến serial</w:t>
            </w:r>
          </w:p>
        </w:tc>
        <w:tc>
          <w:tcPr>
            <w:tcW w:w="685" w:type="dxa"/>
            <w:shd w:val="clear" w:color="auto" w:fill="auto"/>
            <w:vAlign w:val="center"/>
          </w:tcPr>
          <w:p w:rsidR="00513715" w:rsidRPr="00513715" w:rsidRDefault="00513715" w:rsidP="00985220">
            <w:pPr>
              <w:spacing w:line="288" w:lineRule="auto"/>
              <w:jc w:val="center"/>
              <w:rPr>
                <w:rStyle w:val="BodyTextChar1"/>
                <w:rFonts w:eastAsia="Times New Roman"/>
                <w:b/>
                <w:bCs/>
                <w:sz w:val="18"/>
                <w:szCs w:val="18"/>
                <w:lang w:val="en-US"/>
              </w:rPr>
            </w:pPr>
            <w:r w:rsidRPr="00513715">
              <w:rPr>
                <w:rStyle w:val="BodyTextChar1"/>
                <w:rFonts w:eastAsia="Times New Roman"/>
                <w:b/>
                <w:bCs/>
                <w:sz w:val="18"/>
                <w:szCs w:val="18"/>
                <w:lang w:val="en-US"/>
              </w:rPr>
              <w:t>Giá trị hạch toán</w:t>
            </w:r>
          </w:p>
        </w:tc>
        <w:tc>
          <w:tcPr>
            <w:tcW w:w="685" w:type="dxa"/>
            <w:shd w:val="clear" w:color="auto" w:fill="auto"/>
            <w:vAlign w:val="center"/>
          </w:tcPr>
          <w:p w:rsidR="00513715" w:rsidRPr="00513715" w:rsidRDefault="00513715" w:rsidP="00985220">
            <w:pPr>
              <w:spacing w:line="288" w:lineRule="auto"/>
              <w:jc w:val="center"/>
              <w:rPr>
                <w:rStyle w:val="BodyTextChar1"/>
                <w:rFonts w:eastAsia="Times New Roman"/>
                <w:b/>
                <w:bCs/>
                <w:sz w:val="18"/>
                <w:szCs w:val="18"/>
                <w:lang w:val="en-US"/>
              </w:rPr>
            </w:pPr>
            <w:r w:rsidRPr="00513715">
              <w:rPr>
                <w:rStyle w:val="BodyTextChar1"/>
                <w:rFonts w:eastAsia="Times New Roman"/>
                <w:b/>
                <w:bCs/>
                <w:sz w:val="18"/>
                <w:szCs w:val="18"/>
                <w:lang w:val="en-US"/>
              </w:rPr>
              <w:t>Số lượng</w:t>
            </w:r>
          </w:p>
        </w:tc>
        <w:tc>
          <w:tcPr>
            <w:tcW w:w="685" w:type="dxa"/>
            <w:shd w:val="clear" w:color="auto" w:fill="auto"/>
            <w:vAlign w:val="center"/>
          </w:tcPr>
          <w:p w:rsidR="00513715" w:rsidRPr="00513715" w:rsidRDefault="00513715" w:rsidP="00985220">
            <w:pPr>
              <w:spacing w:line="288" w:lineRule="auto"/>
              <w:jc w:val="center"/>
              <w:rPr>
                <w:rStyle w:val="BodyTextChar1"/>
                <w:rFonts w:eastAsia="Times New Roman"/>
                <w:b/>
                <w:bCs/>
                <w:sz w:val="18"/>
                <w:szCs w:val="18"/>
                <w:lang w:val="en-US"/>
              </w:rPr>
            </w:pPr>
            <w:r w:rsidRPr="00513715">
              <w:rPr>
                <w:rStyle w:val="BodyTextChar1"/>
                <w:rFonts w:eastAsia="Times New Roman"/>
                <w:b/>
                <w:bCs/>
                <w:sz w:val="18"/>
                <w:szCs w:val="18"/>
                <w:lang w:val="en-US"/>
              </w:rPr>
              <w:t>Từ serial đến serial</w:t>
            </w:r>
          </w:p>
        </w:tc>
        <w:tc>
          <w:tcPr>
            <w:tcW w:w="686" w:type="dxa"/>
            <w:shd w:val="clear" w:color="auto" w:fill="auto"/>
            <w:vAlign w:val="center"/>
          </w:tcPr>
          <w:p w:rsidR="00513715" w:rsidRPr="00513715" w:rsidRDefault="00513715" w:rsidP="00985220">
            <w:pPr>
              <w:spacing w:line="288" w:lineRule="auto"/>
              <w:jc w:val="center"/>
              <w:rPr>
                <w:rStyle w:val="BodyTextChar1"/>
                <w:rFonts w:eastAsia="Times New Roman"/>
                <w:b/>
                <w:bCs/>
                <w:sz w:val="18"/>
                <w:szCs w:val="18"/>
                <w:lang w:val="en-US"/>
              </w:rPr>
            </w:pPr>
            <w:r w:rsidRPr="00513715">
              <w:rPr>
                <w:rStyle w:val="BodyTextChar1"/>
                <w:rFonts w:eastAsia="Times New Roman"/>
                <w:b/>
                <w:bCs/>
                <w:sz w:val="18"/>
                <w:szCs w:val="18"/>
                <w:lang w:val="en-US"/>
              </w:rPr>
              <w:t>Giá trị hạch toán</w:t>
            </w:r>
          </w:p>
        </w:tc>
        <w:tc>
          <w:tcPr>
            <w:tcW w:w="685" w:type="dxa"/>
            <w:shd w:val="clear" w:color="auto" w:fill="auto"/>
            <w:vAlign w:val="center"/>
          </w:tcPr>
          <w:p w:rsidR="00513715" w:rsidRPr="00513715" w:rsidRDefault="00513715" w:rsidP="00985220">
            <w:pPr>
              <w:spacing w:line="288" w:lineRule="auto"/>
              <w:jc w:val="center"/>
              <w:rPr>
                <w:rStyle w:val="BodyTextChar1"/>
                <w:rFonts w:eastAsia="Times New Roman"/>
                <w:b/>
                <w:bCs/>
                <w:sz w:val="18"/>
                <w:szCs w:val="18"/>
                <w:lang w:val="en-US"/>
              </w:rPr>
            </w:pPr>
            <w:r w:rsidRPr="00513715">
              <w:rPr>
                <w:rStyle w:val="BodyTextChar1"/>
                <w:rFonts w:eastAsia="Times New Roman"/>
                <w:b/>
                <w:bCs/>
                <w:sz w:val="18"/>
                <w:szCs w:val="18"/>
                <w:lang w:val="en-US"/>
              </w:rPr>
              <w:t>Số lượng</w:t>
            </w:r>
          </w:p>
        </w:tc>
        <w:tc>
          <w:tcPr>
            <w:tcW w:w="685" w:type="dxa"/>
            <w:shd w:val="clear" w:color="auto" w:fill="auto"/>
            <w:vAlign w:val="center"/>
          </w:tcPr>
          <w:p w:rsidR="00513715" w:rsidRPr="00513715" w:rsidRDefault="00513715" w:rsidP="00985220">
            <w:pPr>
              <w:spacing w:line="288" w:lineRule="auto"/>
              <w:jc w:val="center"/>
              <w:rPr>
                <w:rStyle w:val="BodyTextChar1"/>
                <w:rFonts w:eastAsia="Times New Roman"/>
                <w:b/>
                <w:bCs/>
                <w:sz w:val="18"/>
                <w:szCs w:val="18"/>
                <w:lang w:val="en-US"/>
              </w:rPr>
            </w:pPr>
            <w:r w:rsidRPr="00513715">
              <w:rPr>
                <w:rStyle w:val="BodyTextChar1"/>
                <w:rFonts w:eastAsia="Times New Roman"/>
                <w:b/>
                <w:bCs/>
                <w:sz w:val="18"/>
                <w:szCs w:val="18"/>
                <w:lang w:val="en-US"/>
              </w:rPr>
              <w:t>Từ serial đến serial</w:t>
            </w:r>
          </w:p>
        </w:tc>
        <w:tc>
          <w:tcPr>
            <w:tcW w:w="685" w:type="dxa"/>
            <w:shd w:val="clear" w:color="auto" w:fill="auto"/>
            <w:vAlign w:val="center"/>
          </w:tcPr>
          <w:p w:rsidR="00513715" w:rsidRPr="00513715" w:rsidRDefault="00513715" w:rsidP="00985220">
            <w:pPr>
              <w:spacing w:line="288" w:lineRule="auto"/>
              <w:jc w:val="center"/>
              <w:rPr>
                <w:rStyle w:val="BodyTextChar1"/>
                <w:rFonts w:eastAsia="Times New Roman"/>
                <w:b/>
                <w:bCs/>
                <w:sz w:val="18"/>
                <w:szCs w:val="18"/>
                <w:lang w:val="en-US"/>
              </w:rPr>
            </w:pPr>
            <w:r w:rsidRPr="00513715">
              <w:rPr>
                <w:rStyle w:val="BodyTextChar1"/>
                <w:rFonts w:eastAsia="Times New Roman"/>
                <w:b/>
                <w:bCs/>
                <w:sz w:val="18"/>
                <w:szCs w:val="18"/>
                <w:lang w:val="en-US"/>
              </w:rPr>
              <w:t>Đơn vị nhận phân phối(*)/Giá trị hạch toán</w:t>
            </w:r>
          </w:p>
        </w:tc>
        <w:tc>
          <w:tcPr>
            <w:tcW w:w="685" w:type="dxa"/>
            <w:shd w:val="clear" w:color="auto" w:fill="auto"/>
            <w:vAlign w:val="center"/>
          </w:tcPr>
          <w:p w:rsidR="00513715" w:rsidRPr="00513715" w:rsidRDefault="00513715" w:rsidP="00985220">
            <w:pPr>
              <w:spacing w:line="288" w:lineRule="auto"/>
              <w:jc w:val="center"/>
              <w:rPr>
                <w:rStyle w:val="BodyTextChar1"/>
                <w:rFonts w:eastAsia="Times New Roman"/>
                <w:b/>
                <w:bCs/>
                <w:sz w:val="18"/>
                <w:szCs w:val="18"/>
                <w:lang w:val="en-US"/>
              </w:rPr>
            </w:pPr>
            <w:r w:rsidRPr="00513715">
              <w:rPr>
                <w:rStyle w:val="BodyTextChar1"/>
                <w:rFonts w:eastAsia="Times New Roman"/>
                <w:b/>
                <w:bCs/>
                <w:sz w:val="18"/>
                <w:szCs w:val="18"/>
                <w:lang w:val="en-US"/>
              </w:rPr>
              <w:t>Số lượng</w:t>
            </w:r>
          </w:p>
        </w:tc>
        <w:tc>
          <w:tcPr>
            <w:tcW w:w="685" w:type="dxa"/>
            <w:shd w:val="clear" w:color="auto" w:fill="auto"/>
            <w:vAlign w:val="center"/>
          </w:tcPr>
          <w:p w:rsidR="00513715" w:rsidRPr="00513715" w:rsidRDefault="00513715" w:rsidP="00985220">
            <w:pPr>
              <w:spacing w:line="288" w:lineRule="auto"/>
              <w:jc w:val="center"/>
              <w:rPr>
                <w:rStyle w:val="BodyTextChar1"/>
                <w:rFonts w:eastAsia="Times New Roman"/>
                <w:b/>
                <w:bCs/>
                <w:sz w:val="18"/>
                <w:szCs w:val="18"/>
                <w:lang w:val="en-US"/>
              </w:rPr>
            </w:pPr>
            <w:r w:rsidRPr="00513715">
              <w:rPr>
                <w:rStyle w:val="BodyTextChar1"/>
                <w:rFonts w:eastAsia="Times New Roman"/>
                <w:b/>
                <w:bCs/>
                <w:sz w:val="18"/>
                <w:szCs w:val="18"/>
                <w:lang w:val="en-US"/>
              </w:rPr>
              <w:t>Từ serial đến serial</w:t>
            </w:r>
          </w:p>
        </w:tc>
        <w:tc>
          <w:tcPr>
            <w:tcW w:w="686" w:type="dxa"/>
            <w:shd w:val="clear" w:color="auto" w:fill="auto"/>
            <w:vAlign w:val="center"/>
          </w:tcPr>
          <w:p w:rsidR="00513715" w:rsidRPr="00513715" w:rsidRDefault="00513715" w:rsidP="00985220">
            <w:pPr>
              <w:spacing w:line="288" w:lineRule="auto"/>
              <w:jc w:val="center"/>
              <w:rPr>
                <w:rStyle w:val="BodyTextChar1"/>
                <w:rFonts w:eastAsia="Times New Roman"/>
                <w:b/>
                <w:bCs/>
                <w:sz w:val="18"/>
                <w:szCs w:val="18"/>
                <w:lang w:val="en-US"/>
              </w:rPr>
            </w:pPr>
            <w:r w:rsidRPr="00513715">
              <w:rPr>
                <w:rStyle w:val="BodyTextChar1"/>
                <w:rFonts w:eastAsia="Times New Roman"/>
                <w:b/>
                <w:bCs/>
                <w:sz w:val="18"/>
                <w:szCs w:val="18"/>
                <w:lang w:val="en-US"/>
              </w:rPr>
              <w:t>Giá trị hạch toán</w:t>
            </w:r>
          </w:p>
        </w:tc>
      </w:tr>
      <w:tr w:rsidR="00513715" w:rsidRPr="00513715" w:rsidTr="00985220">
        <w:trPr>
          <w:trHeight w:val="478"/>
        </w:trPr>
        <w:tc>
          <w:tcPr>
            <w:tcW w:w="568" w:type="dxa"/>
            <w:shd w:val="clear" w:color="auto" w:fill="auto"/>
            <w:vAlign w:val="center"/>
          </w:tcPr>
          <w:p w:rsidR="00513715" w:rsidRPr="00513715" w:rsidRDefault="00513715" w:rsidP="00985220">
            <w:pPr>
              <w:spacing w:line="288" w:lineRule="auto"/>
              <w:jc w:val="center"/>
              <w:rPr>
                <w:rStyle w:val="BodyTextChar1"/>
                <w:rFonts w:eastAsia="Times New Roman"/>
                <w:b/>
                <w:bCs/>
                <w:sz w:val="18"/>
                <w:szCs w:val="18"/>
                <w:lang w:val="en-US"/>
              </w:rPr>
            </w:pPr>
            <w:r w:rsidRPr="00513715">
              <w:rPr>
                <w:rStyle w:val="BodyTextChar1"/>
                <w:rFonts w:eastAsia="Times New Roman"/>
                <w:b/>
                <w:bCs/>
                <w:sz w:val="18"/>
                <w:szCs w:val="18"/>
                <w:lang w:val="en-US"/>
              </w:rPr>
              <w:t>I</w:t>
            </w:r>
          </w:p>
        </w:tc>
        <w:tc>
          <w:tcPr>
            <w:tcW w:w="8930" w:type="dxa"/>
            <w:gridSpan w:val="13"/>
            <w:shd w:val="clear" w:color="auto" w:fill="auto"/>
            <w:vAlign w:val="center"/>
          </w:tcPr>
          <w:p w:rsidR="00513715" w:rsidRPr="00513715" w:rsidRDefault="00513715" w:rsidP="00985220">
            <w:pPr>
              <w:spacing w:line="288" w:lineRule="auto"/>
              <w:jc w:val="center"/>
              <w:rPr>
                <w:rStyle w:val="BodyTextChar1"/>
                <w:rFonts w:eastAsia="Times New Roman"/>
                <w:b/>
                <w:bCs/>
                <w:sz w:val="18"/>
                <w:szCs w:val="18"/>
                <w:lang w:val="en-US"/>
              </w:rPr>
            </w:pPr>
            <w:r w:rsidRPr="00513715">
              <w:rPr>
                <w:rStyle w:val="BodyTextChar1"/>
                <w:rFonts w:eastAsia="Times New Roman"/>
                <w:b/>
                <w:bCs/>
                <w:sz w:val="18"/>
                <w:szCs w:val="18"/>
                <w:lang w:val="en-US"/>
              </w:rPr>
              <w:t>Sổ tiết kiệm đã được đưa vào sử dụng (**)</w:t>
            </w:r>
          </w:p>
        </w:tc>
      </w:tr>
      <w:tr w:rsidR="00513715" w:rsidRPr="00513715" w:rsidTr="00985220">
        <w:trPr>
          <w:trHeight w:val="1099"/>
        </w:trPr>
        <w:tc>
          <w:tcPr>
            <w:tcW w:w="568" w:type="dxa"/>
            <w:shd w:val="clear" w:color="auto" w:fill="auto"/>
            <w:vAlign w:val="center"/>
          </w:tcPr>
          <w:p w:rsidR="00513715" w:rsidRPr="00513715" w:rsidRDefault="00513715" w:rsidP="00985220">
            <w:pPr>
              <w:spacing w:line="288" w:lineRule="auto"/>
              <w:jc w:val="center"/>
              <w:rPr>
                <w:rStyle w:val="BodyTextChar1"/>
                <w:rFonts w:eastAsia="Times New Roman"/>
                <w:bCs/>
                <w:sz w:val="18"/>
                <w:szCs w:val="18"/>
                <w:lang w:val="en-US"/>
              </w:rPr>
            </w:pPr>
            <w:r w:rsidRPr="00513715">
              <w:rPr>
                <w:rStyle w:val="BodyTextChar1"/>
                <w:rFonts w:eastAsia="Times New Roman"/>
                <w:bCs/>
                <w:sz w:val="18"/>
                <w:szCs w:val="18"/>
                <w:lang w:val="en-US"/>
              </w:rPr>
              <w:t>1</w:t>
            </w:r>
          </w:p>
        </w:tc>
        <w:tc>
          <w:tcPr>
            <w:tcW w:w="708" w:type="dxa"/>
            <w:shd w:val="clear" w:color="auto" w:fill="auto"/>
            <w:vAlign w:val="center"/>
          </w:tcPr>
          <w:p w:rsidR="00513715" w:rsidRPr="00513715" w:rsidRDefault="00513715" w:rsidP="00985220">
            <w:pPr>
              <w:spacing w:line="288" w:lineRule="auto"/>
              <w:jc w:val="center"/>
              <w:rPr>
                <w:rStyle w:val="BodyTextChar1"/>
                <w:rFonts w:eastAsia="Times New Roman"/>
                <w:bCs/>
                <w:sz w:val="18"/>
                <w:szCs w:val="18"/>
              </w:rPr>
            </w:pPr>
            <w:r w:rsidRPr="00513715">
              <w:rPr>
                <w:rStyle w:val="BodyTextChar1"/>
                <w:rFonts w:eastAsia="Times New Roman"/>
                <w:bCs/>
                <w:sz w:val="18"/>
                <w:szCs w:val="18"/>
              </w:rPr>
              <w:t>Sổ tiết kiệm không kỳ hạn</w:t>
            </w:r>
          </w:p>
        </w:tc>
        <w:tc>
          <w:tcPr>
            <w:tcW w:w="685"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6"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6"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r>
      <w:tr w:rsidR="00513715" w:rsidRPr="00513715" w:rsidTr="00985220">
        <w:trPr>
          <w:trHeight w:val="1099"/>
        </w:trPr>
        <w:tc>
          <w:tcPr>
            <w:tcW w:w="568" w:type="dxa"/>
            <w:shd w:val="clear" w:color="auto" w:fill="auto"/>
            <w:vAlign w:val="center"/>
          </w:tcPr>
          <w:p w:rsidR="00513715" w:rsidRPr="00513715" w:rsidRDefault="00513715" w:rsidP="00985220">
            <w:pPr>
              <w:spacing w:line="288" w:lineRule="auto"/>
              <w:jc w:val="center"/>
              <w:rPr>
                <w:rStyle w:val="BodyTextChar1"/>
                <w:rFonts w:eastAsia="Times New Roman"/>
                <w:bCs/>
                <w:sz w:val="18"/>
                <w:szCs w:val="18"/>
                <w:lang w:val="en-US"/>
              </w:rPr>
            </w:pPr>
            <w:r w:rsidRPr="00513715">
              <w:rPr>
                <w:rStyle w:val="BodyTextChar1"/>
                <w:rFonts w:eastAsia="Times New Roman"/>
                <w:bCs/>
                <w:sz w:val="18"/>
                <w:szCs w:val="18"/>
                <w:lang w:val="en-US"/>
              </w:rPr>
              <w:t>2</w:t>
            </w:r>
          </w:p>
        </w:tc>
        <w:tc>
          <w:tcPr>
            <w:tcW w:w="708" w:type="dxa"/>
            <w:shd w:val="clear" w:color="auto" w:fill="auto"/>
            <w:vAlign w:val="center"/>
          </w:tcPr>
          <w:p w:rsidR="00513715" w:rsidRPr="00513715" w:rsidRDefault="00513715" w:rsidP="00985220">
            <w:pPr>
              <w:spacing w:line="288" w:lineRule="auto"/>
              <w:jc w:val="center"/>
              <w:rPr>
                <w:rStyle w:val="BodyTextChar1"/>
                <w:rFonts w:eastAsia="Times New Roman"/>
                <w:bCs/>
                <w:sz w:val="18"/>
                <w:szCs w:val="18"/>
              </w:rPr>
            </w:pPr>
            <w:r w:rsidRPr="00513715">
              <w:rPr>
                <w:rStyle w:val="BodyTextChar1"/>
                <w:rFonts w:eastAsia="Times New Roman"/>
                <w:bCs/>
                <w:sz w:val="18"/>
                <w:szCs w:val="18"/>
              </w:rPr>
              <w:t>Sổ tiết kiệm có kỳ hạn</w:t>
            </w:r>
          </w:p>
        </w:tc>
        <w:tc>
          <w:tcPr>
            <w:tcW w:w="685"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6"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6"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r>
      <w:tr w:rsidR="00513715" w:rsidRPr="00513715" w:rsidTr="00985220">
        <w:trPr>
          <w:trHeight w:val="520"/>
        </w:trPr>
        <w:tc>
          <w:tcPr>
            <w:tcW w:w="568" w:type="dxa"/>
            <w:shd w:val="clear" w:color="auto" w:fill="auto"/>
            <w:vAlign w:val="center"/>
          </w:tcPr>
          <w:p w:rsidR="00513715" w:rsidRPr="00513715" w:rsidRDefault="00513715" w:rsidP="00985220">
            <w:pPr>
              <w:spacing w:line="288" w:lineRule="auto"/>
              <w:jc w:val="center"/>
              <w:rPr>
                <w:rStyle w:val="BodyTextChar1"/>
                <w:rFonts w:eastAsia="Times New Roman"/>
                <w:b/>
                <w:bCs/>
                <w:sz w:val="18"/>
                <w:szCs w:val="18"/>
                <w:lang w:val="en-US"/>
              </w:rPr>
            </w:pPr>
            <w:r w:rsidRPr="00513715">
              <w:rPr>
                <w:rStyle w:val="BodyTextChar1"/>
                <w:rFonts w:eastAsia="Times New Roman"/>
                <w:b/>
                <w:bCs/>
                <w:sz w:val="18"/>
                <w:szCs w:val="18"/>
                <w:lang w:val="en-US"/>
              </w:rPr>
              <w:t>II</w:t>
            </w:r>
          </w:p>
        </w:tc>
        <w:tc>
          <w:tcPr>
            <w:tcW w:w="8930" w:type="dxa"/>
            <w:gridSpan w:val="13"/>
            <w:shd w:val="clear" w:color="auto" w:fill="auto"/>
            <w:vAlign w:val="center"/>
          </w:tcPr>
          <w:p w:rsidR="00513715" w:rsidRPr="00513715" w:rsidRDefault="00513715" w:rsidP="00985220">
            <w:pPr>
              <w:spacing w:line="288" w:lineRule="auto"/>
              <w:jc w:val="center"/>
              <w:rPr>
                <w:rStyle w:val="BodyTextChar1"/>
                <w:rFonts w:eastAsia="Times New Roman"/>
                <w:b/>
                <w:bCs/>
                <w:sz w:val="18"/>
                <w:szCs w:val="18"/>
                <w:lang w:val="en-US"/>
              </w:rPr>
            </w:pPr>
            <w:r w:rsidRPr="00513715">
              <w:rPr>
                <w:rStyle w:val="BodyTextChar1"/>
                <w:rFonts w:eastAsia="Times New Roman"/>
                <w:b/>
                <w:bCs/>
                <w:sz w:val="18"/>
                <w:szCs w:val="18"/>
                <w:lang w:val="en-US"/>
              </w:rPr>
              <w:t>Sổ tiết kiệm chưa đưa vào sử dụng (***)</w:t>
            </w:r>
          </w:p>
        </w:tc>
      </w:tr>
      <w:tr w:rsidR="00513715" w:rsidRPr="00513715" w:rsidTr="00985220">
        <w:trPr>
          <w:trHeight w:val="1288"/>
        </w:trPr>
        <w:tc>
          <w:tcPr>
            <w:tcW w:w="568" w:type="dxa"/>
            <w:shd w:val="clear" w:color="auto" w:fill="auto"/>
            <w:vAlign w:val="center"/>
          </w:tcPr>
          <w:p w:rsidR="00513715" w:rsidRPr="00513715" w:rsidRDefault="00513715" w:rsidP="00985220">
            <w:pPr>
              <w:spacing w:line="288" w:lineRule="auto"/>
              <w:jc w:val="center"/>
              <w:rPr>
                <w:rStyle w:val="BodyTextChar1"/>
                <w:rFonts w:eastAsia="Times New Roman"/>
                <w:bCs/>
                <w:sz w:val="18"/>
                <w:szCs w:val="18"/>
                <w:lang w:val="en-US"/>
              </w:rPr>
            </w:pPr>
            <w:r w:rsidRPr="00513715">
              <w:rPr>
                <w:rStyle w:val="BodyTextChar1"/>
                <w:rFonts w:eastAsia="Times New Roman"/>
                <w:bCs/>
                <w:sz w:val="18"/>
                <w:szCs w:val="18"/>
                <w:lang w:val="en-US"/>
              </w:rPr>
              <w:t>1</w:t>
            </w:r>
          </w:p>
        </w:tc>
        <w:tc>
          <w:tcPr>
            <w:tcW w:w="708" w:type="dxa"/>
            <w:shd w:val="clear" w:color="auto" w:fill="auto"/>
            <w:vAlign w:val="center"/>
          </w:tcPr>
          <w:p w:rsidR="00513715" w:rsidRPr="00513715" w:rsidRDefault="00513715" w:rsidP="00985220">
            <w:pPr>
              <w:spacing w:line="288" w:lineRule="auto"/>
              <w:jc w:val="center"/>
              <w:rPr>
                <w:rStyle w:val="BodyTextChar1"/>
                <w:rFonts w:eastAsia="Times New Roman"/>
                <w:bCs/>
                <w:sz w:val="18"/>
                <w:szCs w:val="18"/>
                <w:lang w:val="en-US"/>
              </w:rPr>
            </w:pPr>
            <w:r w:rsidRPr="00513715">
              <w:rPr>
                <w:rStyle w:val="BodyTextChar1"/>
                <w:rFonts w:eastAsia="Times New Roman"/>
                <w:bCs/>
                <w:sz w:val="18"/>
                <w:szCs w:val="18"/>
                <w:lang w:val="en-US"/>
              </w:rPr>
              <w:t>Sổ tiết kiệm không kỳ hạn</w:t>
            </w:r>
          </w:p>
        </w:tc>
        <w:tc>
          <w:tcPr>
            <w:tcW w:w="685"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vMerge w:val="restart"/>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6" w:type="dxa"/>
            <w:vMerge w:val="restart"/>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vMerge w:val="restart"/>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6" w:type="dxa"/>
            <w:vMerge w:val="restart"/>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r>
      <w:tr w:rsidR="00513715" w:rsidRPr="00513715" w:rsidTr="00985220">
        <w:trPr>
          <w:trHeight w:val="1288"/>
        </w:trPr>
        <w:tc>
          <w:tcPr>
            <w:tcW w:w="568" w:type="dxa"/>
            <w:shd w:val="clear" w:color="auto" w:fill="auto"/>
            <w:vAlign w:val="center"/>
          </w:tcPr>
          <w:p w:rsidR="00513715" w:rsidRPr="00513715" w:rsidRDefault="00513715" w:rsidP="00985220">
            <w:pPr>
              <w:spacing w:line="288" w:lineRule="auto"/>
              <w:jc w:val="center"/>
              <w:rPr>
                <w:rStyle w:val="BodyTextChar1"/>
                <w:rFonts w:eastAsia="Times New Roman"/>
                <w:bCs/>
                <w:sz w:val="18"/>
                <w:szCs w:val="18"/>
                <w:lang w:val="en-US"/>
              </w:rPr>
            </w:pPr>
            <w:r w:rsidRPr="00513715">
              <w:rPr>
                <w:rStyle w:val="BodyTextChar1"/>
                <w:rFonts w:eastAsia="Times New Roman"/>
                <w:bCs/>
                <w:sz w:val="18"/>
                <w:szCs w:val="18"/>
                <w:lang w:val="en-US"/>
              </w:rPr>
              <w:t>2</w:t>
            </w:r>
          </w:p>
        </w:tc>
        <w:tc>
          <w:tcPr>
            <w:tcW w:w="708" w:type="dxa"/>
            <w:shd w:val="clear" w:color="auto" w:fill="auto"/>
            <w:vAlign w:val="center"/>
          </w:tcPr>
          <w:p w:rsidR="00513715" w:rsidRPr="00513715" w:rsidRDefault="00513715" w:rsidP="00985220">
            <w:pPr>
              <w:spacing w:line="288" w:lineRule="auto"/>
              <w:jc w:val="center"/>
              <w:rPr>
                <w:rStyle w:val="BodyTextChar1"/>
                <w:rFonts w:eastAsia="Times New Roman"/>
                <w:bCs/>
                <w:sz w:val="18"/>
                <w:szCs w:val="18"/>
                <w:lang w:val="en-US"/>
              </w:rPr>
            </w:pPr>
            <w:r w:rsidRPr="00513715">
              <w:rPr>
                <w:rStyle w:val="BodyTextChar1"/>
                <w:rFonts w:eastAsia="Times New Roman"/>
                <w:bCs/>
                <w:sz w:val="18"/>
                <w:szCs w:val="18"/>
                <w:lang w:val="en-US"/>
              </w:rPr>
              <w:t>Sổ tiết kiệm có kỳ hạn</w:t>
            </w:r>
          </w:p>
        </w:tc>
        <w:tc>
          <w:tcPr>
            <w:tcW w:w="685"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vMerge/>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6" w:type="dxa"/>
            <w:vMerge/>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vMerge/>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6" w:type="dxa"/>
            <w:vMerge/>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r>
      <w:tr w:rsidR="00513715" w:rsidRPr="00513715" w:rsidTr="00985220">
        <w:trPr>
          <w:trHeight w:val="1288"/>
        </w:trPr>
        <w:tc>
          <w:tcPr>
            <w:tcW w:w="568" w:type="dxa"/>
            <w:shd w:val="clear" w:color="auto" w:fill="auto"/>
            <w:vAlign w:val="center"/>
          </w:tcPr>
          <w:p w:rsidR="00513715" w:rsidRPr="00513715" w:rsidRDefault="00513715" w:rsidP="00985220">
            <w:pPr>
              <w:spacing w:line="288" w:lineRule="auto"/>
              <w:jc w:val="center"/>
              <w:rPr>
                <w:rStyle w:val="BodyTextChar1"/>
                <w:rFonts w:eastAsia="Times New Roman"/>
                <w:bCs/>
                <w:sz w:val="18"/>
                <w:szCs w:val="18"/>
                <w:lang w:val="en-US"/>
              </w:rPr>
            </w:pPr>
            <w:r w:rsidRPr="00513715">
              <w:rPr>
                <w:rStyle w:val="BodyTextChar1"/>
                <w:rFonts w:eastAsia="Times New Roman"/>
                <w:bCs/>
                <w:sz w:val="18"/>
                <w:szCs w:val="18"/>
                <w:lang w:val="en-US"/>
              </w:rPr>
              <w:t>III</w:t>
            </w:r>
          </w:p>
        </w:tc>
        <w:tc>
          <w:tcPr>
            <w:tcW w:w="708" w:type="dxa"/>
            <w:shd w:val="clear" w:color="auto" w:fill="auto"/>
            <w:vAlign w:val="center"/>
          </w:tcPr>
          <w:p w:rsidR="00513715" w:rsidRPr="00513715" w:rsidRDefault="00513715" w:rsidP="00985220">
            <w:pPr>
              <w:spacing w:line="288" w:lineRule="auto"/>
              <w:jc w:val="center"/>
              <w:rPr>
                <w:rFonts w:ascii="Arial" w:eastAsia="Times New Roman" w:hAnsi="Arial" w:cs="Arial"/>
                <w:sz w:val="18"/>
                <w:szCs w:val="18"/>
                <w:shd w:val="clear" w:color="auto" w:fill="FFFFFF"/>
                <w:lang w:val="en-US"/>
              </w:rPr>
            </w:pPr>
            <w:r w:rsidRPr="00513715">
              <w:rPr>
                <w:rStyle w:val="BodyTextChar1"/>
                <w:rFonts w:eastAsia="Times New Roman"/>
                <w:bCs/>
                <w:sz w:val="18"/>
                <w:szCs w:val="18"/>
              </w:rPr>
              <w:t>Sổ tiết kiệm hỏng, mất</w:t>
            </w:r>
          </w:p>
        </w:tc>
        <w:tc>
          <w:tcPr>
            <w:tcW w:w="685"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vMerge/>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6" w:type="dxa"/>
            <w:vMerge/>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vMerge/>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5" w:type="dxa"/>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c>
          <w:tcPr>
            <w:tcW w:w="686" w:type="dxa"/>
            <w:vMerge/>
            <w:shd w:val="clear" w:color="auto" w:fill="auto"/>
          </w:tcPr>
          <w:p w:rsidR="00513715" w:rsidRPr="00513715" w:rsidRDefault="00513715" w:rsidP="00985220">
            <w:pPr>
              <w:spacing w:line="288" w:lineRule="auto"/>
              <w:jc w:val="center"/>
              <w:rPr>
                <w:rStyle w:val="BodyTextChar1"/>
                <w:rFonts w:eastAsia="Times New Roman"/>
                <w:b/>
                <w:bCs/>
                <w:sz w:val="18"/>
                <w:szCs w:val="18"/>
                <w:lang w:val="en-US"/>
              </w:rPr>
            </w:pPr>
          </w:p>
        </w:tc>
      </w:tr>
    </w:tbl>
    <w:p w:rsidR="00513715" w:rsidRPr="00513715" w:rsidRDefault="00513715" w:rsidP="00513715">
      <w:pPr>
        <w:widowControl/>
        <w:shd w:val="clear" w:color="auto" w:fill="FFFFFF"/>
        <w:spacing w:before="120" w:after="120" w:line="234" w:lineRule="atLeast"/>
        <w:jc w:val="both"/>
        <w:rPr>
          <w:rFonts w:ascii="Times New Roman" w:eastAsia="Times New Roman" w:hAnsi="Times New Roman" w:cs="Times New Roman"/>
          <w:szCs w:val="18"/>
          <w:lang w:val="en-US" w:eastAsia="en-US"/>
        </w:rPr>
      </w:pPr>
      <w:r w:rsidRPr="00513715">
        <w:rPr>
          <w:rFonts w:ascii="Times New Roman" w:eastAsia="Times New Roman" w:hAnsi="Times New Roman" w:cs="Times New Roman"/>
          <w:b/>
          <w:bCs/>
          <w:i/>
          <w:iCs/>
          <w:sz w:val="28"/>
          <w:szCs w:val="20"/>
          <w:lang w:eastAsia="en-US"/>
        </w:rPr>
        <w:t>Ghi chú:</w:t>
      </w:r>
    </w:p>
    <w:p w:rsidR="00513715" w:rsidRPr="00513715" w:rsidRDefault="00513715" w:rsidP="00513715">
      <w:pPr>
        <w:widowControl/>
        <w:shd w:val="clear" w:color="auto" w:fill="FFFFFF"/>
        <w:spacing w:before="120" w:after="120" w:line="234" w:lineRule="atLeast"/>
        <w:jc w:val="both"/>
        <w:rPr>
          <w:rFonts w:ascii="Times New Roman" w:eastAsia="Times New Roman" w:hAnsi="Times New Roman" w:cs="Times New Roman"/>
          <w:szCs w:val="18"/>
          <w:lang w:val="en-US" w:eastAsia="en-US"/>
        </w:rPr>
      </w:pPr>
      <w:r w:rsidRPr="00513715">
        <w:rPr>
          <w:rFonts w:ascii="Times New Roman" w:eastAsia="Times New Roman" w:hAnsi="Times New Roman" w:cs="Times New Roman"/>
          <w:i/>
          <w:iCs/>
          <w:sz w:val="28"/>
          <w:szCs w:val="20"/>
          <w:lang w:eastAsia="en-US"/>
        </w:rPr>
        <w:t>Ngân hàng hợp tác xã không điền dữ liệu vào các ô có nội dung về giá trị hạch toán.</w:t>
      </w:r>
    </w:p>
    <w:p w:rsidR="00513715" w:rsidRPr="00513715" w:rsidRDefault="00513715" w:rsidP="00513715">
      <w:pPr>
        <w:widowControl/>
        <w:shd w:val="clear" w:color="auto" w:fill="FFFFFF"/>
        <w:spacing w:before="120" w:after="120" w:line="234" w:lineRule="atLeast"/>
        <w:jc w:val="both"/>
        <w:rPr>
          <w:rFonts w:ascii="Times New Roman" w:eastAsia="Times New Roman" w:hAnsi="Times New Roman" w:cs="Times New Roman"/>
          <w:szCs w:val="18"/>
          <w:lang w:val="en-US" w:eastAsia="en-US"/>
        </w:rPr>
      </w:pPr>
      <w:r w:rsidRPr="00513715">
        <w:rPr>
          <w:rFonts w:ascii="Times New Roman" w:eastAsia="Times New Roman" w:hAnsi="Times New Roman" w:cs="Times New Roman"/>
          <w:i/>
          <w:iCs/>
          <w:sz w:val="28"/>
          <w:szCs w:val="20"/>
          <w:lang w:eastAsia="en-US"/>
        </w:rPr>
        <w:lastRenderedPageBreak/>
        <w:t>(*) Ngân hàng hợp tác xã điền chi tiết đến từng quỹ tín dụng nhân dân.</w:t>
      </w:r>
    </w:p>
    <w:p w:rsidR="00513715" w:rsidRPr="00513715" w:rsidRDefault="00513715" w:rsidP="00513715">
      <w:pPr>
        <w:widowControl/>
        <w:shd w:val="clear" w:color="auto" w:fill="FFFFFF"/>
        <w:spacing w:before="120" w:after="120" w:line="234" w:lineRule="atLeast"/>
        <w:jc w:val="both"/>
        <w:rPr>
          <w:rFonts w:ascii="Times New Roman" w:eastAsia="Times New Roman" w:hAnsi="Times New Roman" w:cs="Times New Roman"/>
          <w:szCs w:val="18"/>
          <w:lang w:val="en-US" w:eastAsia="en-US"/>
        </w:rPr>
      </w:pPr>
      <w:r w:rsidRPr="00513715">
        <w:rPr>
          <w:rFonts w:ascii="Times New Roman" w:eastAsia="Times New Roman" w:hAnsi="Times New Roman" w:cs="Times New Roman"/>
          <w:i/>
          <w:iCs/>
          <w:sz w:val="28"/>
          <w:szCs w:val="20"/>
          <w:lang w:eastAsia="en-US"/>
        </w:rPr>
        <w:t>(**) S</w:t>
      </w:r>
      <w:r w:rsidRPr="00513715">
        <w:rPr>
          <w:rFonts w:ascii="Times New Roman" w:eastAsia="Times New Roman" w:hAnsi="Times New Roman" w:cs="Times New Roman"/>
          <w:i/>
          <w:iCs/>
          <w:sz w:val="28"/>
          <w:szCs w:val="20"/>
          <w:lang w:val="en-US" w:eastAsia="en-US"/>
        </w:rPr>
        <w:t>ổ </w:t>
      </w:r>
      <w:r w:rsidRPr="00513715">
        <w:rPr>
          <w:rFonts w:ascii="Times New Roman" w:eastAsia="Times New Roman" w:hAnsi="Times New Roman" w:cs="Times New Roman"/>
          <w:i/>
          <w:iCs/>
          <w:sz w:val="28"/>
          <w:szCs w:val="20"/>
          <w:lang w:eastAsia="en-US"/>
        </w:rPr>
        <w:t>tiết kiệm đã được ngân hàng hợp tác xã phân phối cho quỹ tín dụng nhân dân hoặc sổ tiết kiệm quỹ tín dụng nhân dân đã phát hành cho người gửi tiền tại thời điểm báo cáo.</w:t>
      </w:r>
    </w:p>
    <w:p w:rsidR="00513715" w:rsidRPr="00513715" w:rsidRDefault="00513715" w:rsidP="00513715">
      <w:pPr>
        <w:widowControl/>
        <w:shd w:val="clear" w:color="auto" w:fill="FFFFFF"/>
        <w:spacing w:before="120" w:after="120" w:line="234" w:lineRule="atLeast"/>
        <w:jc w:val="both"/>
        <w:rPr>
          <w:rFonts w:ascii="Times New Roman" w:eastAsia="Times New Roman" w:hAnsi="Times New Roman" w:cs="Times New Roman"/>
          <w:szCs w:val="18"/>
          <w:lang w:val="en-US" w:eastAsia="en-US"/>
        </w:rPr>
      </w:pPr>
      <w:r w:rsidRPr="00513715">
        <w:rPr>
          <w:rFonts w:ascii="Times New Roman" w:eastAsia="Times New Roman" w:hAnsi="Times New Roman" w:cs="Times New Roman"/>
          <w:i/>
          <w:iCs/>
          <w:sz w:val="28"/>
          <w:szCs w:val="20"/>
          <w:lang w:eastAsia="en-US"/>
        </w:rPr>
        <w:t>(***) Sổ tiết kiệm đã in nhưng chưa được ngân hàng hợp tác xã phân ph</w:t>
      </w:r>
      <w:r w:rsidRPr="00513715">
        <w:rPr>
          <w:rFonts w:ascii="Times New Roman" w:eastAsia="Times New Roman" w:hAnsi="Times New Roman" w:cs="Times New Roman"/>
          <w:i/>
          <w:iCs/>
          <w:sz w:val="28"/>
          <w:szCs w:val="20"/>
          <w:lang w:val="en-US" w:eastAsia="en-US"/>
        </w:rPr>
        <w:t>ố</w:t>
      </w:r>
      <w:r w:rsidRPr="00513715">
        <w:rPr>
          <w:rFonts w:ascii="Times New Roman" w:eastAsia="Times New Roman" w:hAnsi="Times New Roman" w:cs="Times New Roman"/>
          <w:i/>
          <w:iCs/>
          <w:sz w:val="28"/>
          <w:szCs w:val="20"/>
          <w:lang w:eastAsia="en-US"/>
        </w:rPr>
        <w:t>i cho quỹ tín dụng nhân dân hoặc sổ tiết kiệm quỹ tín dụng nhân dân đã nhập từ ngân hàng hợp tác xã nhưng chưa sử dụng tại thời </w:t>
      </w:r>
      <w:r w:rsidRPr="00513715">
        <w:rPr>
          <w:rFonts w:ascii="Times New Roman" w:eastAsia="Times New Roman" w:hAnsi="Times New Roman" w:cs="Times New Roman"/>
          <w:i/>
          <w:iCs/>
          <w:sz w:val="28"/>
          <w:szCs w:val="20"/>
          <w:lang w:val="en-US" w:eastAsia="en-US"/>
        </w:rPr>
        <w:t>điểm</w:t>
      </w:r>
      <w:r w:rsidRPr="00513715">
        <w:rPr>
          <w:rFonts w:ascii="Times New Roman" w:eastAsia="Times New Roman" w:hAnsi="Times New Roman" w:cs="Times New Roman"/>
          <w:i/>
          <w:iCs/>
          <w:sz w:val="28"/>
          <w:szCs w:val="20"/>
          <w:lang w:eastAsia="en-US"/>
        </w:rPr>
        <w:t> báo cáo.</w:t>
      </w:r>
    </w:p>
    <w:p w:rsidR="00513715" w:rsidRPr="00513715" w:rsidRDefault="00513715" w:rsidP="00513715">
      <w:pPr>
        <w:spacing w:line="288" w:lineRule="auto"/>
        <w:jc w:val="both"/>
        <w:rPr>
          <w:rStyle w:val="BodyTextChar1"/>
          <w:b/>
          <w:bCs/>
          <w:i/>
          <w:sz w:val="40"/>
          <w:szCs w:val="28"/>
          <w:lang w:val="en-US"/>
        </w:rPr>
      </w:pPr>
    </w:p>
    <w:p w:rsidR="00B140D9" w:rsidRDefault="00B140D9"/>
    <w:sectPr w:rsidR="00B140D9" w:rsidSect="00074EAC">
      <w:headerReference w:type="default" r:id="rId6"/>
      <w:pgSz w:w="11906" w:h="16838" w:code="9"/>
      <w:pgMar w:top="1021" w:right="1134" w:bottom="1021" w:left="1418" w:header="720"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3E0" w:rsidRDefault="006C53E0" w:rsidP="00074EAC">
      <w:r>
        <w:separator/>
      </w:r>
    </w:p>
  </w:endnote>
  <w:endnote w:type="continuationSeparator" w:id="0">
    <w:p w:rsidR="006C53E0" w:rsidRDefault="006C53E0" w:rsidP="0007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3E0" w:rsidRDefault="006C53E0" w:rsidP="00074EAC">
      <w:r>
        <w:separator/>
      </w:r>
    </w:p>
  </w:footnote>
  <w:footnote w:type="continuationSeparator" w:id="0">
    <w:p w:rsidR="006C53E0" w:rsidRDefault="006C53E0" w:rsidP="00074E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412429"/>
      <w:docPartObj>
        <w:docPartGallery w:val="Page Numbers (Top of Page)"/>
        <w:docPartUnique/>
      </w:docPartObj>
    </w:sdtPr>
    <w:sdtEndPr>
      <w:rPr>
        <w:rFonts w:ascii="Times New Roman" w:hAnsi="Times New Roman" w:cs="Times New Roman"/>
        <w:noProof/>
      </w:rPr>
    </w:sdtEndPr>
    <w:sdtContent>
      <w:p w:rsidR="00074EAC" w:rsidRPr="00074EAC" w:rsidRDefault="00074EAC">
        <w:pPr>
          <w:pStyle w:val="Header"/>
          <w:jc w:val="center"/>
          <w:rPr>
            <w:rFonts w:ascii="Times New Roman" w:hAnsi="Times New Roman" w:cs="Times New Roman"/>
          </w:rPr>
        </w:pPr>
        <w:r w:rsidRPr="00074EAC">
          <w:rPr>
            <w:rFonts w:ascii="Times New Roman" w:hAnsi="Times New Roman" w:cs="Times New Roman"/>
          </w:rPr>
          <w:fldChar w:fldCharType="begin"/>
        </w:r>
        <w:r w:rsidRPr="00074EAC">
          <w:rPr>
            <w:rFonts w:ascii="Times New Roman" w:hAnsi="Times New Roman" w:cs="Times New Roman"/>
          </w:rPr>
          <w:instrText xml:space="preserve"> PAGE   \* MERGEFORMAT </w:instrText>
        </w:r>
        <w:r w:rsidRPr="00074EAC">
          <w:rPr>
            <w:rFonts w:ascii="Times New Roman" w:hAnsi="Times New Roman" w:cs="Times New Roman"/>
          </w:rPr>
          <w:fldChar w:fldCharType="separate"/>
        </w:r>
        <w:r w:rsidR="007830A9">
          <w:rPr>
            <w:rFonts w:ascii="Times New Roman" w:hAnsi="Times New Roman" w:cs="Times New Roman"/>
            <w:noProof/>
          </w:rPr>
          <w:t>2</w:t>
        </w:r>
        <w:r w:rsidRPr="00074EAC">
          <w:rPr>
            <w:rFonts w:ascii="Times New Roman" w:hAnsi="Times New Roman" w:cs="Times New Roman"/>
            <w:noProof/>
          </w:rPr>
          <w:fldChar w:fldCharType="end"/>
        </w:r>
      </w:p>
    </w:sdtContent>
  </w:sdt>
  <w:p w:rsidR="00074EAC" w:rsidRDefault="00074E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715"/>
    <w:rsid w:val="00074EAC"/>
    <w:rsid w:val="00513715"/>
    <w:rsid w:val="00536DA0"/>
    <w:rsid w:val="006C53E0"/>
    <w:rsid w:val="007830A9"/>
    <w:rsid w:val="00B140D9"/>
    <w:rsid w:val="00BB1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3B7B0"/>
  <w15:chartTrackingRefBased/>
  <w15:docId w15:val="{253D2624-A098-4044-99F2-914E58EF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715"/>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rsid w:val="00513715"/>
    <w:rPr>
      <w:rFonts w:ascii="Times New Roman" w:hAnsi="Times New Roman" w:cs="Times New Roman"/>
      <w:color w:val="1D1A25"/>
      <w:sz w:val="26"/>
      <w:szCs w:val="26"/>
      <w:shd w:val="clear" w:color="auto" w:fill="FFFFFF"/>
    </w:rPr>
  </w:style>
  <w:style w:type="paragraph" w:styleId="BodyText">
    <w:name w:val="Body Text"/>
    <w:basedOn w:val="Normal"/>
    <w:link w:val="BodyTextChar1"/>
    <w:uiPriority w:val="99"/>
    <w:qFormat/>
    <w:rsid w:val="00513715"/>
    <w:pPr>
      <w:shd w:val="clear" w:color="auto" w:fill="FFFFFF"/>
      <w:spacing w:line="283" w:lineRule="auto"/>
      <w:ind w:firstLine="400"/>
      <w:jc w:val="center"/>
    </w:pPr>
    <w:rPr>
      <w:rFonts w:ascii="Times New Roman" w:eastAsiaTheme="minorHAnsi" w:hAnsi="Times New Roman" w:cs="Times New Roman"/>
      <w:color w:val="1D1A25"/>
      <w:sz w:val="26"/>
      <w:szCs w:val="26"/>
      <w:lang w:val="en-US" w:eastAsia="en-US"/>
    </w:rPr>
  </w:style>
  <w:style w:type="character" w:customStyle="1" w:styleId="BodyTextChar">
    <w:name w:val="Body Text Char"/>
    <w:basedOn w:val="DefaultParagraphFont"/>
    <w:uiPriority w:val="99"/>
    <w:semiHidden/>
    <w:rsid w:val="00513715"/>
    <w:rPr>
      <w:rFonts w:ascii="Courier New" w:eastAsia="Courier New" w:hAnsi="Courier New" w:cs="Courier New"/>
      <w:color w:val="000000"/>
      <w:sz w:val="24"/>
      <w:szCs w:val="24"/>
      <w:lang w:val="vi-VN" w:eastAsia="vi-VN"/>
    </w:rPr>
  </w:style>
  <w:style w:type="character" w:styleId="Strong">
    <w:name w:val="Strong"/>
    <w:uiPriority w:val="22"/>
    <w:qFormat/>
    <w:rsid w:val="00513715"/>
    <w:rPr>
      <w:b/>
      <w:bCs/>
    </w:rPr>
  </w:style>
  <w:style w:type="paragraph" w:styleId="BalloonText">
    <w:name w:val="Balloon Text"/>
    <w:basedOn w:val="Normal"/>
    <w:link w:val="BalloonTextChar"/>
    <w:uiPriority w:val="99"/>
    <w:semiHidden/>
    <w:unhideWhenUsed/>
    <w:rsid w:val="005137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715"/>
    <w:rPr>
      <w:rFonts w:ascii="Segoe UI" w:eastAsia="Courier New" w:hAnsi="Segoe UI" w:cs="Segoe UI"/>
      <w:color w:val="000000"/>
      <w:sz w:val="18"/>
      <w:szCs w:val="18"/>
      <w:lang w:val="vi-VN" w:eastAsia="vi-VN"/>
    </w:rPr>
  </w:style>
  <w:style w:type="paragraph" w:styleId="Header">
    <w:name w:val="header"/>
    <w:basedOn w:val="Normal"/>
    <w:link w:val="HeaderChar"/>
    <w:uiPriority w:val="99"/>
    <w:unhideWhenUsed/>
    <w:rsid w:val="00074EAC"/>
    <w:pPr>
      <w:tabs>
        <w:tab w:val="center" w:pos="4680"/>
        <w:tab w:val="right" w:pos="9360"/>
      </w:tabs>
    </w:pPr>
  </w:style>
  <w:style w:type="character" w:customStyle="1" w:styleId="HeaderChar">
    <w:name w:val="Header Char"/>
    <w:basedOn w:val="DefaultParagraphFont"/>
    <w:link w:val="Header"/>
    <w:uiPriority w:val="99"/>
    <w:rsid w:val="00074EAC"/>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074EAC"/>
    <w:pPr>
      <w:tabs>
        <w:tab w:val="center" w:pos="4680"/>
        <w:tab w:val="right" w:pos="9360"/>
      </w:tabs>
    </w:pPr>
  </w:style>
  <w:style w:type="character" w:customStyle="1" w:styleId="FooterChar">
    <w:name w:val="Footer Char"/>
    <w:basedOn w:val="DefaultParagraphFont"/>
    <w:link w:val="Footer"/>
    <w:uiPriority w:val="99"/>
    <w:rsid w:val="00074EAC"/>
    <w:rPr>
      <w:rFonts w:ascii="Courier New" w:eastAsia="Courier New" w:hAnsi="Courier New"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437A80-198D-47F5-9E1A-88BC9CF09BDB}"/>
</file>

<file path=customXml/itemProps2.xml><?xml version="1.0" encoding="utf-8"?>
<ds:datastoreItem xmlns:ds="http://schemas.openxmlformats.org/officeDocument/2006/customXml" ds:itemID="{A04135FB-9DAD-49D8-BF5E-907A4407FBA1}"/>
</file>

<file path=customXml/itemProps3.xml><?xml version="1.0" encoding="utf-8"?>
<ds:datastoreItem xmlns:ds="http://schemas.openxmlformats.org/officeDocument/2006/customXml" ds:itemID="{C638E3DB-D0EC-43C0-BABB-1380BA2C9F59}"/>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1265</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Dai Thang (TTGSNH)</dc:creator>
  <cp:keywords/>
  <dc:description/>
  <cp:lastModifiedBy>Nguyen Dai Thang (TTGSNH)</cp:lastModifiedBy>
  <cp:revision>11</cp:revision>
  <cp:lastPrinted>2024-03-15T07:24:00Z</cp:lastPrinted>
  <dcterms:created xsi:type="dcterms:W3CDTF">2024-03-13T06:44:00Z</dcterms:created>
  <dcterms:modified xsi:type="dcterms:W3CDTF">2024-03-15T07:40:00Z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