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340" w:rsidRPr="00AD1568" w:rsidRDefault="00852340" w:rsidP="00840C05">
      <w:pPr>
        <w:widowControl w:val="0"/>
        <w:spacing w:before="120" w:after="120" w:line="240" w:lineRule="auto"/>
        <w:jc w:val="center"/>
        <w:rPr>
          <w:b/>
          <w:sz w:val="32"/>
          <w:szCs w:val="32"/>
          <w:lang w:val="en-US"/>
        </w:rPr>
      </w:pPr>
      <w:r w:rsidRPr="00AD1568">
        <w:rPr>
          <w:b/>
          <w:sz w:val="32"/>
          <w:szCs w:val="32"/>
          <w:lang w:val="en-US"/>
        </w:rPr>
        <w:t>BẢN</w:t>
      </w:r>
      <w:r w:rsidR="005F4442" w:rsidRPr="00AD1568">
        <w:rPr>
          <w:b/>
          <w:sz w:val="32"/>
          <w:szCs w:val="32"/>
          <w:lang w:val="en-US"/>
        </w:rPr>
        <w:t xml:space="preserve"> THUYẾT MINH,</w:t>
      </w:r>
      <w:r w:rsidRPr="00AD1568">
        <w:rPr>
          <w:b/>
          <w:sz w:val="32"/>
          <w:szCs w:val="32"/>
          <w:lang w:val="en-US"/>
        </w:rPr>
        <w:t xml:space="preserve"> GIẢI TRÌNH</w:t>
      </w:r>
    </w:p>
    <w:p w:rsidR="00852340" w:rsidRPr="00AD1568" w:rsidRDefault="00852340" w:rsidP="00AD1568">
      <w:pPr>
        <w:widowControl w:val="0"/>
        <w:spacing w:after="0" w:line="240" w:lineRule="auto"/>
        <w:jc w:val="center"/>
        <w:rPr>
          <w:b/>
          <w:szCs w:val="28"/>
          <w:lang w:val="en-US"/>
        </w:rPr>
      </w:pPr>
      <w:r w:rsidRPr="00AD1568">
        <w:rPr>
          <w:b/>
          <w:szCs w:val="28"/>
          <w:lang w:val="en-US"/>
        </w:rPr>
        <w:t xml:space="preserve">NỘI DUNG DỰ THẢO THÔNG TƯ </w:t>
      </w:r>
      <w:r w:rsidR="009E4520" w:rsidRPr="00AD1568">
        <w:rPr>
          <w:b/>
          <w:szCs w:val="28"/>
          <w:lang w:val="en-US"/>
        </w:rPr>
        <w:t>SỬA ĐỔI</w:t>
      </w:r>
      <w:r w:rsidR="00AD1568" w:rsidRPr="00AD1568">
        <w:rPr>
          <w:b/>
          <w:szCs w:val="28"/>
          <w:lang w:val="en-US"/>
        </w:rPr>
        <w:t xml:space="preserve">, </w:t>
      </w:r>
      <w:r w:rsidR="009E4520" w:rsidRPr="00AD1568">
        <w:rPr>
          <w:b/>
          <w:szCs w:val="28"/>
          <w:lang w:val="en-US"/>
        </w:rPr>
        <w:t>BỔ SUNG</w:t>
      </w:r>
      <w:r w:rsidR="00140034" w:rsidRPr="00AD1568">
        <w:rPr>
          <w:b/>
          <w:szCs w:val="28"/>
          <w:lang w:val="en-US"/>
        </w:rPr>
        <w:t xml:space="preserve"> THÔNG TƯ </w:t>
      </w:r>
      <w:r w:rsidR="00AC2A45" w:rsidRPr="00AD1568">
        <w:rPr>
          <w:b/>
          <w:szCs w:val="28"/>
          <w:lang w:val="en-US"/>
        </w:rPr>
        <w:t>11</w:t>
      </w:r>
      <w:r w:rsidR="00702A8B" w:rsidRPr="00AD1568">
        <w:rPr>
          <w:b/>
          <w:szCs w:val="28"/>
          <w:lang w:val="en-US"/>
        </w:rPr>
        <w:t>/20</w:t>
      </w:r>
      <w:r w:rsidR="00AC2A45" w:rsidRPr="00AD1568">
        <w:rPr>
          <w:b/>
          <w:szCs w:val="28"/>
          <w:lang w:val="en-US"/>
        </w:rPr>
        <w:t>22</w:t>
      </w:r>
      <w:r w:rsidR="00702A8B" w:rsidRPr="00AD1568">
        <w:rPr>
          <w:b/>
          <w:szCs w:val="28"/>
          <w:lang w:val="en-US"/>
        </w:rPr>
        <w:t>/</w:t>
      </w:r>
      <w:r w:rsidR="00AD1568" w:rsidRPr="00AD1568">
        <w:rPr>
          <w:b/>
          <w:szCs w:val="28"/>
          <w:lang w:val="en-US"/>
        </w:rPr>
        <w:t>TT-</w:t>
      </w:r>
      <w:r w:rsidR="00140034" w:rsidRPr="00AD1568">
        <w:rPr>
          <w:b/>
          <w:szCs w:val="28"/>
          <w:lang w:val="en-US"/>
        </w:rPr>
        <w:t xml:space="preserve">NHNN NGÀY </w:t>
      </w:r>
      <w:r w:rsidR="00AC2A45" w:rsidRPr="00AD1568">
        <w:rPr>
          <w:b/>
          <w:szCs w:val="28"/>
          <w:lang w:val="en-US"/>
        </w:rPr>
        <w:t>30</w:t>
      </w:r>
      <w:r w:rsidR="00702A8B" w:rsidRPr="00AD1568">
        <w:rPr>
          <w:b/>
          <w:szCs w:val="28"/>
          <w:lang w:val="en-US"/>
        </w:rPr>
        <w:t>/</w:t>
      </w:r>
      <w:r w:rsidR="00AC2A45" w:rsidRPr="00AD1568">
        <w:rPr>
          <w:b/>
          <w:szCs w:val="28"/>
          <w:lang w:val="en-US"/>
        </w:rPr>
        <w:t>9</w:t>
      </w:r>
      <w:r w:rsidR="00140034" w:rsidRPr="00AD1568">
        <w:rPr>
          <w:b/>
          <w:szCs w:val="28"/>
          <w:lang w:val="en-US"/>
        </w:rPr>
        <w:t>/20</w:t>
      </w:r>
      <w:r w:rsidR="00AC2A45" w:rsidRPr="00AD1568">
        <w:rPr>
          <w:b/>
          <w:szCs w:val="28"/>
          <w:lang w:val="en-US"/>
        </w:rPr>
        <w:t>22</w:t>
      </w:r>
      <w:r w:rsidR="00D51ADE" w:rsidRPr="00AD1568">
        <w:rPr>
          <w:b/>
          <w:szCs w:val="28"/>
          <w:lang w:val="en-US"/>
        </w:rPr>
        <w:t xml:space="preserve"> </w:t>
      </w:r>
      <w:r w:rsidR="00140034" w:rsidRPr="00AD1568">
        <w:rPr>
          <w:b/>
          <w:szCs w:val="28"/>
          <w:lang w:val="en-US"/>
        </w:rPr>
        <w:t>QUY ĐỊNH VỀ</w:t>
      </w:r>
      <w:r w:rsidR="00AC2A45" w:rsidRPr="00AD1568">
        <w:rPr>
          <w:b/>
          <w:szCs w:val="28"/>
          <w:lang w:val="en-US"/>
        </w:rPr>
        <w:t xml:space="preserve"> </w:t>
      </w:r>
      <w:r w:rsidR="00140034" w:rsidRPr="00AD1568">
        <w:rPr>
          <w:b/>
          <w:szCs w:val="28"/>
          <w:lang w:val="en-US"/>
        </w:rPr>
        <w:t xml:space="preserve"> </w:t>
      </w:r>
      <w:r w:rsidR="00702A8B" w:rsidRPr="00AD1568">
        <w:rPr>
          <w:b/>
          <w:szCs w:val="28"/>
          <w:lang w:val="en-US"/>
        </w:rPr>
        <w:t>BẢO LÃNH NGÂN HÀNG</w:t>
      </w:r>
      <w:r w:rsidR="007A1F4A" w:rsidRPr="00AD1568">
        <w:rPr>
          <w:b/>
          <w:szCs w:val="28"/>
          <w:lang w:val="en-US"/>
        </w:rPr>
        <w:t xml:space="preserve"> </w:t>
      </w:r>
      <w:r w:rsidR="005F4442" w:rsidRPr="00AD1568">
        <w:rPr>
          <w:b/>
          <w:szCs w:val="28"/>
          <w:lang w:val="en-US"/>
        </w:rPr>
        <w:t>(DỰ THẢO THÔNG TƯ)</w:t>
      </w:r>
    </w:p>
    <w:p w:rsidR="00852340" w:rsidRPr="000A7DB3" w:rsidRDefault="00D31B61" w:rsidP="00840C05">
      <w:pPr>
        <w:spacing w:before="120" w:after="120" w:line="240" w:lineRule="auto"/>
        <w:jc w:val="both"/>
        <w:rPr>
          <w:b/>
          <w:lang w:val="en-US"/>
        </w:rPr>
      </w:pPr>
      <w:r w:rsidRPr="000A7DB3">
        <w:rPr>
          <w:b/>
          <w:noProof/>
          <w:lang w:val="en-US"/>
        </w:rPr>
        <mc:AlternateContent>
          <mc:Choice Requires="wps">
            <w:drawing>
              <wp:anchor distT="4294967294" distB="4294967294" distL="114300" distR="114300" simplePos="0" relativeHeight="251659264" behindDoc="0" locked="0" layoutInCell="1" allowOverlap="1" wp14:anchorId="3A17102A" wp14:editId="21D3FACB">
                <wp:simplePos x="0" y="0"/>
                <wp:positionH relativeFrom="column">
                  <wp:posOffset>1684351</wp:posOffset>
                </wp:positionH>
                <wp:positionV relativeFrom="paragraph">
                  <wp:posOffset>57150</wp:posOffset>
                </wp:positionV>
                <wp:extent cx="26212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30B44" id="_x0000_t32" coordsize="21600,21600" o:spt="32" o:oned="t" path="m,l21600,21600e" filled="f">
                <v:path arrowok="t" fillok="f" o:connecttype="none"/>
                <o:lock v:ext="edit" shapetype="t"/>
              </v:shapetype>
              <v:shape id="Straight Arrow Connector 1" o:spid="_x0000_s1026" type="#_x0000_t32" style="position:absolute;margin-left:132.65pt;margin-top:4.5pt;width:206.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s2JQIAAEoEAAAOAAAAZHJzL2Uyb0RvYy54bWysVMGu2jAQvFfqP1i5Q0gKFCLC01MCvby2&#10;SLx+gLGdxGritWxDQFX/vWsTaGkvVdUcHDveHc/sjrN6OnctOQljJag8SsaTiAjFgEtV59GX1+1o&#10;ERHrqOK0BSXy6CJs9LR++2bV60yk0EDLhSEIomzW6zxqnNNZHFvWiI7aMWihcLMC01GHS1PH3NAe&#10;0bs2TieTedyD4doAE9bi1/K6Ga0DflUJ5j5XlRWOtHmE3FwYTRgPfozXK5rVhupGsoEG/QcWHZUK&#10;D71DldRRcjTyD6hOMgMWKjdm0MVQVZKJoAHVJJPf1OwbqkXQgsWx+l4m+/9g2afTzhDJsXcRUbTD&#10;Fu2dobJuHHk2BnpSgFJYRjAk8dXqtc0wqVA74/Wys9rrF2BfLVFQNFTVIrB+vWiEChnxQ4pfWI1n&#10;HvqPwDGGHh2E0p0r03lILAo5hw5d7h0SZ0cYfkznaZIusJHsthfT7JaojXUfBHTET/LIDjruApJw&#10;DD29WIdCMPGW4E9VsJVtG+zQKtLn0XKWzkKChVZyv+nDrKkPRWvIiXpDhcdXBcEewgwcFQ9gjaB8&#10;M8wdle11jvGt8ngoDOkMs6tjvi0ny81is5iOpul8M5pOynL0vC2mo/k2eT8r35VFUSbfPbVkmjWS&#10;c6E8u5t7k+nfuWO4R1ff3f17L0P8iB4kItnbO5AOnfXNvNriAPyyM74avslo2BA8XC5/I35dh6if&#10;v4D1DwAAAP//AwBQSwMEFAAGAAgAAAAhAIZE3fDcAAAABwEAAA8AAABkcnMvZG93bnJldi54bWxM&#10;j0FPwkAUhO8m/ofNM+FiZNsaKtRuCSHx4FEg8bp0n22h+7bpbmnl1/v0gsfJTGa+ydeTbcUFe984&#10;UhDPIxBIpTMNVQoO+7enJQgfNBndOkIF3+hhXdzf5TozbqQPvOxCJbiEfKYV1CF0mZS+rNFqP3cd&#10;Entfrrc6sOwraXo9crltZRJFqbS6IV6odYfbGsvzbrAK0A+LONqsbHV4v46Pn8n1NHZ7pWYP0+YV&#10;RMAp3MLwi8/oUDDT0Q1kvGgVJOnimaMKVnyJ/fRlGYM4/mlZ5PI/f/EDAAD//wMAUEsBAi0AFAAG&#10;AAgAAAAhALaDOJL+AAAA4QEAABMAAAAAAAAAAAAAAAAAAAAAAFtDb250ZW50X1R5cGVzXS54bWxQ&#10;SwECLQAUAAYACAAAACEAOP0h/9YAAACUAQAACwAAAAAAAAAAAAAAAAAvAQAAX3JlbHMvLnJlbHNQ&#10;SwECLQAUAAYACAAAACEAUWX7NiUCAABKBAAADgAAAAAAAAAAAAAAAAAuAgAAZHJzL2Uyb0RvYy54&#10;bWxQSwECLQAUAAYACAAAACEAhkTd8NwAAAAHAQAADwAAAAAAAAAAAAAAAAB/BAAAZHJzL2Rvd25y&#10;ZXYueG1sUEsFBgAAAAAEAAQA8wAAAIgFAAAAAA==&#10;"/>
            </w:pict>
          </mc:Fallback>
        </mc:AlternateContent>
      </w:r>
    </w:p>
    <w:p w:rsidR="00F96D39" w:rsidRPr="00896C05" w:rsidRDefault="00F96D39" w:rsidP="00F96D39">
      <w:pPr>
        <w:spacing w:before="120" w:after="120"/>
        <w:ind w:firstLine="720"/>
        <w:rPr>
          <w:b/>
          <w:szCs w:val="28"/>
        </w:rPr>
      </w:pPr>
      <w:r w:rsidRPr="00896C05">
        <w:rPr>
          <w:b/>
          <w:szCs w:val="28"/>
        </w:rPr>
        <w:t>1. Sự cần thiết:</w:t>
      </w:r>
    </w:p>
    <w:p w:rsidR="00F96D39" w:rsidRPr="00896C05" w:rsidRDefault="00F96D39" w:rsidP="00F96D39">
      <w:pPr>
        <w:spacing w:before="120" w:after="120"/>
        <w:ind w:firstLine="720"/>
        <w:jc w:val="both"/>
        <w:rPr>
          <w:szCs w:val="28"/>
          <w:lang w:val="pt-BR"/>
        </w:rPr>
      </w:pPr>
      <w:r w:rsidRPr="00896C05">
        <w:rPr>
          <w:szCs w:val="28"/>
          <w:lang w:val="pt-BR"/>
        </w:rPr>
        <w:t xml:space="preserve">Thông tư 11 </w:t>
      </w:r>
      <w:r w:rsidRPr="00896C05">
        <w:rPr>
          <w:szCs w:val="28"/>
        </w:rPr>
        <w:t xml:space="preserve">ban hành </w:t>
      </w:r>
      <w:r w:rsidRPr="00896C05">
        <w:rPr>
          <w:szCs w:val="28"/>
          <w:lang w:val="pt-BR"/>
        </w:rPr>
        <w:t>và triển khai thực hiện được 2 năm. Tuy nhiên, Quốc hội ban hành Luật Kinh doanh bất động sản số 29/2023/QH15 ngày 28/11/2023 và Luật Các TCTD số 32/2024/QH15 ngày 18/1/2024 có sửa đổi, bổ sung một số nội dung liên quan đến hoạt động bảo lãnh ngân hàng. Vì vậy, cần thiết phải sửa đổi, bổ sung Thông tư 11 để hướng dẫn phù hợp với 2 Luật nêu trên trên là cần thiết. Cụ thể:</w:t>
      </w:r>
    </w:p>
    <w:p w:rsidR="00F96D39" w:rsidRPr="00896C05" w:rsidRDefault="00F96D39" w:rsidP="00F96D39">
      <w:pPr>
        <w:spacing w:after="60"/>
        <w:ind w:firstLine="720"/>
        <w:jc w:val="both"/>
        <w:rPr>
          <w:b/>
          <w:i/>
          <w:szCs w:val="28"/>
          <w:lang w:val="nl-NL"/>
        </w:rPr>
      </w:pPr>
      <w:r w:rsidRPr="00896C05">
        <w:rPr>
          <w:b/>
          <w:i/>
          <w:szCs w:val="28"/>
          <w:lang w:val="nl-NL"/>
        </w:rPr>
        <w:t>1.1. Sửa đổi để phù hợp với quy định tại các VBQPPL liên quan mới được ban hành:</w:t>
      </w:r>
    </w:p>
    <w:p w:rsidR="00F96D39" w:rsidRPr="00896C05" w:rsidRDefault="00F96D39" w:rsidP="00F96D39">
      <w:pPr>
        <w:spacing w:before="120" w:after="120"/>
        <w:ind w:firstLine="709"/>
        <w:jc w:val="both"/>
        <w:rPr>
          <w:szCs w:val="28"/>
          <w:lang w:val="nl-NL"/>
        </w:rPr>
      </w:pPr>
      <w:r w:rsidRPr="00896C05">
        <w:rPr>
          <w:szCs w:val="28"/>
          <w:lang w:val="nl-NL"/>
        </w:rPr>
        <w:t xml:space="preserve">- </w:t>
      </w:r>
      <w:r w:rsidRPr="00896C05">
        <w:rPr>
          <w:szCs w:val="28"/>
          <w:u w:val="single"/>
          <w:lang w:val="nl-NL"/>
        </w:rPr>
        <w:t>Luật Kinh doanh bất động sản 2023</w:t>
      </w:r>
      <w:r w:rsidRPr="00896C05">
        <w:rPr>
          <w:szCs w:val="28"/>
          <w:lang w:val="nl-NL"/>
        </w:rPr>
        <w:t xml:space="preserve"> (Điều 26) quy định một số nội dung mới so với Luật KDBĐS 2014: (i) Thêm đối tượng bảo lãnh cho Chủ đầu tư dự án bất động sản trước khi bán, cho thuê mua nhà ở hình thành trong tương lai gồm cả </w:t>
      </w:r>
      <w:r w:rsidRPr="00896C05">
        <w:rPr>
          <w:i/>
          <w:szCs w:val="28"/>
          <w:u w:val="single"/>
          <w:lang w:val="nl-NL"/>
        </w:rPr>
        <w:t>chi nhánh ngân hàng nước ngoài</w:t>
      </w:r>
      <w:r w:rsidRPr="00896C05">
        <w:rPr>
          <w:szCs w:val="28"/>
          <w:lang w:val="nl-NL"/>
        </w:rPr>
        <w:t xml:space="preserve"> đang hoạt động hợp pháp tại Việt Nam (Luật KDBĐS 2014 chỉ quy định cho phép NHTM được thực hiện bảo lãnh); (ii) Bỏ quy định NHNN công bố danh sách NHTM có đủ năng lực thực hiện bảo lãnh nhà ở hình thành trong tương lai; (iii) Bỏ khái niệm“hợp đồng bảo lãnh nhà ở hình thành trong tương lai” và sử dụng khái niệm “văn bản cam kết”; (iv) Bổ sung nội dung quy định về nghĩa vụ tài chính của chủ đầu tư; (v) Bổ sung quy định thời điểm chủ đầu tư được nhận số tiền ứng trước của bên mua  nhà,...</w:t>
      </w:r>
      <w:bookmarkStart w:id="0" w:name="_GoBack"/>
      <w:bookmarkEnd w:id="0"/>
    </w:p>
    <w:p w:rsidR="00F96D39" w:rsidRPr="00896C05" w:rsidRDefault="00F96D39" w:rsidP="00F96D39">
      <w:pPr>
        <w:spacing w:after="120" w:line="240" w:lineRule="auto"/>
        <w:ind w:firstLine="720"/>
        <w:jc w:val="both"/>
        <w:rPr>
          <w:szCs w:val="28"/>
          <w:lang w:val="nl-NL"/>
        </w:rPr>
      </w:pPr>
      <w:r w:rsidRPr="00896C05">
        <w:rPr>
          <w:szCs w:val="28"/>
          <w:lang w:val="nl-NL"/>
        </w:rPr>
        <w:t xml:space="preserve">- Luật Các TCTD năm 2024 sửa đổi một số nội dung liên quan đến hoạt động bảo lãnh ngân hàng và hoạt động cấp tín dụng: </w:t>
      </w:r>
    </w:p>
    <w:p w:rsidR="00F96D39" w:rsidRPr="00896C05" w:rsidRDefault="00F96D39" w:rsidP="00F96D39">
      <w:pPr>
        <w:spacing w:after="120" w:line="240" w:lineRule="auto"/>
        <w:ind w:firstLine="720"/>
        <w:jc w:val="both"/>
        <w:rPr>
          <w:szCs w:val="28"/>
        </w:rPr>
      </w:pPr>
      <w:r w:rsidRPr="00896C05">
        <w:rPr>
          <w:szCs w:val="28"/>
          <w:lang w:val="nl-NL"/>
        </w:rPr>
        <w:t>(i) Sửa đổi khái niệm bảo lãnh ngân hàng tại Khoản 2 Điều 4:</w:t>
      </w:r>
      <w:r w:rsidRPr="00896C05">
        <w:rPr>
          <w:iCs/>
          <w:szCs w:val="28"/>
        </w:rPr>
        <w:t xml:space="preserve"> “</w:t>
      </w:r>
      <w:r w:rsidRPr="00896C05">
        <w:rPr>
          <w:i/>
          <w:iCs/>
          <w:szCs w:val="28"/>
        </w:rPr>
        <w:t>2. Bảo lãnh ngân hàng</w:t>
      </w:r>
      <w:r w:rsidRPr="00896C05">
        <w:rPr>
          <w:i/>
          <w:szCs w:val="28"/>
        </w:rPr>
        <w:t xml:space="preserve"> là hình thức cấp tín dụng cho khách hàng thông qua việc tổ chức tín dụng, chi nhánh ngân hàng nước ngoài cam kết với bên nhận bảo lãnh về việc sẽ </w:t>
      </w:r>
      <w:r w:rsidRPr="00896C05">
        <w:rPr>
          <w:i/>
          <w:szCs w:val="28"/>
          <w:u w:val="single"/>
        </w:rPr>
        <w:t xml:space="preserve">thực hiện nghĩa vụ tài chính thay cho bên có nghĩa vụ </w:t>
      </w:r>
      <w:r w:rsidRPr="00896C05">
        <w:rPr>
          <w:i/>
          <w:szCs w:val="28"/>
        </w:rPr>
        <w:t xml:space="preserve">khi bên có nghĩa vụ không thực hiện hoặc thực hiện không đầy đủ nghĩa vụ đã cam kết; </w:t>
      </w:r>
      <w:r w:rsidRPr="00896C05">
        <w:rPr>
          <w:i/>
          <w:szCs w:val="28"/>
          <w:u w:val="single"/>
        </w:rPr>
        <w:t>khách hàng phải</w:t>
      </w:r>
      <w:r w:rsidRPr="00896C05">
        <w:rPr>
          <w:i/>
          <w:szCs w:val="28"/>
        </w:rPr>
        <w:t xml:space="preserve"> </w:t>
      </w:r>
      <w:r w:rsidRPr="00896C05">
        <w:rPr>
          <w:i/>
          <w:szCs w:val="28"/>
          <w:u w:val="single"/>
        </w:rPr>
        <w:t>nhận nợ bắt buộc</w:t>
      </w:r>
      <w:r w:rsidRPr="00896C05">
        <w:rPr>
          <w:i/>
          <w:szCs w:val="28"/>
        </w:rPr>
        <w:t xml:space="preserve"> và hoàn trả cho tổ chức tín dụng, chi nhánh ngân hàng nước ngoài theo thỏa thuận</w:t>
      </w:r>
      <w:r w:rsidRPr="00896C05">
        <w:rPr>
          <w:szCs w:val="28"/>
        </w:rPr>
        <w:t xml:space="preserve">”. Như vậy, khái niệm bảo lãnh tại Luật Các TCTD năm 2024 có sự thay đổi theo hướng TCTD thực hiện nghĩa vụ tài chính thay cho “bên có nghĩa vụ” hàm nghĩa cho phép sự xuất hiện của bên thứ 4 trong quan hệ bảo lãnh ngân hàng, đó là ngoài việc khách hàng đề nghị TCTD bảo lãnh chính mình, khách hàng còn đề nghị TCTD bảo lãnh cho bên khác, ví dụ công ty mẹ đề nghị TCTD bảo lãnh cho công ty con. </w:t>
      </w:r>
    </w:p>
    <w:p w:rsidR="00F96D39" w:rsidRPr="00896C05" w:rsidRDefault="00F96D39" w:rsidP="00F96D39">
      <w:pPr>
        <w:spacing w:line="340" w:lineRule="exact"/>
        <w:ind w:firstLine="720"/>
        <w:jc w:val="both"/>
        <w:rPr>
          <w:szCs w:val="28"/>
          <w:lang w:val="en-US"/>
        </w:rPr>
      </w:pPr>
      <w:r w:rsidRPr="00896C05">
        <w:rPr>
          <w:szCs w:val="28"/>
          <w:lang w:val="en-US"/>
        </w:rPr>
        <w:t>(ii) Điều 102 quy định về người có liên quan</w:t>
      </w:r>
      <w:r w:rsidRPr="00896C05">
        <w:rPr>
          <w:szCs w:val="28"/>
        </w:rPr>
        <w:t xml:space="preserve"> cần phải hướng dẫn tại các cơ chế nghiệp vụ</w:t>
      </w:r>
      <w:r w:rsidRPr="00896C05">
        <w:rPr>
          <w:szCs w:val="28"/>
          <w:lang w:val="en-US"/>
        </w:rPr>
        <w:t xml:space="preserve">: </w:t>
      </w:r>
      <w:r w:rsidRPr="00896C05">
        <w:rPr>
          <w:i/>
          <w:szCs w:val="28"/>
          <w:lang w:val="en-US"/>
        </w:rPr>
        <w:t xml:space="preserve">“3. Khách hàng phải cung cấp thông tin, tài liệu, dữ liệu theo quy </w:t>
      </w:r>
      <w:r w:rsidRPr="00896C05">
        <w:rPr>
          <w:i/>
          <w:szCs w:val="28"/>
          <w:lang w:val="en-US"/>
        </w:rPr>
        <w:lastRenderedPageBreak/>
        <w:t>định tại khoản 1 và khoản 2 Điều này</w:t>
      </w:r>
      <w:r w:rsidRPr="00896C05">
        <w:rPr>
          <w:i/>
          <w:szCs w:val="28"/>
          <w:u w:val="single"/>
          <w:lang w:val="en-US"/>
        </w:rPr>
        <w:t>, thông tin về người có liên quan cho tổ chức tín dụng khi đề nghị cấp tín dụng</w:t>
      </w:r>
      <w:r w:rsidRPr="00896C05">
        <w:rPr>
          <w:i/>
          <w:szCs w:val="28"/>
          <w:lang w:val="en-US"/>
        </w:rPr>
        <w:t xml:space="preserve">; 8. Thống đốc Ngân hàng Nhà nước quy định mức giá trị nhỏ của khoản cấp tín dụng, việc kiểm tra, giám sát sử dụng vốn vay, tài sản cho thuê tài chính và trả nợ của khách hàng quy định tại khoản 2 Điều này; </w:t>
      </w:r>
      <w:r w:rsidRPr="00896C05">
        <w:rPr>
          <w:i/>
          <w:szCs w:val="28"/>
          <w:u w:val="single"/>
          <w:lang w:val="en-US"/>
        </w:rPr>
        <w:t>việc xác định khách hàng phải cung cấp thông tin về người có liên quan và nội dung thông tin phải cung cấp cho tổ chức tín dụng khi đề nghị cấp tín dụng, việc xét duyệt cấp tín dụng bằng phương tiện điện tử</w:t>
      </w:r>
      <w:r w:rsidRPr="00896C05">
        <w:rPr>
          <w:i/>
          <w:szCs w:val="28"/>
        </w:rPr>
        <w:t>”</w:t>
      </w:r>
      <w:r w:rsidRPr="00896C05">
        <w:rPr>
          <w:i/>
          <w:szCs w:val="28"/>
          <w:lang w:val="en-US"/>
        </w:rPr>
        <w:t>.</w:t>
      </w:r>
    </w:p>
    <w:p w:rsidR="00F96D39" w:rsidRPr="00896C05" w:rsidRDefault="00F96D39" w:rsidP="00F96D39">
      <w:pPr>
        <w:spacing w:after="60"/>
        <w:ind w:firstLine="720"/>
        <w:jc w:val="both"/>
        <w:rPr>
          <w:b/>
          <w:bCs/>
          <w:i/>
          <w:szCs w:val="28"/>
          <w:lang w:val="pt-BR"/>
        </w:rPr>
      </w:pPr>
      <w:r w:rsidRPr="00896C05">
        <w:rPr>
          <w:b/>
          <w:bCs/>
          <w:i/>
          <w:szCs w:val="28"/>
          <w:lang w:val="pt-BR"/>
        </w:rPr>
        <w:t>1.2. Kiến nghị của các TCTD trong quá trình thực hiện:</w:t>
      </w:r>
    </w:p>
    <w:p w:rsidR="00F96D39" w:rsidRPr="00896C05" w:rsidRDefault="00F96D39" w:rsidP="00F96D39">
      <w:pPr>
        <w:widowControl w:val="0"/>
        <w:spacing w:after="120"/>
        <w:ind w:right="45" w:firstLine="709"/>
        <w:jc w:val="both"/>
        <w:rPr>
          <w:szCs w:val="28"/>
          <w:lang w:val="pt-BR"/>
        </w:rPr>
      </w:pPr>
      <w:r w:rsidRPr="00896C05">
        <w:rPr>
          <w:szCs w:val="28"/>
          <w:lang w:val="pt-BR"/>
        </w:rPr>
        <w:t xml:space="preserve">Trong quá trình thực hiện Thông tư 11, NHNN không nhận được ý kiến phản ánh về khó khăn, vướng mắc liên quan đến nghiệp vụ bảo lãnh ngân hàng.  Tuy nhiên, sau khi Luật Các TCTD năm 2024 và Luật KDBĐS 2023 được ban hành, Vụ đã có văn bản gửi các TCTD đề nghị rà soát, tổng hợp các nội dung kiến nghị cần sửa đổi, bổ sung Thông tư 11. Hiện tại, kiến nghị của các TCTD tập trung vào các nội dung sửa đổi, bổ sung của 02 Luật nêu trên (Phụ lục 01 đính kèm).  </w:t>
      </w:r>
    </w:p>
    <w:p w:rsidR="00F96D39" w:rsidRPr="00896C05" w:rsidRDefault="00F96D39" w:rsidP="00F96D39">
      <w:pPr>
        <w:spacing w:after="60"/>
        <w:ind w:firstLine="567"/>
        <w:jc w:val="both"/>
        <w:rPr>
          <w:szCs w:val="28"/>
          <w:lang w:val="pt-BR"/>
        </w:rPr>
      </w:pPr>
      <w:r w:rsidRPr="00896C05">
        <w:rPr>
          <w:szCs w:val="28"/>
          <w:lang w:val="pt-BR"/>
        </w:rPr>
        <w:t>Vì vậy, để thống nhất với các quy định pháp luật cùng với thực tế kiến nghị nêu trên từ các TCTD, NHNN cần sửa đổi, bổ sung Thông tư 11.</w:t>
      </w:r>
    </w:p>
    <w:p w:rsidR="00D51ADE" w:rsidRPr="000A7DB3" w:rsidRDefault="00D51ADE" w:rsidP="00D51ADE">
      <w:pPr>
        <w:widowControl w:val="0"/>
        <w:spacing w:after="120"/>
        <w:ind w:firstLine="720"/>
        <w:jc w:val="both"/>
        <w:rPr>
          <w:b/>
          <w:szCs w:val="28"/>
          <w:lang w:val="pt-BR"/>
        </w:rPr>
      </w:pPr>
      <w:r w:rsidRPr="000A7DB3">
        <w:rPr>
          <w:b/>
          <w:szCs w:val="28"/>
          <w:lang w:val="pt-BR"/>
        </w:rPr>
        <w:t>II.</w:t>
      </w:r>
      <w:r w:rsidRPr="000A7DB3">
        <w:rPr>
          <w:szCs w:val="28"/>
          <w:lang w:val="pt-BR"/>
        </w:rPr>
        <w:t xml:space="preserve"> </w:t>
      </w:r>
      <w:r w:rsidRPr="000A7DB3">
        <w:rPr>
          <w:b/>
          <w:szCs w:val="28"/>
          <w:lang w:val="pt-BR"/>
        </w:rPr>
        <w:t>Cơ sở pháp lý:</w:t>
      </w:r>
    </w:p>
    <w:p w:rsidR="00D51ADE" w:rsidRPr="000A7DB3" w:rsidRDefault="00D51ADE" w:rsidP="00D51ADE">
      <w:pPr>
        <w:widowControl w:val="0"/>
        <w:spacing w:after="120"/>
        <w:ind w:firstLine="720"/>
        <w:jc w:val="both"/>
        <w:rPr>
          <w:b/>
          <w:szCs w:val="28"/>
          <w:lang w:val="pt-BR"/>
        </w:rPr>
      </w:pPr>
      <w:r w:rsidRPr="000A7DB3">
        <w:rPr>
          <w:szCs w:val="28"/>
          <w:lang w:val="pt-BR"/>
        </w:rPr>
        <w:t>- Khoản 4 Điều 4 Luật NHNN về nhiệm vụ, quyền hạn của NHNN quy định: “</w:t>
      </w:r>
      <w:r w:rsidRPr="000A7DB3">
        <w:rPr>
          <w:i/>
          <w:szCs w:val="28"/>
          <w:lang w:val="pt-BR"/>
        </w:rPr>
        <w:t>Ban hành hoặc trình cơ quan Nhà nước có thẩm quyền ban hành văn bản quy phạm pháp luật về tiền tệ và ngân hàng;…”</w:t>
      </w:r>
      <w:r w:rsidRPr="000A7DB3">
        <w:rPr>
          <w:szCs w:val="28"/>
          <w:lang w:val="pt-BR"/>
        </w:rPr>
        <w:t>.</w:t>
      </w:r>
    </w:p>
    <w:p w:rsidR="00D51ADE" w:rsidRPr="000A7DB3" w:rsidRDefault="00D51ADE" w:rsidP="00D51ADE">
      <w:pPr>
        <w:widowControl w:val="0"/>
        <w:spacing w:after="120"/>
        <w:ind w:firstLine="720"/>
        <w:jc w:val="both"/>
        <w:rPr>
          <w:b/>
          <w:szCs w:val="28"/>
          <w:lang w:val="pt-BR"/>
        </w:rPr>
      </w:pPr>
      <w:r w:rsidRPr="000A7DB3">
        <w:rPr>
          <w:szCs w:val="28"/>
          <w:lang w:val="pt-BR"/>
        </w:rPr>
        <w:t>- Khoản 2, 14 Điều 4 Luật các TCTD</w:t>
      </w:r>
      <w:r w:rsidR="006E2512">
        <w:rPr>
          <w:szCs w:val="28"/>
          <w:lang w:val="pt-BR"/>
        </w:rPr>
        <w:t xml:space="preserve"> năm 2024 </w:t>
      </w:r>
      <w:r w:rsidRPr="000A7DB3">
        <w:rPr>
          <w:szCs w:val="28"/>
          <w:lang w:val="pt-BR"/>
        </w:rPr>
        <w:t xml:space="preserve"> quy định bảo lãnh ngân hàng là một trong các nghiệp vụ cấp tín dụng, thuộc hoạt động ngân hàng.</w:t>
      </w:r>
    </w:p>
    <w:p w:rsidR="00D51ADE" w:rsidRPr="000A7DB3" w:rsidRDefault="00D51ADE" w:rsidP="00D51ADE">
      <w:pPr>
        <w:spacing w:after="120"/>
        <w:ind w:firstLine="720"/>
        <w:jc w:val="both"/>
        <w:rPr>
          <w:szCs w:val="28"/>
          <w:lang w:val="nl-NL"/>
        </w:rPr>
      </w:pPr>
      <w:r w:rsidRPr="000A7DB3">
        <w:rPr>
          <w:szCs w:val="28"/>
          <w:lang w:val="pt-BR"/>
        </w:rPr>
        <w:t xml:space="preserve">- </w:t>
      </w:r>
      <w:r w:rsidRPr="000A7DB3">
        <w:rPr>
          <w:szCs w:val="28"/>
          <w:lang w:val="nl-NL"/>
        </w:rPr>
        <w:t>Điều 27 (Mục 2) Thông tư số 27/2016/TT-NHNN ngày 28/9/2016 về việc hướng dẫn trình tự, thủ tục xây dựng, ban hành văn bản quy phạm pháp luật của NHNN (Thông tư số 27) quy định về quy trình soạn thảo, xây dựng, lấy ý kiến, tổng hợp, tiếp thu ý kiến tham gia, thẩm định, trình ký ban hành...đối với dự thảo Thông tư do Thống đốc NHNN ban hành.</w:t>
      </w:r>
    </w:p>
    <w:p w:rsidR="00D51ADE" w:rsidRPr="000A7DB3" w:rsidRDefault="00D51ADE" w:rsidP="00D51ADE">
      <w:pPr>
        <w:spacing w:after="60"/>
        <w:ind w:firstLine="567"/>
        <w:jc w:val="both"/>
        <w:rPr>
          <w:szCs w:val="28"/>
          <w:lang w:val="pt-BR"/>
        </w:rPr>
      </w:pPr>
      <w:r w:rsidRPr="000A7DB3">
        <w:rPr>
          <w:b/>
          <w:szCs w:val="28"/>
          <w:lang w:val="pt-BR"/>
        </w:rPr>
        <w:t xml:space="preserve">III. Nội dung dự thảo </w:t>
      </w:r>
      <w:r w:rsidR="00F47C2A">
        <w:rPr>
          <w:b/>
          <w:szCs w:val="28"/>
          <w:lang w:val="pt-BR"/>
        </w:rPr>
        <w:t>T</w:t>
      </w:r>
      <w:r w:rsidRPr="000A7DB3">
        <w:rPr>
          <w:b/>
          <w:szCs w:val="28"/>
          <w:lang w:val="pt-BR"/>
        </w:rPr>
        <w:t>hông tư</w:t>
      </w:r>
      <w:r w:rsidRPr="000A7DB3">
        <w:rPr>
          <w:szCs w:val="28"/>
          <w:lang w:val="pt-BR"/>
        </w:rPr>
        <w:t xml:space="preserve">: </w:t>
      </w:r>
    </w:p>
    <w:p w:rsidR="00F96D39" w:rsidRPr="00896C05" w:rsidRDefault="00F96D39" w:rsidP="00F96D39">
      <w:pPr>
        <w:spacing w:after="60"/>
        <w:ind w:firstLine="567"/>
        <w:jc w:val="both"/>
        <w:rPr>
          <w:szCs w:val="28"/>
          <w:lang w:val="es-ES"/>
        </w:rPr>
      </w:pPr>
      <w:r w:rsidRPr="00896C05">
        <w:rPr>
          <w:szCs w:val="28"/>
          <w:lang w:val="es-ES"/>
        </w:rPr>
        <w:t>- Sửa đổi các khái niệm tại Điều 3: (i) Khái niệm bảo lãnh ngân hàng tại khoản 1, (ii) Khái niệm bảo lãnh đối ứng tại khoản 2, (iii) Khái niệm xác nhận bảo lãnh tại khoản 3,</w:t>
      </w:r>
      <w:r w:rsidRPr="00896C05">
        <w:rPr>
          <w:szCs w:val="28"/>
        </w:rPr>
        <w:t xml:space="preserve"> (iv) Khái niệm bảo lãnh trong bán, cho thuê mua nhà ở hình thành trong tương lai tại khoản 4, (v) Khái niệm b</w:t>
      </w:r>
      <w:r w:rsidRPr="00896C05">
        <w:rPr>
          <w:iCs/>
          <w:szCs w:val="28"/>
        </w:rPr>
        <w:t>ên được bảo lãnh tại khoản 7, (vi) Khái niệm k</w:t>
      </w:r>
      <w:r w:rsidRPr="00896C05">
        <w:rPr>
          <w:szCs w:val="28"/>
        </w:rPr>
        <w:t>hách hàng tại khoản 11</w:t>
      </w:r>
      <w:r w:rsidRPr="00896C05">
        <w:rPr>
          <w:szCs w:val="28"/>
          <w:lang w:val="es-ES"/>
        </w:rPr>
        <w:t xml:space="preserve">, (vii) Nghĩa vụ tài chính của chủ đầu tư đối với bên mua, thuê mua trong bảo lãnh nhà ở hình thành trong tương lai tại khoản 15. </w:t>
      </w:r>
    </w:p>
    <w:p w:rsidR="00F96D39" w:rsidRPr="00896C05" w:rsidRDefault="00F96D39" w:rsidP="00F96D39">
      <w:pPr>
        <w:spacing w:after="60"/>
        <w:ind w:firstLine="567"/>
        <w:jc w:val="both"/>
        <w:rPr>
          <w:szCs w:val="28"/>
          <w:lang w:val="es-ES"/>
        </w:rPr>
      </w:pPr>
      <w:r w:rsidRPr="00896C05">
        <w:rPr>
          <w:szCs w:val="28"/>
          <w:lang w:val="es-ES"/>
        </w:rPr>
        <w:t>- Bổ sung khái niệm: “</w:t>
      </w:r>
      <w:r w:rsidRPr="00896C05">
        <w:rPr>
          <w:szCs w:val="28"/>
          <w:lang w:val="pt-BR"/>
        </w:rPr>
        <w:t>Văn bản cam kết phát hành thư bảo lãnh nhà ở hình thành trong tương lai”</w:t>
      </w:r>
      <w:r w:rsidRPr="00896C05">
        <w:rPr>
          <w:szCs w:val="28"/>
          <w:lang w:val="es-ES"/>
        </w:rPr>
        <w:t xml:space="preserve"> tại khoản 13 Điều 3.</w:t>
      </w:r>
    </w:p>
    <w:p w:rsidR="00F96D39" w:rsidRPr="00896C05" w:rsidRDefault="00F96D39" w:rsidP="00F96D39">
      <w:pPr>
        <w:spacing w:after="120"/>
        <w:ind w:firstLine="567"/>
        <w:jc w:val="both"/>
        <w:rPr>
          <w:szCs w:val="28"/>
          <w:lang w:val="nl-NL"/>
        </w:rPr>
      </w:pPr>
      <w:r w:rsidRPr="00896C05">
        <w:rPr>
          <w:bCs/>
          <w:szCs w:val="28"/>
        </w:rPr>
        <w:t>-</w:t>
      </w:r>
      <w:r w:rsidRPr="00896C05">
        <w:rPr>
          <w:szCs w:val="28"/>
          <w:lang w:val="nl-NL"/>
        </w:rPr>
        <w:t xml:space="preserve"> Sửa đổi tiết d, khoản 4 Điều 9 về chữ ký điện tử.</w:t>
      </w:r>
    </w:p>
    <w:p w:rsidR="00F96D39" w:rsidRPr="00896C05" w:rsidRDefault="00F96D39" w:rsidP="00F96D39">
      <w:pPr>
        <w:spacing w:after="120"/>
        <w:ind w:firstLine="567"/>
        <w:jc w:val="both"/>
        <w:rPr>
          <w:szCs w:val="28"/>
          <w:lang w:val="es-ES"/>
        </w:rPr>
      </w:pPr>
      <w:r w:rsidRPr="00896C05">
        <w:rPr>
          <w:szCs w:val="28"/>
          <w:lang w:val="es-ES"/>
        </w:rPr>
        <w:lastRenderedPageBreak/>
        <w:t xml:space="preserve">- Sửa đổi Điều 13 về bảo lãnh nhà ở hình thành trong tương lai một số nội dung như: Bỏ điều kiện đối với NHTM được thực hiện bảo lãnh nhà ở hình thành trong tương lai, bỏ quy định NHNN công bố công khai danh sách NHTM thực hiện bảo lãnh nhà ở hình thành trong tương lai, bổ sung cho phép chi nhánh ngân hàng nước ngoài thực hiện bảo lãnh nhà ở hình thành trong tương lai, quy định cụ thể về nội dung, thời hạn văn bản cam kết phát hành thư bảo lãnh nhà ở hình thành trong tương lai…. </w:t>
      </w:r>
    </w:p>
    <w:p w:rsidR="00F96D39" w:rsidRPr="00896C05" w:rsidRDefault="00F96D39" w:rsidP="00F96D39">
      <w:pPr>
        <w:spacing w:after="60"/>
        <w:ind w:firstLine="567"/>
        <w:jc w:val="both"/>
        <w:rPr>
          <w:szCs w:val="28"/>
        </w:rPr>
      </w:pPr>
      <w:r w:rsidRPr="00896C05">
        <w:rPr>
          <w:szCs w:val="28"/>
        </w:rPr>
        <w:t xml:space="preserve"> - Sửa đổi tiết b, khoản 1 Điều 14 quy định về tài liệu về khách hàng, bổ sung quy định cung cấp thông tin người có liên quan của khách hàng khi đề nghị cấp bảo lãnh.</w:t>
      </w:r>
    </w:p>
    <w:p w:rsidR="00F96D39" w:rsidRPr="00896C05" w:rsidRDefault="00F96D39" w:rsidP="00F96D39">
      <w:pPr>
        <w:spacing w:after="120"/>
        <w:ind w:firstLine="720"/>
        <w:jc w:val="both"/>
        <w:rPr>
          <w:szCs w:val="28"/>
          <w:lang w:val="nl-NL" w:eastAsia="vi-VN"/>
        </w:rPr>
      </w:pPr>
      <w:r w:rsidRPr="00896C05">
        <w:rPr>
          <w:bCs/>
          <w:szCs w:val="28"/>
        </w:rPr>
        <w:t xml:space="preserve">- Sửa đổi Điều 17 bổ sung thẩm quyền ký </w:t>
      </w:r>
      <w:r w:rsidRPr="00896C05">
        <w:rPr>
          <w:szCs w:val="28"/>
          <w:lang w:val="nl-NL" w:eastAsia="vi-VN"/>
        </w:rPr>
        <w:t>văn bản cam kết phát hành thư bảo lãnh.</w:t>
      </w:r>
    </w:p>
    <w:p w:rsidR="00F96D39" w:rsidRPr="00896C05" w:rsidRDefault="00F96D39" w:rsidP="00F96D39">
      <w:pPr>
        <w:spacing w:after="120"/>
        <w:ind w:firstLine="567"/>
        <w:jc w:val="both"/>
        <w:rPr>
          <w:szCs w:val="28"/>
          <w:lang w:val="nl-NL" w:eastAsia="vi-VN"/>
        </w:rPr>
      </w:pPr>
      <w:r w:rsidRPr="00896C05">
        <w:rPr>
          <w:szCs w:val="28"/>
          <w:lang w:val="nl-NL" w:eastAsia="vi-VN"/>
        </w:rPr>
        <w:t>- Sửa đổi khoản 1 Điều 19, bổ sung thỏa thuận các loại phí.</w:t>
      </w:r>
    </w:p>
    <w:p w:rsidR="00F96D39" w:rsidRPr="00896C05" w:rsidRDefault="00F96D39" w:rsidP="00F96D39">
      <w:pPr>
        <w:spacing w:after="120"/>
        <w:ind w:firstLine="567"/>
        <w:jc w:val="both"/>
        <w:rPr>
          <w:szCs w:val="28"/>
          <w:lang w:val="nl-NL" w:eastAsia="vi-VN"/>
        </w:rPr>
      </w:pPr>
      <w:r w:rsidRPr="00896C05">
        <w:rPr>
          <w:szCs w:val="28"/>
          <w:lang w:val="nl-NL" w:eastAsia="vi-VN"/>
        </w:rPr>
        <w:t>- Sửa đổi Điều 34 quy định trách nhiệm của các đơn vị thuộc NHNN để phù hợp với các quy định mới.</w:t>
      </w:r>
    </w:p>
    <w:p w:rsidR="00D51ADE" w:rsidRPr="000A7DB3" w:rsidRDefault="00D51ADE" w:rsidP="00D51ADE">
      <w:pPr>
        <w:spacing w:after="120"/>
        <w:ind w:firstLine="720"/>
        <w:jc w:val="both"/>
        <w:rPr>
          <w:b/>
          <w:color w:val="000000"/>
          <w:szCs w:val="28"/>
          <w:shd w:val="clear" w:color="auto" w:fill="FFFFFF"/>
          <w:lang w:val="nl-NL"/>
        </w:rPr>
      </w:pPr>
      <w:r w:rsidRPr="000A7DB3">
        <w:rPr>
          <w:b/>
          <w:color w:val="000000"/>
          <w:szCs w:val="28"/>
          <w:shd w:val="clear" w:color="auto" w:fill="FFFFFF"/>
          <w:lang w:val="nl-NL"/>
        </w:rPr>
        <w:t>IV. Đánh giá tác động:</w:t>
      </w:r>
    </w:p>
    <w:p w:rsidR="00D51ADE" w:rsidRPr="000A7DB3" w:rsidRDefault="00D51ADE" w:rsidP="00D51ADE">
      <w:pPr>
        <w:spacing w:after="60"/>
        <w:ind w:firstLine="567"/>
        <w:jc w:val="both"/>
        <w:rPr>
          <w:szCs w:val="28"/>
          <w:lang w:val="pt-BR"/>
        </w:rPr>
      </w:pPr>
      <w:r w:rsidRPr="000A7DB3">
        <w:rPr>
          <w:szCs w:val="28"/>
          <w:lang w:val="pt-BR"/>
        </w:rPr>
        <w:t>Các nội dung dự kiến sửa đổi bổ sung cho thấy:</w:t>
      </w:r>
    </w:p>
    <w:p w:rsidR="00D51ADE" w:rsidRPr="000A7DB3" w:rsidRDefault="00D51ADE" w:rsidP="00D51ADE">
      <w:pPr>
        <w:spacing w:after="60"/>
        <w:ind w:firstLine="567"/>
        <w:jc w:val="both"/>
        <w:rPr>
          <w:szCs w:val="28"/>
          <w:lang w:val="pt-BR"/>
        </w:rPr>
      </w:pPr>
      <w:r w:rsidRPr="000A7DB3">
        <w:rPr>
          <w:szCs w:val="28"/>
          <w:lang w:val="pt-BR"/>
        </w:rPr>
        <w:t xml:space="preserve">- Việc ban hành Thông tư </w:t>
      </w:r>
      <w:r w:rsidR="007D3504">
        <w:rPr>
          <w:szCs w:val="28"/>
          <w:lang w:val="pt-BR"/>
        </w:rPr>
        <w:t>sửa đổi, bổ sung m</w:t>
      </w:r>
      <w:r w:rsidR="008D79AA">
        <w:rPr>
          <w:szCs w:val="28"/>
          <w:lang w:val="pt-BR"/>
        </w:rPr>
        <w:t>ộ</w:t>
      </w:r>
      <w:r w:rsidR="007D3504">
        <w:rPr>
          <w:szCs w:val="28"/>
          <w:lang w:val="pt-BR"/>
        </w:rPr>
        <w:t xml:space="preserve">t số điều quy định tại Thông tư 11 </w:t>
      </w:r>
      <w:r w:rsidRPr="000A7DB3">
        <w:rPr>
          <w:szCs w:val="28"/>
          <w:lang w:val="pt-BR"/>
        </w:rPr>
        <w:t xml:space="preserve">nhằm tạo cơ sở pháp lý cho hoạt động bảo lãnh ngân hàng phù hợp với quy định pháp luật hiện hành </w:t>
      </w:r>
      <w:r w:rsidR="007D3504">
        <w:rPr>
          <w:szCs w:val="28"/>
          <w:lang w:val="pt-BR"/>
        </w:rPr>
        <w:t xml:space="preserve">như </w:t>
      </w:r>
      <w:r w:rsidRPr="000A7DB3">
        <w:rPr>
          <w:szCs w:val="28"/>
          <w:lang w:val="pt-BR"/>
        </w:rPr>
        <w:t>Luật Kinh doanh bất động sản</w:t>
      </w:r>
      <w:r w:rsidR="00F96D39">
        <w:rPr>
          <w:szCs w:val="28"/>
          <w:lang w:val="pt-BR"/>
        </w:rPr>
        <w:t xml:space="preserve"> năm 2023</w:t>
      </w:r>
      <w:r w:rsidR="007D3504">
        <w:rPr>
          <w:szCs w:val="28"/>
          <w:lang w:val="pt-BR"/>
        </w:rPr>
        <w:t>, Luật Các TCTD năm 2024.</w:t>
      </w:r>
    </w:p>
    <w:p w:rsidR="00D51ADE" w:rsidRPr="000A7DB3" w:rsidRDefault="008D79AA" w:rsidP="00D51ADE">
      <w:pPr>
        <w:spacing w:after="120"/>
        <w:ind w:firstLine="567"/>
        <w:jc w:val="both"/>
        <w:rPr>
          <w:b/>
          <w:szCs w:val="28"/>
          <w:lang w:val="nl-NL"/>
        </w:rPr>
      </w:pPr>
      <w:r>
        <w:rPr>
          <w:szCs w:val="28"/>
          <w:lang w:val="pt-BR"/>
        </w:rPr>
        <w:t xml:space="preserve">- </w:t>
      </w:r>
      <w:r w:rsidR="00D51ADE" w:rsidRPr="000A7DB3">
        <w:rPr>
          <w:szCs w:val="28"/>
          <w:lang w:val="pt-BR"/>
        </w:rPr>
        <w:t>C</w:t>
      </w:r>
      <w:r w:rsidR="00D51ADE" w:rsidRPr="000A7DB3">
        <w:rPr>
          <w:szCs w:val="28"/>
          <w:lang w:val="nl-NL"/>
        </w:rPr>
        <w:t xml:space="preserve">ác nội dung tại dự thảo Thông tư được quy định rõ ràng và phù hợp; </w:t>
      </w:r>
      <w:r w:rsidR="00F24F1C">
        <w:rPr>
          <w:szCs w:val="28"/>
          <w:lang w:val="nl-NL"/>
        </w:rPr>
        <w:t xml:space="preserve">không </w:t>
      </w:r>
      <w:r w:rsidR="00D51ADE" w:rsidRPr="000A7DB3">
        <w:rPr>
          <w:szCs w:val="28"/>
          <w:lang w:val="nl-NL"/>
        </w:rPr>
        <w:t xml:space="preserve">mâu thuẫn với các nội dung quy định tại các văn bản pháp luật khác về cùng một vấn đề. Việc ban hành Thông tư </w:t>
      </w:r>
      <w:r w:rsidR="00F24F1C">
        <w:rPr>
          <w:szCs w:val="28"/>
          <w:lang w:val="nl-NL"/>
        </w:rPr>
        <w:t xml:space="preserve">sửa đổi, bổ sung Thông tư 11 </w:t>
      </w:r>
      <w:r w:rsidR="00D51ADE" w:rsidRPr="000A7DB3">
        <w:rPr>
          <w:szCs w:val="28"/>
          <w:lang w:val="nl-NL"/>
        </w:rPr>
        <w:t>giúp hoàn thiện hơn nữa cơ sở pháp lý về bảo lãnh ngân hàng nhằm phản ánh đầy đủ thực tế hoạt động bảo lãnh, tạo điều kiện thuận lợi cho các TCTD, tổ chức, cá nhân có liên quan trong thực hiện hoạt động bảo lãnh ngân hàng</w:t>
      </w:r>
      <w:r w:rsidR="00F24F1C">
        <w:rPr>
          <w:szCs w:val="28"/>
          <w:lang w:val="nl-NL"/>
        </w:rPr>
        <w:t xml:space="preserve"> thông suốt và hiệu quả</w:t>
      </w:r>
      <w:r w:rsidR="00D51ADE" w:rsidRPr="000A7DB3">
        <w:rPr>
          <w:szCs w:val="28"/>
          <w:lang w:val="nl-NL"/>
        </w:rPr>
        <w:t>.</w:t>
      </w:r>
      <w:r w:rsidR="00D51ADE" w:rsidRPr="000A7DB3">
        <w:rPr>
          <w:b/>
          <w:szCs w:val="28"/>
          <w:lang w:val="nl-NL"/>
        </w:rPr>
        <w:t xml:space="preserve"> </w:t>
      </w:r>
    </w:p>
    <w:p w:rsidR="00D51ADE" w:rsidRPr="000A7DB3" w:rsidRDefault="00D51ADE" w:rsidP="00D51ADE">
      <w:pPr>
        <w:spacing w:after="120"/>
        <w:ind w:firstLine="567"/>
        <w:jc w:val="both"/>
        <w:rPr>
          <w:b/>
          <w:szCs w:val="28"/>
          <w:lang w:val="nl-NL"/>
        </w:rPr>
      </w:pPr>
      <w:r w:rsidRPr="000A7DB3">
        <w:rPr>
          <w:b/>
          <w:szCs w:val="28"/>
          <w:lang w:val="nl-NL"/>
        </w:rPr>
        <w:t xml:space="preserve">V. Thông lệ quốc tế về </w:t>
      </w:r>
      <w:r w:rsidR="00EC16F0">
        <w:rPr>
          <w:b/>
          <w:szCs w:val="28"/>
          <w:lang w:val="nl-NL"/>
        </w:rPr>
        <w:t xml:space="preserve">một số </w:t>
      </w:r>
      <w:r w:rsidRPr="000A7DB3">
        <w:rPr>
          <w:b/>
          <w:szCs w:val="28"/>
          <w:lang w:val="nl-NL"/>
        </w:rPr>
        <w:t xml:space="preserve">nội dung </w:t>
      </w:r>
      <w:r w:rsidR="00EC16F0">
        <w:rPr>
          <w:b/>
          <w:szCs w:val="28"/>
          <w:lang w:val="nl-NL"/>
        </w:rPr>
        <w:t>sửa đổi, bổ sung</w:t>
      </w:r>
      <w:r w:rsidRPr="000A7DB3">
        <w:rPr>
          <w:b/>
          <w:szCs w:val="28"/>
          <w:lang w:val="nl-NL"/>
        </w:rPr>
        <w:t xml:space="preserve"> tại dự thảo:</w:t>
      </w:r>
    </w:p>
    <w:p w:rsidR="00B0766D" w:rsidRDefault="00D51ADE" w:rsidP="00D51ADE">
      <w:pPr>
        <w:spacing w:after="120"/>
        <w:ind w:firstLine="567"/>
        <w:jc w:val="both"/>
        <w:rPr>
          <w:szCs w:val="28"/>
          <w:lang w:val="nl-NL"/>
        </w:rPr>
      </w:pPr>
      <w:r w:rsidRPr="000A7DB3">
        <w:rPr>
          <w:szCs w:val="28"/>
          <w:lang w:val="nl-NL"/>
        </w:rPr>
        <w:t>Hiện</w:t>
      </w:r>
      <w:r w:rsidR="00986FFD">
        <w:rPr>
          <w:szCs w:val="28"/>
          <w:lang w:val="nl-NL"/>
        </w:rPr>
        <w:t>,</w:t>
      </w:r>
      <w:r w:rsidRPr="000A7DB3">
        <w:rPr>
          <w:szCs w:val="28"/>
          <w:lang w:val="nl-NL"/>
        </w:rPr>
        <w:t xml:space="preserve"> các thông lệ quốc tế áp dụng đối với hoạt động bảo lãnh gồm: URDG 758 áp dụng cho bảo lãnh theo yêu cầu; ISP 98 áp dụng cho thư tín dụng dự phòng.</w:t>
      </w:r>
      <w:r w:rsidR="00B0766D">
        <w:rPr>
          <w:szCs w:val="28"/>
          <w:lang w:val="nl-NL"/>
        </w:rPr>
        <w:t xml:space="preserve"> Theo Quy tắc thống nhất về bảo lãnh theo yêu cầu URDG758, ICC2009 quy định khái niệm, trách nhiệm, vai trò của “bên ra ch</w:t>
      </w:r>
      <w:r w:rsidR="00BE5011">
        <w:rPr>
          <w:szCs w:val="28"/>
          <w:lang w:val="nl-NL"/>
        </w:rPr>
        <w:t>ỉ thị</w:t>
      </w:r>
      <w:r w:rsidR="00B0766D">
        <w:rPr>
          <w:szCs w:val="28"/>
          <w:lang w:val="nl-NL"/>
        </w:rPr>
        <w:t>” và “Người có yêu cầu” trong quan hệ bảo lãnh, cụ thể:</w:t>
      </w:r>
    </w:p>
    <w:p w:rsidR="00B0766D" w:rsidRDefault="00B0766D" w:rsidP="00D51ADE">
      <w:pPr>
        <w:spacing w:after="120"/>
        <w:ind w:firstLine="567"/>
        <w:jc w:val="both"/>
      </w:pPr>
      <w:r>
        <w:t xml:space="preserve"> </w:t>
      </w:r>
      <w:r>
        <w:rPr>
          <w:lang w:val="en-US"/>
        </w:rPr>
        <w:t>- Tiết c Điều 1</w:t>
      </w:r>
      <w:r>
        <w:t xml:space="preserve"> </w:t>
      </w:r>
      <w:r>
        <w:rPr>
          <w:szCs w:val="28"/>
          <w:lang w:val="nl-NL"/>
        </w:rPr>
        <w:t>URDG758 quy định “</w:t>
      </w:r>
      <w:r w:rsidRPr="00BE5011">
        <w:rPr>
          <w:i/>
        </w:rPr>
        <w:t xml:space="preserve">Khi có yêu cầu hay với sự đồng ý của bên ra chỉ thị, một cam kết bảo lãnh theo yêu cầu hay bảo lãnh đối ứng được phát hành </w:t>
      </w:r>
      <w:r w:rsidRPr="00BE5011">
        <w:rPr>
          <w:i/>
        </w:rPr>
        <w:lastRenderedPageBreak/>
        <w:t>theo URDG, bên ra chỉ thị coi như đã chấp nhận quyền lợi và nghĩa vụ đã được gán cho nó cho những quy tắc này</w:t>
      </w:r>
      <w:r>
        <w:rPr>
          <w:lang w:val="en-US"/>
        </w:rPr>
        <w:t>”</w:t>
      </w:r>
      <w:r>
        <w:t xml:space="preserve">. </w:t>
      </w:r>
    </w:p>
    <w:p w:rsidR="009E7676" w:rsidRDefault="00A80150" w:rsidP="00D51ADE">
      <w:pPr>
        <w:spacing w:after="120"/>
        <w:ind w:firstLine="567"/>
        <w:jc w:val="both"/>
        <w:rPr>
          <w:szCs w:val="28"/>
          <w:lang w:val="nl-NL"/>
        </w:rPr>
      </w:pPr>
      <w:r>
        <w:rPr>
          <w:lang w:val="en-US"/>
        </w:rPr>
        <w:t>-</w:t>
      </w:r>
      <w:r w:rsidR="0095539E">
        <w:rPr>
          <w:lang w:val="en-US"/>
        </w:rPr>
        <w:t xml:space="preserve"> Điều 2 </w:t>
      </w:r>
      <w:r w:rsidR="0095539E">
        <w:rPr>
          <w:szCs w:val="28"/>
          <w:lang w:val="nl-NL"/>
        </w:rPr>
        <w:t>URDG758 quy định</w:t>
      </w:r>
      <w:r w:rsidR="009E7676">
        <w:rPr>
          <w:szCs w:val="28"/>
          <w:lang w:val="nl-NL"/>
        </w:rPr>
        <w:t>:</w:t>
      </w:r>
    </w:p>
    <w:p w:rsidR="00A80150" w:rsidRPr="00A80150" w:rsidRDefault="009E7676" w:rsidP="00D51ADE">
      <w:pPr>
        <w:spacing w:after="120"/>
        <w:ind w:firstLine="567"/>
        <w:jc w:val="both"/>
        <w:rPr>
          <w:lang w:val="en-US"/>
        </w:rPr>
      </w:pPr>
      <w:r>
        <w:rPr>
          <w:szCs w:val="28"/>
          <w:lang w:val="nl-NL"/>
        </w:rPr>
        <w:t>+</w:t>
      </w:r>
      <w:r w:rsidR="0095539E">
        <w:rPr>
          <w:szCs w:val="28"/>
          <w:lang w:val="nl-NL"/>
        </w:rPr>
        <w:t xml:space="preserve"> </w:t>
      </w:r>
      <w:r>
        <w:rPr>
          <w:szCs w:val="28"/>
          <w:lang w:val="nl-NL"/>
        </w:rPr>
        <w:t>K</w:t>
      </w:r>
      <w:r w:rsidR="0095539E">
        <w:rPr>
          <w:szCs w:val="28"/>
          <w:lang w:val="nl-NL"/>
        </w:rPr>
        <w:t>hái niệm người yêu cầu: “</w:t>
      </w:r>
      <w:r w:rsidR="0095539E" w:rsidRPr="00BE5011">
        <w:rPr>
          <w:i/>
          <w:szCs w:val="28"/>
          <w:lang w:val="nl-NL"/>
        </w:rPr>
        <w:t>Người yêu cầu là người được chỉ định trong bảo lãnh thư, có nghĩa vụ tùy mối quan hệ ràng buộc trên cơ sở được hỗ trợ bởi bảo lãnh thư. Người yêu cầu có thể hoặc không phải là bên ra chỉ thị phát hành</w:t>
      </w:r>
      <w:r w:rsidR="0095539E">
        <w:rPr>
          <w:szCs w:val="28"/>
          <w:lang w:val="nl-NL"/>
        </w:rPr>
        <w:t>”.</w:t>
      </w:r>
    </w:p>
    <w:p w:rsidR="009D6314" w:rsidRDefault="009E7676" w:rsidP="00D51ADE">
      <w:pPr>
        <w:spacing w:after="120"/>
        <w:ind w:firstLine="567"/>
        <w:jc w:val="both"/>
      </w:pPr>
      <w:r>
        <w:rPr>
          <w:lang w:val="en-US"/>
        </w:rPr>
        <w:t xml:space="preserve">+ </w:t>
      </w:r>
      <w:r w:rsidR="00BE5011">
        <w:rPr>
          <w:lang w:val="en-US"/>
        </w:rPr>
        <w:t>“</w:t>
      </w:r>
      <w:r w:rsidR="00B0766D" w:rsidRPr="00BE5011">
        <w:rPr>
          <w:i/>
        </w:rPr>
        <w:t>Bên ra chỉ thị phát hành nghĩa là ngoài người bảo lãnh đối ứng sẽ có một bên ra chỉ thị để phát hành bảo lãnh thư hoặc bảo lãnh đối ứng thư, chịu trách nhiệm bảo đảm cho người bảo lãnh, hoặc, trong trường hợp là bảo lãnh đối ứng thư, chịu trách nhiệm bảo đảm cho người bảo lãnh đối ứng. Bên ra chỉ thị phát hành có thể hoặc không phải là người yêu cầ</w:t>
      </w:r>
      <w:r w:rsidR="0035001F" w:rsidRPr="00BE5011">
        <w:rPr>
          <w:i/>
        </w:rPr>
        <w:t>u</w:t>
      </w:r>
      <w:r w:rsidR="00BE5011">
        <w:rPr>
          <w:lang w:val="en-US"/>
        </w:rPr>
        <w:t>”</w:t>
      </w:r>
      <w:r w:rsidR="0035001F">
        <w:t>.</w:t>
      </w:r>
    </w:p>
    <w:p w:rsidR="00B0766D" w:rsidRPr="00BE5011" w:rsidRDefault="0035001F" w:rsidP="00D51ADE">
      <w:pPr>
        <w:spacing w:after="120"/>
        <w:ind w:firstLine="567"/>
        <w:jc w:val="both"/>
        <w:rPr>
          <w:szCs w:val="28"/>
          <w:lang w:val="en-US"/>
        </w:rPr>
      </w:pPr>
      <w:r>
        <w:rPr>
          <w:szCs w:val="28"/>
          <w:lang w:val="en-US"/>
        </w:rPr>
        <w:t xml:space="preserve">Thông lệ quốc tế </w:t>
      </w:r>
      <w:r>
        <w:rPr>
          <w:szCs w:val="28"/>
          <w:lang w:val="nl-NL"/>
        </w:rPr>
        <w:t>URDG758 quy định vai trò của “người yêu cầu”, “bên ra chỉ thị</w:t>
      </w:r>
      <w:r w:rsidR="00BE5011">
        <w:rPr>
          <w:szCs w:val="28"/>
          <w:lang w:val="nl-NL"/>
        </w:rPr>
        <w:t>”. Dự thảo thông tư quy định khái niệm bảo lãnh ngân hàng theo quy định tại Luậ</w:t>
      </w:r>
      <w:r w:rsidR="004A494D">
        <w:rPr>
          <w:szCs w:val="28"/>
          <w:lang w:val="nl-NL"/>
        </w:rPr>
        <w:t>t Các TCTD có thêm vai trò của một bên tham gia quan hệ bảo lãnh theo</w:t>
      </w:r>
      <w:r w:rsidR="00BE5011">
        <w:rPr>
          <w:szCs w:val="28"/>
          <w:lang w:val="nl-NL"/>
        </w:rPr>
        <w:t xml:space="preserve"> khái niệm sau “</w:t>
      </w:r>
      <w:r w:rsidR="00BE5011" w:rsidRPr="00D674A7">
        <w:rPr>
          <w:i/>
          <w:iCs/>
          <w:szCs w:val="28"/>
        </w:rPr>
        <w:t>Bảo lãnh ngân hàng</w:t>
      </w:r>
      <w:r w:rsidR="00BE5011" w:rsidRPr="00D674A7">
        <w:rPr>
          <w:szCs w:val="28"/>
        </w:rPr>
        <w:t xml:space="preserve"> là hình thức cấp tín dụng cho khách hàng thông qua việc tổ chức tín dụng, chi nhánh ngân hàng nước ngoài cam kết với bên nhận bảo lãnh về việc sẽ </w:t>
      </w:r>
      <w:r w:rsidR="00BE5011" w:rsidRPr="00ED518A">
        <w:rPr>
          <w:i/>
          <w:szCs w:val="28"/>
          <w:u w:val="single"/>
        </w:rPr>
        <w:t>thực hiện nghĩa vụ tài chính thay cho bên có nghĩa vụ</w:t>
      </w:r>
      <w:r w:rsidR="00BE5011" w:rsidRPr="00D674A7">
        <w:rPr>
          <w:szCs w:val="28"/>
          <w:u w:val="single"/>
        </w:rPr>
        <w:t xml:space="preserve"> </w:t>
      </w:r>
      <w:r w:rsidR="00BE5011" w:rsidRPr="00D674A7">
        <w:rPr>
          <w:szCs w:val="28"/>
        </w:rPr>
        <w:t xml:space="preserve">khi bên có nghĩa vụ không thực hiện hoặc thực hiện không đầy đủ nghĩa vụ đã cam kết; </w:t>
      </w:r>
      <w:r w:rsidR="00BE5011" w:rsidRPr="00567C43">
        <w:rPr>
          <w:i/>
          <w:szCs w:val="28"/>
          <w:u w:val="single"/>
        </w:rPr>
        <w:t>khách hàng phải</w:t>
      </w:r>
      <w:r w:rsidR="00BE5011" w:rsidRPr="00D674A7">
        <w:rPr>
          <w:szCs w:val="28"/>
        </w:rPr>
        <w:t xml:space="preserve"> </w:t>
      </w:r>
      <w:r w:rsidR="00BE5011" w:rsidRPr="00567C43">
        <w:rPr>
          <w:i/>
          <w:szCs w:val="28"/>
          <w:u w:val="single"/>
        </w:rPr>
        <w:t>nhận nợ bắt buộc</w:t>
      </w:r>
      <w:r w:rsidR="00BE5011" w:rsidRPr="00D674A7">
        <w:rPr>
          <w:szCs w:val="28"/>
        </w:rPr>
        <w:t xml:space="preserve"> và hoàn trả cho tổ chức tín dụng, chi nhánh ngân hàng nước ngoài theo thỏa thuận</w:t>
      </w:r>
      <w:r w:rsidR="00BE5011">
        <w:rPr>
          <w:szCs w:val="28"/>
          <w:lang w:val="en-US"/>
        </w:rPr>
        <w:t>”</w:t>
      </w:r>
      <w:r w:rsidR="00F35A59">
        <w:rPr>
          <w:szCs w:val="28"/>
          <w:lang w:val="en-US"/>
        </w:rPr>
        <w:t>.</w:t>
      </w:r>
      <w:r w:rsidR="004A494D">
        <w:rPr>
          <w:szCs w:val="28"/>
          <w:lang w:val="en-US"/>
        </w:rPr>
        <w:t xml:space="preserve"> Dự thảo sửa đổi quy định về khái niệm bảo lãnh ngân hàng cho phù hợp với quy định tại Luật Các TCTD, thông lệ quốc tế và tình hình thực tế.</w:t>
      </w:r>
    </w:p>
    <w:p w:rsidR="002070AF" w:rsidRDefault="00076FAD" w:rsidP="00BE5011">
      <w:pPr>
        <w:spacing w:after="120" w:line="240" w:lineRule="auto"/>
        <w:rPr>
          <w:b/>
          <w:sz w:val="26"/>
          <w:u w:val="single"/>
          <w:lang w:val="pl-PL"/>
        </w:rPr>
      </w:pPr>
      <w:r>
        <w:rPr>
          <w:szCs w:val="28"/>
        </w:rPr>
        <w:t xml:space="preserve">        </w:t>
      </w:r>
    </w:p>
    <w:p w:rsidR="00852340" w:rsidRPr="002070AF" w:rsidRDefault="002070AF" w:rsidP="00465E52">
      <w:pPr>
        <w:widowControl w:val="0"/>
        <w:spacing w:before="100" w:after="100" w:line="240" w:lineRule="auto"/>
        <w:jc w:val="right"/>
        <w:rPr>
          <w:b/>
          <w:sz w:val="26"/>
          <w:u w:val="single"/>
          <w:lang w:val="pl-PL"/>
        </w:rPr>
      </w:pPr>
      <w:r w:rsidRPr="002070AF">
        <w:rPr>
          <w:b/>
          <w:sz w:val="26"/>
          <w:u w:val="single"/>
          <w:lang w:val="pl-PL"/>
        </w:rPr>
        <w:t>NGÂN HÀNG NHÀ NƯỚC VIỆT NAM</w:t>
      </w:r>
    </w:p>
    <w:p w:rsidR="00EA6900" w:rsidRPr="00467554" w:rsidRDefault="00EA6900" w:rsidP="00840C05">
      <w:pPr>
        <w:widowControl w:val="0"/>
        <w:spacing w:before="120" w:after="120" w:line="240" w:lineRule="auto"/>
        <w:jc w:val="both"/>
        <w:rPr>
          <w:lang w:val="pl-PL"/>
        </w:rPr>
      </w:pPr>
    </w:p>
    <w:sectPr w:rsidR="00EA6900" w:rsidRPr="00467554" w:rsidSect="00D51ADE">
      <w:headerReference w:type="default" r:id="rId11"/>
      <w:footerReference w:type="even" r:id="rId12"/>
      <w:footerReference w:type="default" r:id="rId13"/>
      <w:headerReference w:type="first" r:id="rId14"/>
      <w:pgSz w:w="11906" w:h="16838"/>
      <w:pgMar w:top="1134" w:right="851" w:bottom="567" w:left="1701" w:header="272"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581" w:rsidRDefault="00613581" w:rsidP="00C74E1F">
      <w:pPr>
        <w:spacing w:after="0" w:line="240" w:lineRule="auto"/>
      </w:pPr>
      <w:r>
        <w:separator/>
      </w:r>
    </w:p>
  </w:endnote>
  <w:endnote w:type="continuationSeparator" w:id="0">
    <w:p w:rsidR="00613581" w:rsidRDefault="00613581" w:rsidP="00C7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D93" w:rsidRDefault="00063D93" w:rsidP="00E71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3D93" w:rsidRDefault="00063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D93" w:rsidRDefault="00063D93">
    <w:pPr>
      <w:pStyle w:val="Footer"/>
      <w:jc w:val="right"/>
    </w:pPr>
  </w:p>
  <w:p w:rsidR="00063D93" w:rsidRDefault="00063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581" w:rsidRDefault="00613581" w:rsidP="00C74E1F">
      <w:pPr>
        <w:spacing w:after="0" w:line="240" w:lineRule="auto"/>
      </w:pPr>
      <w:r>
        <w:separator/>
      </w:r>
    </w:p>
  </w:footnote>
  <w:footnote w:type="continuationSeparator" w:id="0">
    <w:p w:rsidR="00613581" w:rsidRDefault="00613581" w:rsidP="00C74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6"/>
        <w:szCs w:val="26"/>
      </w:rPr>
      <w:id w:val="251778449"/>
      <w:docPartObj>
        <w:docPartGallery w:val="Page Numbers (Top of Page)"/>
        <w:docPartUnique/>
      </w:docPartObj>
    </w:sdtPr>
    <w:sdtEndPr>
      <w:rPr>
        <w:noProof/>
      </w:rPr>
    </w:sdtEndPr>
    <w:sdtContent>
      <w:p w:rsidR="00063D93" w:rsidRPr="00840C05" w:rsidRDefault="00063D93">
        <w:pPr>
          <w:pStyle w:val="Header"/>
          <w:jc w:val="center"/>
          <w:rPr>
            <w:sz w:val="26"/>
            <w:szCs w:val="26"/>
          </w:rPr>
        </w:pPr>
        <w:r w:rsidRPr="00840C05">
          <w:rPr>
            <w:sz w:val="26"/>
            <w:szCs w:val="26"/>
          </w:rPr>
          <w:fldChar w:fldCharType="begin"/>
        </w:r>
        <w:r w:rsidRPr="00840C05">
          <w:rPr>
            <w:sz w:val="26"/>
            <w:szCs w:val="26"/>
          </w:rPr>
          <w:instrText xml:space="preserve"> PAGE   \* MERGEFORMAT </w:instrText>
        </w:r>
        <w:r w:rsidRPr="00840C05">
          <w:rPr>
            <w:sz w:val="26"/>
            <w:szCs w:val="26"/>
          </w:rPr>
          <w:fldChar w:fldCharType="separate"/>
        </w:r>
        <w:r w:rsidR="00506D21">
          <w:rPr>
            <w:noProof/>
            <w:sz w:val="26"/>
            <w:szCs w:val="26"/>
          </w:rPr>
          <w:t>4</w:t>
        </w:r>
        <w:r w:rsidRPr="00840C05">
          <w:rPr>
            <w:noProof/>
            <w:sz w:val="26"/>
            <w:szCs w:val="26"/>
          </w:rPr>
          <w:fldChar w:fldCharType="end"/>
        </w:r>
      </w:p>
    </w:sdtContent>
  </w:sdt>
  <w:p w:rsidR="00063D93" w:rsidRPr="00840C05" w:rsidRDefault="00063D93">
    <w:pPr>
      <w:pStyle w:val="Header"/>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079228"/>
      <w:docPartObj>
        <w:docPartGallery w:val="Page Numbers (Top of Page)"/>
        <w:docPartUnique/>
      </w:docPartObj>
    </w:sdtPr>
    <w:sdtEndPr>
      <w:rPr>
        <w:noProof/>
        <w:color w:val="FFFFFF" w:themeColor="background1"/>
      </w:rPr>
    </w:sdtEndPr>
    <w:sdtContent>
      <w:p w:rsidR="00063D93" w:rsidRPr="000B5388" w:rsidRDefault="00063D93">
        <w:pPr>
          <w:pStyle w:val="Header"/>
          <w:jc w:val="center"/>
          <w:rPr>
            <w:color w:val="FFFFFF" w:themeColor="background1"/>
          </w:rPr>
        </w:pPr>
        <w:r w:rsidRPr="000B5388">
          <w:rPr>
            <w:color w:val="FFFFFF" w:themeColor="background1"/>
          </w:rPr>
          <w:fldChar w:fldCharType="begin"/>
        </w:r>
        <w:r w:rsidRPr="000B5388">
          <w:rPr>
            <w:color w:val="FFFFFF" w:themeColor="background1"/>
          </w:rPr>
          <w:instrText xml:space="preserve"> PAGE   \* MERGEFORMAT </w:instrText>
        </w:r>
        <w:r w:rsidRPr="000B5388">
          <w:rPr>
            <w:color w:val="FFFFFF" w:themeColor="background1"/>
          </w:rPr>
          <w:fldChar w:fldCharType="separate"/>
        </w:r>
        <w:r w:rsidR="00506D21">
          <w:rPr>
            <w:noProof/>
            <w:color w:val="FFFFFF" w:themeColor="background1"/>
          </w:rPr>
          <w:t>1</w:t>
        </w:r>
        <w:r w:rsidRPr="000B5388">
          <w:rPr>
            <w:noProof/>
            <w:color w:val="FFFFFF" w:themeColor="background1"/>
          </w:rPr>
          <w:fldChar w:fldCharType="end"/>
        </w:r>
      </w:p>
    </w:sdtContent>
  </w:sdt>
  <w:p w:rsidR="00063D93" w:rsidRDefault="00063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1E43"/>
    <w:multiLevelType w:val="hybridMultilevel"/>
    <w:tmpl w:val="DD105C1A"/>
    <w:lvl w:ilvl="0" w:tplc="B42689F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102D45FA"/>
    <w:multiLevelType w:val="hybridMultilevel"/>
    <w:tmpl w:val="55063B00"/>
    <w:lvl w:ilvl="0" w:tplc="2EEEB662">
      <w:start w:val="1"/>
      <w:numFmt w:val="decimal"/>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3125347"/>
    <w:multiLevelType w:val="hybridMultilevel"/>
    <w:tmpl w:val="BC161E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78F7380"/>
    <w:multiLevelType w:val="hybridMultilevel"/>
    <w:tmpl w:val="E9540344"/>
    <w:lvl w:ilvl="0" w:tplc="95405E44">
      <w:start w:val="7"/>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4" w15:restartNumberingAfterBreak="0">
    <w:nsid w:val="1A81754F"/>
    <w:multiLevelType w:val="hybridMultilevel"/>
    <w:tmpl w:val="26FAAE22"/>
    <w:lvl w:ilvl="0" w:tplc="6EF410CE">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1FB225C1"/>
    <w:multiLevelType w:val="hybridMultilevel"/>
    <w:tmpl w:val="A6F6D20C"/>
    <w:lvl w:ilvl="0" w:tplc="B050A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BE0A62"/>
    <w:multiLevelType w:val="hybridMultilevel"/>
    <w:tmpl w:val="D04C7548"/>
    <w:lvl w:ilvl="0" w:tplc="666A7F1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6187459"/>
    <w:multiLevelType w:val="hybridMultilevel"/>
    <w:tmpl w:val="67DCC720"/>
    <w:lvl w:ilvl="0" w:tplc="B2560536">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C0F58BB"/>
    <w:multiLevelType w:val="multilevel"/>
    <w:tmpl w:val="595EE6B6"/>
    <w:lvl w:ilvl="0">
      <w:start w:val="1"/>
      <w:numFmt w:val="decimal"/>
      <w:lvlText w:val="%1."/>
      <w:lvlJc w:val="left"/>
      <w:pPr>
        <w:tabs>
          <w:tab w:val="num" w:pos="1740"/>
        </w:tabs>
        <w:ind w:left="1740" w:hanging="1020"/>
      </w:pPr>
      <w:rPr>
        <w:rFonts w:hint="default"/>
        <w:b w:val="0"/>
        <w:i w:val="0"/>
      </w:rPr>
    </w:lvl>
    <w:lvl w:ilvl="1">
      <w:start w:val="1"/>
      <w:numFmt w:val="decimal"/>
      <w:lvlRestart w:val="0"/>
      <w:pStyle w:val="Heading2"/>
      <w:lvlText w:val="Điều %2."/>
      <w:lvlJc w:val="left"/>
      <w:pPr>
        <w:tabs>
          <w:tab w:val="num" w:pos="2160"/>
        </w:tabs>
        <w:ind w:left="1800" w:firstLine="0"/>
      </w:pPr>
      <w:rPr>
        <w:rFonts w:ascii="Times New Roman" w:hAnsi="Times New Roman" w:hint="default"/>
        <w:b w:val="0"/>
        <w:bCs w:val="0"/>
        <w:i w:val="0"/>
        <w:iCs w:val="0"/>
        <w:caps w:val="0"/>
        <w:smallCaps w:val="0"/>
        <w:strike w:val="0"/>
        <w:dstrike w:val="0"/>
        <w:color w:val="auto"/>
        <w:spacing w:val="-2"/>
        <w:w w:val="100"/>
        <w:kern w:val="0"/>
        <w:position w:val="0"/>
        <w:sz w:val="27"/>
        <w:szCs w:val="28"/>
        <w:u w:val="none"/>
        <w:effect w:val="none"/>
        <w:bdr w:val="none" w:sz="0" w:space="0" w:color="auto"/>
        <w:shd w:val="clear" w:color="auto" w:fill="auto"/>
        <w:em w:val="none"/>
        <w:lang w:val="sv-SE"/>
      </w:rPr>
    </w:lvl>
    <w:lvl w:ilvl="2">
      <w:start w:val="1"/>
      <w:numFmt w:val="decimal"/>
      <w:lvlRestart w:val="1"/>
      <w:pStyle w:val="Heading3"/>
      <w:lvlText w:val="Mục %3."/>
      <w:lvlJc w:val="center"/>
      <w:pPr>
        <w:tabs>
          <w:tab w:val="num" w:pos="3420"/>
        </w:tabs>
        <w:ind w:left="3060" w:firstLine="0"/>
      </w:pPr>
      <w:rPr>
        <w:rFonts w:ascii="Times New Roman" w:hAnsi="Times New Roman" w:hint="default"/>
        <w:b/>
        <w:i w:val="0"/>
        <w:sz w:val="28"/>
        <w:szCs w:val="28"/>
      </w:rPr>
    </w:lvl>
    <w:lvl w:ilvl="3">
      <w:start w:val="1"/>
      <w:numFmt w:val="lowerLetter"/>
      <w:pStyle w:val="Heading4"/>
      <w:lvlText w:val="%4)"/>
      <w:lvlJc w:val="left"/>
      <w:pPr>
        <w:tabs>
          <w:tab w:val="num" w:pos="3780"/>
        </w:tabs>
        <w:ind w:left="3420" w:firstLine="0"/>
      </w:pPr>
      <w:rPr>
        <w:rFonts w:hint="default"/>
      </w:rPr>
    </w:lvl>
    <w:lvl w:ilvl="4">
      <w:start w:val="1"/>
      <w:numFmt w:val="decimal"/>
      <w:lvlText w:val="%5."/>
      <w:lvlJc w:val="left"/>
      <w:pPr>
        <w:tabs>
          <w:tab w:val="num" w:pos="2340"/>
        </w:tabs>
        <w:ind w:left="2340" w:hanging="360"/>
      </w:pPr>
      <w:rPr>
        <w:rFonts w:hint="default"/>
        <w:b w:val="0"/>
        <w:i w:val="0"/>
        <w:strike w:val="0"/>
      </w:rPr>
    </w:lvl>
    <w:lvl w:ilvl="5">
      <w:start w:val="1"/>
      <w:numFmt w:val="lowerLetter"/>
      <w:pStyle w:val="Heading6"/>
      <w:lvlText w:val="(%6)"/>
      <w:lvlJc w:val="left"/>
      <w:pPr>
        <w:tabs>
          <w:tab w:val="num" w:pos="5220"/>
        </w:tabs>
        <w:ind w:left="4860" w:firstLine="0"/>
      </w:pPr>
      <w:rPr>
        <w:rFonts w:hint="default"/>
      </w:rPr>
    </w:lvl>
    <w:lvl w:ilvl="6">
      <w:start w:val="1"/>
      <w:numFmt w:val="decimal"/>
      <w:pStyle w:val="Heading7"/>
      <w:lvlText w:val="%7."/>
      <w:lvlJc w:val="left"/>
      <w:pPr>
        <w:tabs>
          <w:tab w:val="num" w:pos="5940"/>
        </w:tabs>
        <w:ind w:left="5580" w:firstLine="0"/>
      </w:pPr>
      <w:rPr>
        <w:rFonts w:ascii="Times New Roman" w:eastAsia="Times New Roman" w:hAnsi="Times New Roman" w:cs="Times New Roman" w:hint="default"/>
        <w:sz w:val="28"/>
        <w:szCs w:val="28"/>
      </w:rPr>
    </w:lvl>
    <w:lvl w:ilvl="7">
      <w:start w:val="1"/>
      <w:numFmt w:val="lowerLetter"/>
      <w:pStyle w:val="Heading8"/>
      <w:lvlText w:val="(%8)"/>
      <w:lvlJc w:val="left"/>
      <w:pPr>
        <w:tabs>
          <w:tab w:val="num" w:pos="6660"/>
        </w:tabs>
        <w:ind w:left="6300" w:firstLine="0"/>
      </w:pPr>
      <w:rPr>
        <w:rFonts w:hint="default"/>
      </w:rPr>
    </w:lvl>
    <w:lvl w:ilvl="8">
      <w:start w:val="1"/>
      <w:numFmt w:val="lowerRoman"/>
      <w:pStyle w:val="Heading9"/>
      <w:lvlText w:val="(%9)"/>
      <w:lvlJc w:val="left"/>
      <w:pPr>
        <w:tabs>
          <w:tab w:val="num" w:pos="7380"/>
        </w:tabs>
        <w:ind w:left="7020" w:firstLine="0"/>
      </w:pPr>
      <w:rPr>
        <w:rFonts w:hint="default"/>
      </w:rPr>
    </w:lvl>
  </w:abstractNum>
  <w:abstractNum w:abstractNumId="9" w15:restartNumberingAfterBreak="0">
    <w:nsid w:val="3D523E7B"/>
    <w:multiLevelType w:val="hybridMultilevel"/>
    <w:tmpl w:val="39F24A08"/>
    <w:lvl w:ilvl="0" w:tplc="1DA839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463119A3"/>
    <w:multiLevelType w:val="hybridMultilevel"/>
    <w:tmpl w:val="FAEE26F4"/>
    <w:lvl w:ilvl="0" w:tplc="7C60F914">
      <w:start w:val="4"/>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4AD63F14"/>
    <w:multiLevelType w:val="hybridMultilevel"/>
    <w:tmpl w:val="B08090CA"/>
    <w:lvl w:ilvl="0" w:tplc="DB8ACE3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63DA6EB5"/>
    <w:multiLevelType w:val="hybridMultilevel"/>
    <w:tmpl w:val="724A13EA"/>
    <w:lvl w:ilvl="0" w:tplc="39304BA6">
      <w:start w:val="3"/>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8"/>
  </w:num>
  <w:num w:numId="4">
    <w:abstractNumId w:val="10"/>
  </w:num>
  <w:num w:numId="5">
    <w:abstractNumId w:val="9"/>
  </w:num>
  <w:num w:numId="6">
    <w:abstractNumId w:val="11"/>
  </w:num>
  <w:num w:numId="7">
    <w:abstractNumId w:val="8"/>
  </w:num>
  <w:num w:numId="8">
    <w:abstractNumId w:val="5"/>
  </w:num>
  <w:num w:numId="9">
    <w:abstractNumId w:val="3"/>
  </w:num>
  <w:num w:numId="10">
    <w:abstractNumId w:val="6"/>
  </w:num>
  <w:num w:numId="11">
    <w:abstractNumId w:val="7"/>
  </w:num>
  <w:num w:numId="12">
    <w:abstractNumId w:val="0"/>
  </w:num>
  <w:num w:numId="13">
    <w:abstractNumId w:val="1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40"/>
    <w:rsid w:val="00001166"/>
    <w:rsid w:val="0000195B"/>
    <w:rsid w:val="00003467"/>
    <w:rsid w:val="00012BB1"/>
    <w:rsid w:val="00013948"/>
    <w:rsid w:val="000173E9"/>
    <w:rsid w:val="00032BD6"/>
    <w:rsid w:val="00041BCD"/>
    <w:rsid w:val="00045DD9"/>
    <w:rsid w:val="00050F73"/>
    <w:rsid w:val="00051348"/>
    <w:rsid w:val="00053C05"/>
    <w:rsid w:val="00054965"/>
    <w:rsid w:val="00063D93"/>
    <w:rsid w:val="00066077"/>
    <w:rsid w:val="0007663F"/>
    <w:rsid w:val="00076FAD"/>
    <w:rsid w:val="00085DC4"/>
    <w:rsid w:val="00096B9D"/>
    <w:rsid w:val="000977D3"/>
    <w:rsid w:val="000A227A"/>
    <w:rsid w:val="000A7DB3"/>
    <w:rsid w:val="000B5388"/>
    <w:rsid w:val="000B5494"/>
    <w:rsid w:val="000B5DCB"/>
    <w:rsid w:val="000C2AA5"/>
    <w:rsid w:val="000C51A2"/>
    <w:rsid w:val="000D44BF"/>
    <w:rsid w:val="000E1574"/>
    <w:rsid w:val="000F0742"/>
    <w:rsid w:val="000F3A70"/>
    <w:rsid w:val="00104697"/>
    <w:rsid w:val="00106EA3"/>
    <w:rsid w:val="0012018E"/>
    <w:rsid w:val="00121C46"/>
    <w:rsid w:val="00123186"/>
    <w:rsid w:val="00126621"/>
    <w:rsid w:val="0013751A"/>
    <w:rsid w:val="00140034"/>
    <w:rsid w:val="0014162C"/>
    <w:rsid w:val="001452A8"/>
    <w:rsid w:val="00155ED1"/>
    <w:rsid w:val="001578AF"/>
    <w:rsid w:val="00165ED5"/>
    <w:rsid w:val="0017150A"/>
    <w:rsid w:val="00171793"/>
    <w:rsid w:val="001724D4"/>
    <w:rsid w:val="00174E13"/>
    <w:rsid w:val="00181B9F"/>
    <w:rsid w:val="001826BB"/>
    <w:rsid w:val="00191E28"/>
    <w:rsid w:val="00192221"/>
    <w:rsid w:val="001924D2"/>
    <w:rsid w:val="001932DE"/>
    <w:rsid w:val="00194082"/>
    <w:rsid w:val="00194B04"/>
    <w:rsid w:val="00197F80"/>
    <w:rsid w:val="001A51AE"/>
    <w:rsid w:val="001C0E7D"/>
    <w:rsid w:val="001C1708"/>
    <w:rsid w:val="001C25D7"/>
    <w:rsid w:val="001C4413"/>
    <w:rsid w:val="001C5B81"/>
    <w:rsid w:val="001C73ED"/>
    <w:rsid w:val="001D392A"/>
    <w:rsid w:val="002070AF"/>
    <w:rsid w:val="00213337"/>
    <w:rsid w:val="00216198"/>
    <w:rsid w:val="00224536"/>
    <w:rsid w:val="00235581"/>
    <w:rsid w:val="00242911"/>
    <w:rsid w:val="002459BD"/>
    <w:rsid w:val="0025276B"/>
    <w:rsid w:val="00255136"/>
    <w:rsid w:val="00255871"/>
    <w:rsid w:val="002652CE"/>
    <w:rsid w:val="00270275"/>
    <w:rsid w:val="00271366"/>
    <w:rsid w:val="00274E8D"/>
    <w:rsid w:val="00276665"/>
    <w:rsid w:val="00293B5C"/>
    <w:rsid w:val="0029789B"/>
    <w:rsid w:val="002A1D6B"/>
    <w:rsid w:val="002A3467"/>
    <w:rsid w:val="002A42B2"/>
    <w:rsid w:val="002A4C4E"/>
    <w:rsid w:val="002A7099"/>
    <w:rsid w:val="002A7769"/>
    <w:rsid w:val="002B6047"/>
    <w:rsid w:val="002B669A"/>
    <w:rsid w:val="002C3D04"/>
    <w:rsid w:val="002D010B"/>
    <w:rsid w:val="002D748C"/>
    <w:rsid w:val="002D7B2C"/>
    <w:rsid w:val="002E7605"/>
    <w:rsid w:val="002F1CED"/>
    <w:rsid w:val="002F3867"/>
    <w:rsid w:val="00301D06"/>
    <w:rsid w:val="00302CBE"/>
    <w:rsid w:val="003030FA"/>
    <w:rsid w:val="003067F3"/>
    <w:rsid w:val="00307612"/>
    <w:rsid w:val="00312F62"/>
    <w:rsid w:val="00313EDC"/>
    <w:rsid w:val="00326732"/>
    <w:rsid w:val="003310C9"/>
    <w:rsid w:val="003334FD"/>
    <w:rsid w:val="0035001F"/>
    <w:rsid w:val="00353578"/>
    <w:rsid w:val="00360F1C"/>
    <w:rsid w:val="00372100"/>
    <w:rsid w:val="00376C8B"/>
    <w:rsid w:val="0038517C"/>
    <w:rsid w:val="00387F3B"/>
    <w:rsid w:val="0039772E"/>
    <w:rsid w:val="003A0F69"/>
    <w:rsid w:val="003A2DFD"/>
    <w:rsid w:val="003B04AD"/>
    <w:rsid w:val="003B3670"/>
    <w:rsid w:val="003C0F69"/>
    <w:rsid w:val="003C1630"/>
    <w:rsid w:val="003C4F3A"/>
    <w:rsid w:val="003D4AD2"/>
    <w:rsid w:val="003D5021"/>
    <w:rsid w:val="003E21D5"/>
    <w:rsid w:val="003E44B0"/>
    <w:rsid w:val="003F2658"/>
    <w:rsid w:val="003F5458"/>
    <w:rsid w:val="004023AC"/>
    <w:rsid w:val="00411884"/>
    <w:rsid w:val="00417561"/>
    <w:rsid w:val="00430DB3"/>
    <w:rsid w:val="00465E52"/>
    <w:rsid w:val="00467554"/>
    <w:rsid w:val="00482BE8"/>
    <w:rsid w:val="00487620"/>
    <w:rsid w:val="00491AC9"/>
    <w:rsid w:val="004A494D"/>
    <w:rsid w:val="004B115B"/>
    <w:rsid w:val="004B4A51"/>
    <w:rsid w:val="004E3763"/>
    <w:rsid w:val="005011FF"/>
    <w:rsid w:val="00502F5E"/>
    <w:rsid w:val="00503271"/>
    <w:rsid w:val="00506D21"/>
    <w:rsid w:val="005075D1"/>
    <w:rsid w:val="00515442"/>
    <w:rsid w:val="00517CD7"/>
    <w:rsid w:val="005220DF"/>
    <w:rsid w:val="0052741F"/>
    <w:rsid w:val="005326DB"/>
    <w:rsid w:val="00537ACD"/>
    <w:rsid w:val="00540DCE"/>
    <w:rsid w:val="00541C27"/>
    <w:rsid w:val="00556803"/>
    <w:rsid w:val="00561AA4"/>
    <w:rsid w:val="0057422F"/>
    <w:rsid w:val="005778AC"/>
    <w:rsid w:val="005811D7"/>
    <w:rsid w:val="005A28FA"/>
    <w:rsid w:val="005A3CDC"/>
    <w:rsid w:val="005A7A0B"/>
    <w:rsid w:val="005B0343"/>
    <w:rsid w:val="005B246A"/>
    <w:rsid w:val="005B7112"/>
    <w:rsid w:val="005C6623"/>
    <w:rsid w:val="005D65F8"/>
    <w:rsid w:val="005D756C"/>
    <w:rsid w:val="005E0FB2"/>
    <w:rsid w:val="005E151C"/>
    <w:rsid w:val="005E5F1A"/>
    <w:rsid w:val="005F0F06"/>
    <w:rsid w:val="005F4442"/>
    <w:rsid w:val="005F4C0B"/>
    <w:rsid w:val="00602140"/>
    <w:rsid w:val="006066DD"/>
    <w:rsid w:val="00613581"/>
    <w:rsid w:val="00625AC8"/>
    <w:rsid w:val="00626930"/>
    <w:rsid w:val="00633E06"/>
    <w:rsid w:val="00637C0F"/>
    <w:rsid w:val="00644387"/>
    <w:rsid w:val="0065360E"/>
    <w:rsid w:val="006536B0"/>
    <w:rsid w:val="00655979"/>
    <w:rsid w:val="006601EB"/>
    <w:rsid w:val="0066761F"/>
    <w:rsid w:val="006727C9"/>
    <w:rsid w:val="006775EE"/>
    <w:rsid w:val="006854E5"/>
    <w:rsid w:val="006906E1"/>
    <w:rsid w:val="0069082C"/>
    <w:rsid w:val="006912FD"/>
    <w:rsid w:val="006A0BAC"/>
    <w:rsid w:val="006A1D37"/>
    <w:rsid w:val="006A28CB"/>
    <w:rsid w:val="006A28F6"/>
    <w:rsid w:val="006A4517"/>
    <w:rsid w:val="006A57DC"/>
    <w:rsid w:val="006A698B"/>
    <w:rsid w:val="006B255A"/>
    <w:rsid w:val="006B6CAD"/>
    <w:rsid w:val="006B738E"/>
    <w:rsid w:val="006C3A15"/>
    <w:rsid w:val="006C462B"/>
    <w:rsid w:val="006C70EC"/>
    <w:rsid w:val="006D0B39"/>
    <w:rsid w:val="006D1F9C"/>
    <w:rsid w:val="006D7308"/>
    <w:rsid w:val="006E12EC"/>
    <w:rsid w:val="006E2512"/>
    <w:rsid w:val="006F5BE8"/>
    <w:rsid w:val="0070069E"/>
    <w:rsid w:val="00702A8B"/>
    <w:rsid w:val="007048E6"/>
    <w:rsid w:val="0070551F"/>
    <w:rsid w:val="007104FA"/>
    <w:rsid w:val="00727A07"/>
    <w:rsid w:val="00731679"/>
    <w:rsid w:val="00731A07"/>
    <w:rsid w:val="00732833"/>
    <w:rsid w:val="00736BB0"/>
    <w:rsid w:val="007411FA"/>
    <w:rsid w:val="00747C10"/>
    <w:rsid w:val="007516D0"/>
    <w:rsid w:val="007526A4"/>
    <w:rsid w:val="00767DD9"/>
    <w:rsid w:val="0077154E"/>
    <w:rsid w:val="007744F9"/>
    <w:rsid w:val="00774867"/>
    <w:rsid w:val="00781497"/>
    <w:rsid w:val="0079762B"/>
    <w:rsid w:val="007A1F4A"/>
    <w:rsid w:val="007A65B3"/>
    <w:rsid w:val="007B1997"/>
    <w:rsid w:val="007C10FC"/>
    <w:rsid w:val="007C6A8D"/>
    <w:rsid w:val="007D1979"/>
    <w:rsid w:val="007D3504"/>
    <w:rsid w:val="007E3AFA"/>
    <w:rsid w:val="007E6572"/>
    <w:rsid w:val="007F3566"/>
    <w:rsid w:val="007F639D"/>
    <w:rsid w:val="0081450E"/>
    <w:rsid w:val="00814B79"/>
    <w:rsid w:val="00816895"/>
    <w:rsid w:val="00821CD4"/>
    <w:rsid w:val="008325B9"/>
    <w:rsid w:val="00833EDD"/>
    <w:rsid w:val="00836E00"/>
    <w:rsid w:val="00840C05"/>
    <w:rsid w:val="008429ED"/>
    <w:rsid w:val="00843B76"/>
    <w:rsid w:val="00850723"/>
    <w:rsid w:val="00852340"/>
    <w:rsid w:val="00861E70"/>
    <w:rsid w:val="00865755"/>
    <w:rsid w:val="00873FF0"/>
    <w:rsid w:val="00880CDB"/>
    <w:rsid w:val="008820BA"/>
    <w:rsid w:val="00883436"/>
    <w:rsid w:val="008936A2"/>
    <w:rsid w:val="008A40E0"/>
    <w:rsid w:val="008A4106"/>
    <w:rsid w:val="008A4567"/>
    <w:rsid w:val="008A78B7"/>
    <w:rsid w:val="008B1657"/>
    <w:rsid w:val="008B79C8"/>
    <w:rsid w:val="008D307C"/>
    <w:rsid w:val="008D79AA"/>
    <w:rsid w:val="008D7DE7"/>
    <w:rsid w:val="008E1A16"/>
    <w:rsid w:val="008E4409"/>
    <w:rsid w:val="008F2146"/>
    <w:rsid w:val="008F2A84"/>
    <w:rsid w:val="009012EE"/>
    <w:rsid w:val="00902022"/>
    <w:rsid w:val="009035DF"/>
    <w:rsid w:val="00903A2D"/>
    <w:rsid w:val="00904494"/>
    <w:rsid w:val="00905B4A"/>
    <w:rsid w:val="00912B99"/>
    <w:rsid w:val="0091793E"/>
    <w:rsid w:val="00924390"/>
    <w:rsid w:val="00934E3B"/>
    <w:rsid w:val="009363C7"/>
    <w:rsid w:val="0094413F"/>
    <w:rsid w:val="0094609C"/>
    <w:rsid w:val="00946816"/>
    <w:rsid w:val="00946FAF"/>
    <w:rsid w:val="009519A5"/>
    <w:rsid w:val="00953DE9"/>
    <w:rsid w:val="0095444B"/>
    <w:rsid w:val="0095539E"/>
    <w:rsid w:val="00963A2E"/>
    <w:rsid w:val="00964BF6"/>
    <w:rsid w:val="00967BC8"/>
    <w:rsid w:val="00971B53"/>
    <w:rsid w:val="00973837"/>
    <w:rsid w:val="0097714F"/>
    <w:rsid w:val="00986FFD"/>
    <w:rsid w:val="009878BD"/>
    <w:rsid w:val="009A04D9"/>
    <w:rsid w:val="009A0926"/>
    <w:rsid w:val="009A4CE5"/>
    <w:rsid w:val="009B5C0C"/>
    <w:rsid w:val="009B6F4A"/>
    <w:rsid w:val="009C1AF6"/>
    <w:rsid w:val="009C38B9"/>
    <w:rsid w:val="009C5481"/>
    <w:rsid w:val="009C708D"/>
    <w:rsid w:val="009D1DA6"/>
    <w:rsid w:val="009D2F46"/>
    <w:rsid w:val="009D5475"/>
    <w:rsid w:val="009D5557"/>
    <w:rsid w:val="009D56A7"/>
    <w:rsid w:val="009D6314"/>
    <w:rsid w:val="009E1C2C"/>
    <w:rsid w:val="009E3305"/>
    <w:rsid w:val="009E44AF"/>
    <w:rsid w:val="009E4520"/>
    <w:rsid w:val="009E7676"/>
    <w:rsid w:val="009F0BC1"/>
    <w:rsid w:val="009F45EC"/>
    <w:rsid w:val="009F7234"/>
    <w:rsid w:val="00A07106"/>
    <w:rsid w:val="00A22380"/>
    <w:rsid w:val="00A24012"/>
    <w:rsid w:val="00A27AB3"/>
    <w:rsid w:val="00A304FC"/>
    <w:rsid w:val="00A346A3"/>
    <w:rsid w:val="00A3502E"/>
    <w:rsid w:val="00A3748C"/>
    <w:rsid w:val="00A42BF4"/>
    <w:rsid w:val="00A433CA"/>
    <w:rsid w:val="00A50C1A"/>
    <w:rsid w:val="00A53D30"/>
    <w:rsid w:val="00A54004"/>
    <w:rsid w:val="00A57D2E"/>
    <w:rsid w:val="00A60C34"/>
    <w:rsid w:val="00A61741"/>
    <w:rsid w:val="00A63F78"/>
    <w:rsid w:val="00A70348"/>
    <w:rsid w:val="00A7261B"/>
    <w:rsid w:val="00A773D2"/>
    <w:rsid w:val="00A774ED"/>
    <w:rsid w:val="00A77CE7"/>
    <w:rsid w:val="00A80150"/>
    <w:rsid w:val="00A90486"/>
    <w:rsid w:val="00A948FF"/>
    <w:rsid w:val="00AC1B6C"/>
    <w:rsid w:val="00AC2A45"/>
    <w:rsid w:val="00AC7B2C"/>
    <w:rsid w:val="00AD010B"/>
    <w:rsid w:val="00AD1568"/>
    <w:rsid w:val="00AD6D3F"/>
    <w:rsid w:val="00AE07EE"/>
    <w:rsid w:val="00AE1831"/>
    <w:rsid w:val="00AE27E8"/>
    <w:rsid w:val="00AE3CB0"/>
    <w:rsid w:val="00B0766D"/>
    <w:rsid w:val="00B10FD7"/>
    <w:rsid w:val="00B21517"/>
    <w:rsid w:val="00B31B69"/>
    <w:rsid w:val="00B33B20"/>
    <w:rsid w:val="00B415F8"/>
    <w:rsid w:val="00B5475F"/>
    <w:rsid w:val="00B60F28"/>
    <w:rsid w:val="00B618F6"/>
    <w:rsid w:val="00B71678"/>
    <w:rsid w:val="00B73A0C"/>
    <w:rsid w:val="00B809D3"/>
    <w:rsid w:val="00B8607E"/>
    <w:rsid w:val="00BA16C7"/>
    <w:rsid w:val="00BA52F9"/>
    <w:rsid w:val="00BA54C1"/>
    <w:rsid w:val="00BA57B7"/>
    <w:rsid w:val="00BB58B3"/>
    <w:rsid w:val="00BD05CD"/>
    <w:rsid w:val="00BE32DA"/>
    <w:rsid w:val="00BE4815"/>
    <w:rsid w:val="00BE4BE8"/>
    <w:rsid w:val="00BE5011"/>
    <w:rsid w:val="00BF0538"/>
    <w:rsid w:val="00BF0C37"/>
    <w:rsid w:val="00BF628B"/>
    <w:rsid w:val="00C0514E"/>
    <w:rsid w:val="00C05C5A"/>
    <w:rsid w:val="00C131C3"/>
    <w:rsid w:val="00C132AB"/>
    <w:rsid w:val="00C15449"/>
    <w:rsid w:val="00C159B1"/>
    <w:rsid w:val="00C16F8B"/>
    <w:rsid w:val="00C229D3"/>
    <w:rsid w:val="00C3377E"/>
    <w:rsid w:val="00C3681C"/>
    <w:rsid w:val="00C41F0C"/>
    <w:rsid w:val="00C44A7A"/>
    <w:rsid w:val="00C45787"/>
    <w:rsid w:val="00C6441B"/>
    <w:rsid w:val="00C645F6"/>
    <w:rsid w:val="00C74E1F"/>
    <w:rsid w:val="00C91611"/>
    <w:rsid w:val="00CA183F"/>
    <w:rsid w:val="00CA3161"/>
    <w:rsid w:val="00CA4C53"/>
    <w:rsid w:val="00CA6B01"/>
    <w:rsid w:val="00CB49B4"/>
    <w:rsid w:val="00CB6D75"/>
    <w:rsid w:val="00CC0EAA"/>
    <w:rsid w:val="00CC298B"/>
    <w:rsid w:val="00CD08B4"/>
    <w:rsid w:val="00CD1F89"/>
    <w:rsid w:val="00CE0BE4"/>
    <w:rsid w:val="00CE3039"/>
    <w:rsid w:val="00CE5235"/>
    <w:rsid w:val="00CE605C"/>
    <w:rsid w:val="00CE6EB7"/>
    <w:rsid w:val="00CF3DC6"/>
    <w:rsid w:val="00CF6D65"/>
    <w:rsid w:val="00CF7D5C"/>
    <w:rsid w:val="00D050BC"/>
    <w:rsid w:val="00D15585"/>
    <w:rsid w:val="00D31B61"/>
    <w:rsid w:val="00D51ADE"/>
    <w:rsid w:val="00D545C3"/>
    <w:rsid w:val="00D62249"/>
    <w:rsid w:val="00D6494A"/>
    <w:rsid w:val="00D709EA"/>
    <w:rsid w:val="00D71199"/>
    <w:rsid w:val="00D713D9"/>
    <w:rsid w:val="00D77543"/>
    <w:rsid w:val="00D84463"/>
    <w:rsid w:val="00D93362"/>
    <w:rsid w:val="00D93C05"/>
    <w:rsid w:val="00D95521"/>
    <w:rsid w:val="00D967B8"/>
    <w:rsid w:val="00DA239C"/>
    <w:rsid w:val="00DA3B70"/>
    <w:rsid w:val="00DA490C"/>
    <w:rsid w:val="00DB1344"/>
    <w:rsid w:val="00DB24E9"/>
    <w:rsid w:val="00DB5229"/>
    <w:rsid w:val="00DB750C"/>
    <w:rsid w:val="00DC671B"/>
    <w:rsid w:val="00DC7F44"/>
    <w:rsid w:val="00DD2541"/>
    <w:rsid w:val="00DD4D97"/>
    <w:rsid w:val="00DD5B72"/>
    <w:rsid w:val="00DE4E71"/>
    <w:rsid w:val="00DE71D1"/>
    <w:rsid w:val="00E014FC"/>
    <w:rsid w:val="00E03F0E"/>
    <w:rsid w:val="00E06502"/>
    <w:rsid w:val="00E1075D"/>
    <w:rsid w:val="00E1203F"/>
    <w:rsid w:val="00E169B3"/>
    <w:rsid w:val="00E21DC9"/>
    <w:rsid w:val="00E23130"/>
    <w:rsid w:val="00E26431"/>
    <w:rsid w:val="00E34451"/>
    <w:rsid w:val="00E4129C"/>
    <w:rsid w:val="00E42BE9"/>
    <w:rsid w:val="00E43AB4"/>
    <w:rsid w:val="00E617C3"/>
    <w:rsid w:val="00E64C80"/>
    <w:rsid w:val="00E71A2F"/>
    <w:rsid w:val="00E71F55"/>
    <w:rsid w:val="00E812BF"/>
    <w:rsid w:val="00E82C43"/>
    <w:rsid w:val="00E95A57"/>
    <w:rsid w:val="00E962AA"/>
    <w:rsid w:val="00EA394D"/>
    <w:rsid w:val="00EA6900"/>
    <w:rsid w:val="00EB4C14"/>
    <w:rsid w:val="00EC0818"/>
    <w:rsid w:val="00EC16F0"/>
    <w:rsid w:val="00EC79AE"/>
    <w:rsid w:val="00ED0DD7"/>
    <w:rsid w:val="00EE2C6E"/>
    <w:rsid w:val="00EE2EDA"/>
    <w:rsid w:val="00EE5C4B"/>
    <w:rsid w:val="00F00E95"/>
    <w:rsid w:val="00F11A36"/>
    <w:rsid w:val="00F14F56"/>
    <w:rsid w:val="00F215D1"/>
    <w:rsid w:val="00F24F1C"/>
    <w:rsid w:val="00F35A59"/>
    <w:rsid w:val="00F47C2A"/>
    <w:rsid w:val="00F50018"/>
    <w:rsid w:val="00F555C7"/>
    <w:rsid w:val="00F57244"/>
    <w:rsid w:val="00F60F72"/>
    <w:rsid w:val="00F63F8C"/>
    <w:rsid w:val="00F65FC8"/>
    <w:rsid w:val="00F723FF"/>
    <w:rsid w:val="00F74AAD"/>
    <w:rsid w:val="00F778FE"/>
    <w:rsid w:val="00F9014C"/>
    <w:rsid w:val="00F96D39"/>
    <w:rsid w:val="00FA5B0F"/>
    <w:rsid w:val="00FA62BA"/>
    <w:rsid w:val="00FB154D"/>
    <w:rsid w:val="00FB360A"/>
    <w:rsid w:val="00FC1963"/>
    <w:rsid w:val="00FD2CBE"/>
    <w:rsid w:val="00FD4246"/>
    <w:rsid w:val="00FE6DE7"/>
    <w:rsid w:val="00FE6FEE"/>
    <w:rsid w:val="00FE772B"/>
    <w:rsid w:val="00FF2FE7"/>
    <w:rsid w:val="00FF3DB6"/>
    <w:rsid w:val="00FF4956"/>
    <w:rsid w:val="00FF573D"/>
    <w:rsid w:val="00FF591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03E71-B69C-4118-8A7D-3F11E2A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340"/>
    <w:rPr>
      <w:rFonts w:ascii="Times New Roman" w:eastAsia="Arial" w:hAnsi="Times New Roman" w:cs="Times New Roman"/>
      <w:sz w:val="28"/>
    </w:rPr>
  </w:style>
  <w:style w:type="paragraph" w:styleId="Heading2">
    <w:name w:val="heading 2"/>
    <w:basedOn w:val="Normal"/>
    <w:next w:val="Normal"/>
    <w:link w:val="Heading2Char"/>
    <w:qFormat/>
    <w:rsid w:val="00880CDB"/>
    <w:pPr>
      <w:keepNext/>
      <w:numPr>
        <w:ilvl w:val="1"/>
        <w:numId w:val="2"/>
      </w:numPr>
      <w:spacing w:before="240" w:after="60" w:line="240" w:lineRule="auto"/>
      <w:outlineLvl w:val="1"/>
    </w:pPr>
    <w:rPr>
      <w:rFonts w:ascii="Arial" w:eastAsia="Times New Roman" w:hAnsi="Arial" w:cs="Arial"/>
      <w:b/>
      <w:bCs/>
      <w:i/>
      <w:iCs/>
      <w:szCs w:val="28"/>
      <w:lang w:val="en-US"/>
    </w:rPr>
  </w:style>
  <w:style w:type="paragraph" w:styleId="Heading3">
    <w:name w:val="heading 3"/>
    <w:basedOn w:val="Normal"/>
    <w:next w:val="Normal"/>
    <w:link w:val="Heading3Char"/>
    <w:qFormat/>
    <w:rsid w:val="00880CDB"/>
    <w:pPr>
      <w:keepNext/>
      <w:numPr>
        <w:ilvl w:val="2"/>
        <w:numId w:val="2"/>
      </w:numPr>
      <w:spacing w:before="240" w:after="60" w:line="240" w:lineRule="auto"/>
      <w:jc w:val="center"/>
      <w:outlineLvl w:val="2"/>
    </w:pPr>
    <w:rPr>
      <w:rFonts w:eastAsia="Times New Roman"/>
      <w:b/>
      <w:bCs/>
      <w:szCs w:val="26"/>
      <w:lang w:val="en-US"/>
    </w:rPr>
  </w:style>
  <w:style w:type="paragraph" w:styleId="Heading4">
    <w:name w:val="heading 4"/>
    <w:basedOn w:val="Normal"/>
    <w:next w:val="Normal"/>
    <w:link w:val="Heading4Char"/>
    <w:qFormat/>
    <w:rsid w:val="00880CDB"/>
    <w:pPr>
      <w:keepNext/>
      <w:numPr>
        <w:ilvl w:val="3"/>
        <w:numId w:val="2"/>
      </w:numPr>
      <w:spacing w:before="240" w:after="60" w:line="240" w:lineRule="auto"/>
      <w:outlineLvl w:val="3"/>
    </w:pPr>
    <w:rPr>
      <w:rFonts w:eastAsia="Times New Roman"/>
      <w:b/>
      <w:bCs/>
      <w:szCs w:val="28"/>
      <w:lang w:val="en-US"/>
    </w:rPr>
  </w:style>
  <w:style w:type="paragraph" w:styleId="Heading6">
    <w:name w:val="heading 6"/>
    <w:basedOn w:val="Normal"/>
    <w:next w:val="Normal"/>
    <w:link w:val="Heading6Char"/>
    <w:qFormat/>
    <w:rsid w:val="00880CDB"/>
    <w:pPr>
      <w:numPr>
        <w:ilvl w:val="5"/>
        <w:numId w:val="2"/>
      </w:numPr>
      <w:spacing w:before="240" w:after="60" w:line="240" w:lineRule="auto"/>
      <w:outlineLvl w:val="5"/>
    </w:pPr>
    <w:rPr>
      <w:rFonts w:eastAsia="Times New Roman"/>
      <w:b/>
      <w:bCs/>
      <w:sz w:val="22"/>
      <w:lang w:val="en-US"/>
    </w:rPr>
  </w:style>
  <w:style w:type="paragraph" w:styleId="Heading7">
    <w:name w:val="heading 7"/>
    <w:aliases w:val=" Char"/>
    <w:basedOn w:val="Normal"/>
    <w:next w:val="Normal"/>
    <w:link w:val="Heading7Char"/>
    <w:qFormat/>
    <w:rsid w:val="00880CDB"/>
    <w:pPr>
      <w:numPr>
        <w:ilvl w:val="6"/>
        <w:numId w:val="2"/>
      </w:numPr>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880CDB"/>
    <w:pPr>
      <w:numPr>
        <w:ilvl w:val="7"/>
        <w:numId w:val="2"/>
      </w:numPr>
      <w:spacing w:before="240" w:after="60" w:line="240" w:lineRule="auto"/>
      <w:outlineLvl w:val="7"/>
    </w:pPr>
    <w:rPr>
      <w:rFonts w:eastAsia="Times New Roman"/>
      <w:i/>
      <w:iCs/>
      <w:sz w:val="24"/>
      <w:szCs w:val="24"/>
      <w:lang w:val="en-US"/>
    </w:rPr>
  </w:style>
  <w:style w:type="paragraph" w:styleId="Heading9">
    <w:name w:val="heading 9"/>
    <w:basedOn w:val="Normal"/>
    <w:next w:val="Normal"/>
    <w:link w:val="Heading9Char"/>
    <w:qFormat/>
    <w:rsid w:val="00880CDB"/>
    <w:pPr>
      <w:numPr>
        <w:ilvl w:val="8"/>
        <w:numId w:val="2"/>
      </w:numPr>
      <w:spacing w:before="240" w:after="60" w:line="240" w:lineRule="auto"/>
      <w:outlineLvl w:val="8"/>
    </w:pPr>
    <w:rPr>
      <w:rFonts w:ascii="Arial" w:eastAsia="Times New Roman"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852340"/>
    <w:pPr>
      <w:spacing w:after="0" w:line="240" w:lineRule="auto"/>
    </w:pPr>
    <w:rPr>
      <w:rFonts w:eastAsia="Times New Roman"/>
      <w:sz w:val="20"/>
      <w:szCs w:val="20"/>
      <w:lang w:val="en-US"/>
    </w:rPr>
  </w:style>
  <w:style w:type="paragraph" w:styleId="ListParagraph">
    <w:name w:val="List Paragraph"/>
    <w:aliases w:val="bullet 1,bullet,List Paragraph1,List Paragraph11,List Paragraph12,List Paragraph2,Thang2,Bullet 1,bullet 2,List Paragraph111,Dot 1,Level 2,VNA - List Paragraph,1.,Table Sequence,Colorful List - Accent 11,list 123,Lít bullet 2,H1,BẢNG,Norm"/>
    <w:basedOn w:val="Normal"/>
    <w:link w:val="ListParagraphChar"/>
    <w:uiPriority w:val="34"/>
    <w:qFormat/>
    <w:rsid w:val="00852340"/>
    <w:pPr>
      <w:spacing w:after="0" w:line="240" w:lineRule="auto"/>
      <w:ind w:left="720"/>
      <w:contextualSpacing/>
    </w:pPr>
    <w:rPr>
      <w:rFonts w:eastAsia="Times New Roman"/>
      <w:sz w:val="24"/>
      <w:szCs w:val="24"/>
      <w:lang w:val="en-US"/>
    </w:rPr>
  </w:style>
  <w:style w:type="paragraph" w:styleId="Footer">
    <w:name w:val="footer"/>
    <w:basedOn w:val="Normal"/>
    <w:link w:val="FooterChar"/>
    <w:uiPriority w:val="99"/>
    <w:rsid w:val="00852340"/>
    <w:pPr>
      <w:tabs>
        <w:tab w:val="center" w:pos="4320"/>
        <w:tab w:val="right" w:pos="8640"/>
      </w:tabs>
    </w:pPr>
  </w:style>
  <w:style w:type="character" w:customStyle="1" w:styleId="FooterChar">
    <w:name w:val="Footer Char"/>
    <w:basedOn w:val="DefaultParagraphFont"/>
    <w:link w:val="Footer"/>
    <w:uiPriority w:val="99"/>
    <w:rsid w:val="00852340"/>
    <w:rPr>
      <w:rFonts w:ascii="Times New Roman" w:eastAsia="Arial" w:hAnsi="Times New Roman" w:cs="Times New Roman"/>
      <w:sz w:val="28"/>
    </w:rPr>
  </w:style>
  <w:style w:type="character" w:styleId="PageNumber">
    <w:name w:val="page number"/>
    <w:basedOn w:val="DefaultParagraphFont"/>
    <w:rsid w:val="00852340"/>
  </w:style>
  <w:style w:type="character" w:customStyle="1" w:styleId="Heading2Char">
    <w:name w:val="Heading 2 Char"/>
    <w:basedOn w:val="DefaultParagraphFont"/>
    <w:link w:val="Heading2"/>
    <w:rsid w:val="00880CD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880CDB"/>
    <w:rPr>
      <w:rFonts w:ascii="Times New Roman" w:eastAsia="Times New Roman" w:hAnsi="Times New Roman" w:cs="Times New Roman"/>
      <w:b/>
      <w:bCs/>
      <w:sz w:val="28"/>
      <w:szCs w:val="26"/>
      <w:lang w:val="en-US"/>
    </w:rPr>
  </w:style>
  <w:style w:type="character" w:customStyle="1" w:styleId="Heading4Char">
    <w:name w:val="Heading 4 Char"/>
    <w:basedOn w:val="DefaultParagraphFont"/>
    <w:link w:val="Heading4"/>
    <w:rsid w:val="00880CDB"/>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rsid w:val="00880CDB"/>
    <w:rPr>
      <w:rFonts w:ascii="Times New Roman" w:eastAsia="Times New Roman" w:hAnsi="Times New Roman" w:cs="Times New Roman"/>
      <w:b/>
      <w:bCs/>
      <w:lang w:val="en-US"/>
    </w:rPr>
  </w:style>
  <w:style w:type="character" w:customStyle="1" w:styleId="Heading7Char">
    <w:name w:val="Heading 7 Char"/>
    <w:aliases w:val=" Char Char"/>
    <w:basedOn w:val="DefaultParagraphFont"/>
    <w:link w:val="Heading7"/>
    <w:rsid w:val="00880CD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880CD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880CDB"/>
    <w:rPr>
      <w:rFonts w:ascii="Arial" w:eastAsia="Times New Roman" w:hAnsi="Arial" w:cs="Arial"/>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C74E1F"/>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C74E1F"/>
    <w:rPr>
      <w:rFonts w:ascii="Times New Roman" w:eastAsia="Arial" w:hAnsi="Times New Roman" w:cs="Times New Roman"/>
      <w:sz w:val="20"/>
      <w:szCs w:val="20"/>
    </w:rPr>
  </w:style>
  <w:style w:type="character" w:styleId="FootnoteReference">
    <w:name w:val="footnote reference"/>
    <w:aliases w:val="Footnote,Footnote text,ftref,BearingPoint,16 Point,Superscript 6 Point,fr,Footnote Text1,f,(NECG) Footnote Reference,BVI fnr,footnote ref,Ref,de nota al pie,Footnote + Arial,10 pt,Black,Footnote Text11,10 p,SUPERS,f1, BVI fnr,Re,10,R"/>
    <w:basedOn w:val="DefaultParagraphFont"/>
    <w:link w:val="CharChar1CharCharCharChar1CharCharCharCharCharCharCharChar"/>
    <w:uiPriority w:val="99"/>
    <w:unhideWhenUsed/>
    <w:qFormat/>
    <w:rsid w:val="00C74E1F"/>
    <w:rPr>
      <w:vertAlign w:val="superscript"/>
    </w:rPr>
  </w:style>
  <w:style w:type="paragraph" w:styleId="BalloonText">
    <w:name w:val="Balloon Text"/>
    <w:basedOn w:val="Normal"/>
    <w:link w:val="BalloonTextChar"/>
    <w:uiPriority w:val="99"/>
    <w:semiHidden/>
    <w:unhideWhenUsed/>
    <w:rsid w:val="0030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12"/>
    <w:rPr>
      <w:rFonts w:ascii="Tahoma" w:eastAsia="Arial" w:hAnsi="Tahoma" w:cs="Tahoma"/>
      <w:sz w:val="16"/>
      <w:szCs w:val="16"/>
    </w:rPr>
  </w:style>
  <w:style w:type="paragraph" w:styleId="Header">
    <w:name w:val="header"/>
    <w:basedOn w:val="Normal"/>
    <w:link w:val="HeaderChar"/>
    <w:uiPriority w:val="99"/>
    <w:unhideWhenUsed/>
    <w:rsid w:val="00967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BC8"/>
    <w:rPr>
      <w:rFonts w:ascii="Times New Roman" w:eastAsia="Arial" w:hAnsi="Times New Roman" w:cs="Times New Roman"/>
      <w:sz w:val="28"/>
    </w:rPr>
  </w:style>
  <w:style w:type="character" w:customStyle="1" w:styleId="ListParagraphChar">
    <w:name w:val="List Paragraph Char"/>
    <w:aliases w:val="bullet 1 Char,bullet Char,List Paragraph1 Char,List Paragraph11 Char,List Paragraph12 Char,List Paragraph2 Char,Thang2 Char,Bullet 1 Char,bullet 2 Char,List Paragraph111 Char,Dot 1 Char,Level 2 Char,VNA - List Paragraph Char,1. Char"/>
    <w:link w:val="ListParagraph"/>
    <w:uiPriority w:val="34"/>
    <w:locked/>
    <w:rsid w:val="00DD4D9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51ADE"/>
    <w:pPr>
      <w:spacing w:before="100" w:beforeAutospacing="1" w:after="100" w:afterAutospacing="1" w:line="240" w:lineRule="auto"/>
    </w:pPr>
    <w:rPr>
      <w:rFonts w:eastAsia="Times New Roman"/>
      <w:sz w:val="24"/>
      <w:szCs w:val="24"/>
      <w:lang w:eastAsia="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F47C2A"/>
    <w:pPr>
      <w:spacing w:after="160" w:line="240" w:lineRule="exact"/>
    </w:pPr>
    <w:rPr>
      <w:rFonts w:asciiTheme="minorHAnsi" w:eastAsiaTheme="minorHAnsi" w:hAnsiTheme="minorHAnsi" w:cstheme="minorBid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1343">
      <w:bodyDiv w:val="1"/>
      <w:marLeft w:val="0"/>
      <w:marRight w:val="0"/>
      <w:marTop w:val="0"/>
      <w:marBottom w:val="0"/>
      <w:divBdr>
        <w:top w:val="none" w:sz="0" w:space="0" w:color="auto"/>
        <w:left w:val="none" w:sz="0" w:space="0" w:color="auto"/>
        <w:bottom w:val="none" w:sz="0" w:space="0" w:color="auto"/>
        <w:right w:val="none" w:sz="0" w:space="0" w:color="auto"/>
      </w:divBdr>
    </w:div>
    <w:div w:id="1048725273">
      <w:bodyDiv w:val="1"/>
      <w:marLeft w:val="0"/>
      <w:marRight w:val="0"/>
      <w:marTop w:val="0"/>
      <w:marBottom w:val="0"/>
      <w:divBdr>
        <w:top w:val="none" w:sz="0" w:space="0" w:color="auto"/>
        <w:left w:val="none" w:sz="0" w:space="0" w:color="auto"/>
        <w:bottom w:val="none" w:sz="0" w:space="0" w:color="auto"/>
        <w:right w:val="none" w:sz="0" w:space="0" w:color="auto"/>
      </w:divBdr>
      <w:divsChild>
        <w:div w:id="213808286">
          <w:marLeft w:val="0"/>
          <w:marRight w:val="0"/>
          <w:marTop w:val="0"/>
          <w:marBottom w:val="0"/>
          <w:divBdr>
            <w:top w:val="none" w:sz="0" w:space="0" w:color="auto"/>
            <w:left w:val="none" w:sz="0" w:space="0" w:color="auto"/>
            <w:bottom w:val="none" w:sz="0" w:space="0" w:color="auto"/>
            <w:right w:val="none" w:sz="0" w:space="0" w:color="auto"/>
          </w:divBdr>
        </w:div>
        <w:div w:id="375014087">
          <w:marLeft w:val="0"/>
          <w:marRight w:val="0"/>
          <w:marTop w:val="0"/>
          <w:marBottom w:val="0"/>
          <w:divBdr>
            <w:top w:val="none" w:sz="0" w:space="0" w:color="auto"/>
            <w:left w:val="none" w:sz="0" w:space="0" w:color="auto"/>
            <w:bottom w:val="none" w:sz="0" w:space="0" w:color="auto"/>
            <w:right w:val="none" w:sz="0" w:space="0" w:color="auto"/>
          </w:divBdr>
        </w:div>
        <w:div w:id="1060598479">
          <w:marLeft w:val="0"/>
          <w:marRight w:val="0"/>
          <w:marTop w:val="0"/>
          <w:marBottom w:val="0"/>
          <w:divBdr>
            <w:top w:val="none" w:sz="0" w:space="0" w:color="auto"/>
            <w:left w:val="none" w:sz="0" w:space="0" w:color="auto"/>
            <w:bottom w:val="none" w:sz="0" w:space="0" w:color="auto"/>
            <w:right w:val="none" w:sz="0" w:space="0" w:color="auto"/>
          </w:divBdr>
        </w:div>
        <w:div w:id="1102215555">
          <w:marLeft w:val="0"/>
          <w:marRight w:val="0"/>
          <w:marTop w:val="0"/>
          <w:marBottom w:val="0"/>
          <w:divBdr>
            <w:top w:val="none" w:sz="0" w:space="0" w:color="auto"/>
            <w:left w:val="none" w:sz="0" w:space="0" w:color="auto"/>
            <w:bottom w:val="none" w:sz="0" w:space="0" w:color="auto"/>
            <w:right w:val="none" w:sz="0" w:space="0" w:color="auto"/>
          </w:divBdr>
        </w:div>
        <w:div w:id="1641963085">
          <w:marLeft w:val="0"/>
          <w:marRight w:val="0"/>
          <w:marTop w:val="0"/>
          <w:marBottom w:val="0"/>
          <w:divBdr>
            <w:top w:val="none" w:sz="0" w:space="0" w:color="auto"/>
            <w:left w:val="none" w:sz="0" w:space="0" w:color="auto"/>
            <w:bottom w:val="none" w:sz="0" w:space="0" w:color="auto"/>
            <w:right w:val="none" w:sz="0" w:space="0" w:color="auto"/>
          </w:divBdr>
        </w:div>
        <w:div w:id="188278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1715-40D5-4FB7-B987-341D51FCF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A540B0-2565-420E-9949-302E4DDC3B2E}">
  <ds:schemaRefs>
    <ds:schemaRef ds:uri="http://schemas.microsoft.com/sharepoint/v3/contenttype/forms"/>
  </ds:schemaRefs>
</ds:datastoreItem>
</file>

<file path=customXml/itemProps3.xml><?xml version="1.0" encoding="utf-8"?>
<ds:datastoreItem xmlns:ds="http://schemas.openxmlformats.org/officeDocument/2006/customXml" ds:itemID="{67F221F4-B0D5-486E-AFB2-066C49DCCA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E056E-620E-4EC0-9FD9-645679EF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Thi Hoa (TDCNKT)</cp:lastModifiedBy>
  <cp:revision>3</cp:revision>
  <cp:lastPrinted>2024-09-11T12:20:00Z</cp:lastPrinted>
  <dcterms:created xsi:type="dcterms:W3CDTF">2024-09-11T12:30:00Z</dcterms:created>
  <dcterms:modified xsi:type="dcterms:W3CDTF">2024-09-12T08:19:00Z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