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1E3B34" w14:textId="6BD3F5F2" w:rsidR="00CF64BD" w:rsidRPr="008C491E" w:rsidRDefault="00B548B2" w:rsidP="008C491E">
      <w:pPr>
        <w:pStyle w:val="ListParagraph"/>
        <w:tabs>
          <w:tab w:val="left" w:pos="288"/>
          <w:tab w:val="left" w:pos="851"/>
        </w:tabs>
        <w:spacing w:before="120" w:after="0" w:line="240" w:lineRule="auto"/>
        <w:ind w:left="567"/>
        <w:contextualSpacing w:val="0"/>
        <w:jc w:val="center"/>
        <w:rPr>
          <w:rFonts w:cs="Times New Roman"/>
          <w:b/>
          <w:bCs/>
          <w:szCs w:val="28"/>
        </w:rPr>
      </w:pPr>
      <w:bookmarkStart w:id="0" w:name="_GoBack"/>
      <w:bookmarkEnd w:id="0"/>
      <w:r w:rsidRPr="008C491E">
        <w:rPr>
          <w:rFonts w:cs="Times New Roman"/>
          <w:b/>
          <w:bCs/>
          <w:szCs w:val="28"/>
        </w:rPr>
        <w:t>PHỤ LỤC 3</w:t>
      </w:r>
    </w:p>
    <w:p w14:paraId="453D9E03" w14:textId="0FB6E444" w:rsidR="00B548B2" w:rsidRPr="008C491E" w:rsidRDefault="00B548B2" w:rsidP="008C491E">
      <w:pPr>
        <w:pStyle w:val="ListParagraph"/>
        <w:tabs>
          <w:tab w:val="left" w:pos="288"/>
          <w:tab w:val="left" w:pos="851"/>
        </w:tabs>
        <w:spacing w:after="0" w:line="240" w:lineRule="auto"/>
        <w:ind w:left="562"/>
        <w:contextualSpacing w:val="0"/>
        <w:jc w:val="center"/>
        <w:rPr>
          <w:rFonts w:cs="Times New Roman"/>
          <w:b/>
          <w:bCs/>
          <w:szCs w:val="28"/>
        </w:rPr>
      </w:pPr>
      <w:r w:rsidRPr="008C491E">
        <w:rPr>
          <w:rFonts w:cs="Times New Roman"/>
          <w:b/>
          <w:bCs/>
          <w:szCs w:val="28"/>
        </w:rPr>
        <w:t>XÁC ĐỊNH GIÁ TRỊ CỦA CHỈ SỐ KINH DOANH</w:t>
      </w:r>
    </w:p>
    <w:p w14:paraId="4FB73FB1" w14:textId="77777777" w:rsidR="00F95DAB" w:rsidRPr="008C491E" w:rsidRDefault="00F95DAB" w:rsidP="008C491E">
      <w:pPr>
        <w:spacing w:before="120" w:after="0" w:line="240" w:lineRule="auto"/>
        <w:jc w:val="center"/>
        <w:outlineLvl w:val="0"/>
        <w:rPr>
          <w:i/>
        </w:rPr>
      </w:pPr>
      <w:r w:rsidRPr="008C491E">
        <w:rPr>
          <w:i/>
          <w:iCs/>
          <w:lang w:val="vi-VN"/>
        </w:rPr>
        <w:t>(Ban hành kèm theo Thông tư số       /</w:t>
      </w:r>
      <w:r w:rsidRPr="008C491E">
        <w:rPr>
          <w:i/>
          <w:iCs/>
        </w:rPr>
        <w:t>2024</w:t>
      </w:r>
      <w:r w:rsidRPr="008C491E">
        <w:rPr>
          <w:i/>
          <w:iCs/>
          <w:lang w:val="vi-VN"/>
        </w:rPr>
        <w:t xml:space="preserve">/TT-NHNN ngày     tháng    năm </w:t>
      </w:r>
      <w:r w:rsidRPr="008C491E">
        <w:rPr>
          <w:i/>
          <w:iCs/>
        </w:rPr>
        <w:t>2024</w:t>
      </w:r>
      <w:r w:rsidRPr="008C491E">
        <w:rPr>
          <w:i/>
          <w:iCs/>
          <w:lang w:val="vi-VN"/>
        </w:rPr>
        <w:t xml:space="preserve"> của Thống đốc Ngân hàng Nhà nước </w:t>
      </w:r>
      <w:r w:rsidRPr="008C491E">
        <w:rPr>
          <w:i/>
          <w:iCs/>
        </w:rPr>
        <w:t>Việt Nam</w:t>
      </w:r>
      <w:r w:rsidRPr="008C491E">
        <w:rPr>
          <w:i/>
          <w:iCs/>
          <w:lang w:val="vi-VN"/>
        </w:rPr>
        <w:t>)</w:t>
      </w:r>
    </w:p>
    <w:p w14:paraId="3C895F94" w14:textId="77777777" w:rsidR="00B548B2" w:rsidRPr="008C491E" w:rsidRDefault="00B548B2" w:rsidP="008C491E">
      <w:pPr>
        <w:pStyle w:val="ListParagraph"/>
        <w:tabs>
          <w:tab w:val="left" w:pos="288"/>
          <w:tab w:val="left" w:pos="851"/>
        </w:tabs>
        <w:spacing w:before="120" w:after="0" w:line="240" w:lineRule="auto"/>
        <w:ind w:left="567"/>
        <w:contextualSpacing w:val="0"/>
        <w:jc w:val="center"/>
        <w:rPr>
          <w:rFonts w:cs="Times New Roman"/>
          <w:b/>
          <w:bCs/>
          <w:szCs w:val="28"/>
        </w:rPr>
      </w:pPr>
    </w:p>
    <w:p w14:paraId="27ED4144" w14:textId="0B468666" w:rsidR="00B548B2" w:rsidRPr="008C491E" w:rsidRDefault="00B548B2" w:rsidP="008C491E">
      <w:pPr>
        <w:pStyle w:val="ListParagraph"/>
        <w:numPr>
          <w:ilvl w:val="0"/>
          <w:numId w:val="2"/>
        </w:numPr>
        <w:tabs>
          <w:tab w:val="left" w:pos="851"/>
        </w:tabs>
        <w:spacing w:before="120" w:after="0" w:line="240" w:lineRule="auto"/>
        <w:ind w:left="0" w:firstLine="567"/>
        <w:contextualSpacing w:val="0"/>
        <w:jc w:val="both"/>
        <w:rPr>
          <w:rFonts w:cs="Times New Roman"/>
          <w:szCs w:val="28"/>
        </w:rPr>
      </w:pPr>
      <w:r w:rsidRPr="008C491E">
        <w:rPr>
          <w:rFonts w:cs="Times New Roman"/>
          <w:szCs w:val="28"/>
        </w:rPr>
        <w:t>Ngân hàng thương mại, chi nhánh ngân hàng nước ngoài xác định giá trị củ</w:t>
      </w:r>
      <w:r w:rsidR="00C52C33" w:rsidRPr="008C491E">
        <w:rPr>
          <w:rFonts w:cs="Times New Roman"/>
          <w:szCs w:val="28"/>
        </w:rPr>
        <w:t>a c</w:t>
      </w:r>
      <w:r w:rsidRPr="008C491E">
        <w:rPr>
          <w:rFonts w:cs="Times New Roman"/>
          <w:szCs w:val="28"/>
        </w:rPr>
        <w:t xml:space="preserve">hỉ số kinh doanh </w:t>
      </w:r>
      <w:r w:rsidR="00C52C33" w:rsidRPr="008C491E">
        <w:rPr>
          <w:rFonts w:cs="Times New Roman"/>
          <w:szCs w:val="28"/>
        </w:rPr>
        <w:t xml:space="preserve">(BI) </w:t>
      </w:r>
      <w:r w:rsidRPr="008C491E">
        <w:rPr>
          <w:rFonts w:cs="Times New Roman"/>
          <w:szCs w:val="28"/>
        </w:rPr>
        <w:t>như sau:</w:t>
      </w:r>
    </w:p>
    <w:p w14:paraId="1C1534F0" w14:textId="77777777" w:rsidR="00DA3913" w:rsidRPr="008C491E" w:rsidRDefault="00DA3913" w:rsidP="008C491E">
      <w:pPr>
        <w:pStyle w:val="ListParagraph"/>
        <w:tabs>
          <w:tab w:val="left" w:pos="851"/>
        </w:tabs>
        <w:spacing w:before="120" w:after="0" w:line="240" w:lineRule="auto"/>
        <w:ind w:left="567"/>
        <w:contextualSpacing w:val="0"/>
        <w:jc w:val="both"/>
        <w:rPr>
          <w:rFonts w:cs="Times New Roman"/>
          <w:sz w:val="2"/>
          <w:szCs w:val="28"/>
        </w:rPr>
      </w:pPr>
    </w:p>
    <w:tbl>
      <w:tblPr>
        <w:tblStyle w:val="TableGrid"/>
        <w:tblW w:w="9688" w:type="dxa"/>
        <w:jc w:val="center"/>
        <w:tblLook w:val="04A0" w:firstRow="1" w:lastRow="0" w:firstColumn="1" w:lastColumn="0" w:noHBand="0" w:noVBand="1"/>
      </w:tblPr>
      <w:tblGrid>
        <w:gridCol w:w="1052"/>
        <w:gridCol w:w="3132"/>
        <w:gridCol w:w="5504"/>
      </w:tblGrid>
      <w:tr w:rsidR="00D61808" w:rsidRPr="008C491E" w14:paraId="767B30CE" w14:textId="77777777" w:rsidTr="00054569">
        <w:trPr>
          <w:jc w:val="center"/>
        </w:trPr>
        <w:tc>
          <w:tcPr>
            <w:tcW w:w="1052" w:type="dxa"/>
            <w:vAlign w:val="center"/>
          </w:tcPr>
          <w:p w14:paraId="1755111F" w14:textId="2D784012" w:rsidR="00D61808" w:rsidRPr="008C491E" w:rsidRDefault="00D61808" w:rsidP="008C491E">
            <w:pPr>
              <w:tabs>
                <w:tab w:val="left" w:pos="851"/>
              </w:tabs>
              <w:spacing w:before="120"/>
              <w:jc w:val="center"/>
              <w:rPr>
                <w:rFonts w:cs="Times New Roman"/>
                <w:b/>
                <w:bCs/>
                <w:szCs w:val="28"/>
              </w:rPr>
            </w:pPr>
            <w:r w:rsidRPr="008C491E">
              <w:rPr>
                <w:rFonts w:cs="Times New Roman"/>
                <w:b/>
                <w:bCs/>
                <w:szCs w:val="28"/>
              </w:rPr>
              <w:t>Cấu phần</w:t>
            </w:r>
          </w:p>
        </w:tc>
        <w:tc>
          <w:tcPr>
            <w:tcW w:w="3132" w:type="dxa"/>
            <w:vAlign w:val="center"/>
          </w:tcPr>
          <w:p w14:paraId="357E97DF" w14:textId="0445D9F6" w:rsidR="00D61808" w:rsidRPr="008C491E" w:rsidRDefault="00D61808" w:rsidP="008C491E">
            <w:pPr>
              <w:tabs>
                <w:tab w:val="left" w:pos="851"/>
              </w:tabs>
              <w:spacing w:before="120"/>
              <w:jc w:val="center"/>
              <w:rPr>
                <w:rFonts w:cs="Times New Roman"/>
                <w:b/>
                <w:bCs/>
                <w:szCs w:val="28"/>
              </w:rPr>
            </w:pPr>
            <w:r w:rsidRPr="008C491E">
              <w:rPr>
                <w:rFonts w:cs="Times New Roman"/>
                <w:b/>
                <w:bCs/>
                <w:szCs w:val="28"/>
              </w:rPr>
              <w:t>Công thức tính</w:t>
            </w:r>
          </w:p>
        </w:tc>
        <w:tc>
          <w:tcPr>
            <w:tcW w:w="5504" w:type="dxa"/>
            <w:vAlign w:val="center"/>
          </w:tcPr>
          <w:p w14:paraId="54951609" w14:textId="49B4A04E" w:rsidR="00D61808" w:rsidRPr="008C491E" w:rsidRDefault="00D61808" w:rsidP="008C491E">
            <w:pPr>
              <w:tabs>
                <w:tab w:val="left" w:pos="851"/>
              </w:tabs>
              <w:spacing w:before="120"/>
              <w:jc w:val="center"/>
              <w:rPr>
                <w:rFonts w:cs="Times New Roman"/>
                <w:b/>
                <w:bCs/>
                <w:szCs w:val="28"/>
              </w:rPr>
            </w:pPr>
            <w:r w:rsidRPr="008C491E">
              <w:rPr>
                <w:rFonts w:cs="Times New Roman"/>
                <w:b/>
                <w:bCs/>
                <w:szCs w:val="28"/>
              </w:rPr>
              <w:t>Khoản mục trên Báo cáo kết quả hoạt động /Báo cáo tình hình tài chính</w:t>
            </w:r>
          </w:p>
        </w:tc>
      </w:tr>
      <w:tr w:rsidR="00D61808" w:rsidRPr="008C491E" w14:paraId="7F3600BB" w14:textId="77777777" w:rsidTr="00054569">
        <w:trPr>
          <w:jc w:val="center"/>
        </w:trPr>
        <w:tc>
          <w:tcPr>
            <w:tcW w:w="1052" w:type="dxa"/>
            <w:vMerge w:val="restart"/>
            <w:vAlign w:val="center"/>
          </w:tcPr>
          <w:p w14:paraId="6F0C515C" w14:textId="6C4A9B21" w:rsidR="00D61808" w:rsidRPr="008C491E" w:rsidRDefault="00D61808" w:rsidP="008C491E">
            <w:pPr>
              <w:tabs>
                <w:tab w:val="left" w:pos="851"/>
              </w:tabs>
              <w:spacing w:before="120"/>
              <w:jc w:val="center"/>
              <w:rPr>
                <w:rFonts w:cs="Times New Roman"/>
                <w:szCs w:val="28"/>
              </w:rPr>
            </w:pPr>
            <w:r w:rsidRPr="008C491E">
              <w:rPr>
                <w:rFonts w:cs="Times New Roman"/>
                <w:szCs w:val="28"/>
              </w:rPr>
              <w:t>ILDC</w:t>
            </w:r>
          </w:p>
        </w:tc>
        <w:tc>
          <w:tcPr>
            <w:tcW w:w="3132" w:type="dxa"/>
            <w:vMerge w:val="restart"/>
            <w:vAlign w:val="center"/>
          </w:tcPr>
          <w:p w14:paraId="469A2072" w14:textId="3F42BA8E" w:rsidR="00D61808" w:rsidRPr="008C491E" w:rsidRDefault="00D61808" w:rsidP="008C491E">
            <w:pPr>
              <w:tabs>
                <w:tab w:val="left" w:pos="851"/>
              </w:tabs>
              <w:spacing w:before="120"/>
              <w:jc w:val="both"/>
              <w:rPr>
                <w:rFonts w:cs="Times New Roman"/>
                <w:i/>
                <w:iCs/>
                <w:szCs w:val="28"/>
              </w:rPr>
            </w:pPr>
            <w:r w:rsidRPr="008C491E">
              <w:rPr>
                <w:rFonts w:cs="Times New Roman"/>
                <w:i/>
                <w:iCs/>
                <w:szCs w:val="28"/>
              </w:rPr>
              <w:t>min (│Thu nhập lãi và các khoản thu nhập tương tự - Chi phí lãi và các chi phí tương tự│; 2,25%*Tài sản tạo lãi) + thu nhập từ góp vốn mua cổ phần</w:t>
            </w:r>
          </w:p>
        </w:tc>
        <w:tc>
          <w:tcPr>
            <w:tcW w:w="5504" w:type="dxa"/>
            <w:vAlign w:val="center"/>
          </w:tcPr>
          <w:p w14:paraId="21DB9028" w14:textId="481DEC07" w:rsidR="00D61808" w:rsidRPr="008C491E" w:rsidRDefault="00D61808" w:rsidP="008C491E">
            <w:pPr>
              <w:tabs>
                <w:tab w:val="left" w:pos="851"/>
              </w:tabs>
              <w:spacing w:before="120"/>
              <w:jc w:val="both"/>
              <w:rPr>
                <w:rFonts w:cs="Times New Roman"/>
                <w:szCs w:val="28"/>
              </w:rPr>
            </w:pPr>
            <w:r w:rsidRPr="008C491E">
              <w:rPr>
                <w:rFonts w:cs="Times New Roman"/>
                <w:szCs w:val="28"/>
              </w:rPr>
              <w:t>Thu nhập lãi và các khoản thu nhập tương tự</w:t>
            </w:r>
          </w:p>
        </w:tc>
      </w:tr>
      <w:tr w:rsidR="00D61808" w:rsidRPr="008C491E" w14:paraId="2512DCF3" w14:textId="77777777" w:rsidTr="00054569">
        <w:trPr>
          <w:jc w:val="center"/>
        </w:trPr>
        <w:tc>
          <w:tcPr>
            <w:tcW w:w="1052" w:type="dxa"/>
            <w:vMerge/>
            <w:vAlign w:val="center"/>
          </w:tcPr>
          <w:p w14:paraId="55C6FA99" w14:textId="77777777" w:rsidR="00D61808" w:rsidRPr="008C491E" w:rsidRDefault="00D61808" w:rsidP="008C491E">
            <w:pPr>
              <w:tabs>
                <w:tab w:val="left" w:pos="851"/>
              </w:tabs>
              <w:spacing w:before="120"/>
              <w:jc w:val="both"/>
              <w:rPr>
                <w:rFonts w:cs="Times New Roman"/>
                <w:szCs w:val="28"/>
              </w:rPr>
            </w:pPr>
          </w:p>
        </w:tc>
        <w:tc>
          <w:tcPr>
            <w:tcW w:w="3132" w:type="dxa"/>
            <w:vMerge/>
            <w:vAlign w:val="center"/>
          </w:tcPr>
          <w:p w14:paraId="4D889261" w14:textId="77777777" w:rsidR="00D61808" w:rsidRPr="008C491E" w:rsidRDefault="00D61808" w:rsidP="008C491E">
            <w:pPr>
              <w:tabs>
                <w:tab w:val="left" w:pos="851"/>
              </w:tabs>
              <w:spacing w:before="120"/>
              <w:jc w:val="both"/>
              <w:rPr>
                <w:rFonts w:cs="Times New Roman"/>
                <w:szCs w:val="28"/>
              </w:rPr>
            </w:pPr>
          </w:p>
        </w:tc>
        <w:tc>
          <w:tcPr>
            <w:tcW w:w="5504" w:type="dxa"/>
            <w:vAlign w:val="center"/>
          </w:tcPr>
          <w:p w14:paraId="0B646211" w14:textId="2A1DAF14" w:rsidR="00D61808" w:rsidRPr="008C491E" w:rsidRDefault="00D61808" w:rsidP="008C491E">
            <w:pPr>
              <w:tabs>
                <w:tab w:val="left" w:pos="851"/>
              </w:tabs>
              <w:spacing w:before="120"/>
              <w:jc w:val="both"/>
              <w:rPr>
                <w:rFonts w:cs="Times New Roman"/>
                <w:szCs w:val="28"/>
              </w:rPr>
            </w:pPr>
            <w:r w:rsidRPr="008C491E">
              <w:rPr>
                <w:rFonts w:cs="Times New Roman"/>
                <w:color w:val="000000"/>
                <w:szCs w:val="28"/>
              </w:rPr>
              <w:t>Chi phí lãi và các chi phí tương tự</w:t>
            </w:r>
          </w:p>
        </w:tc>
      </w:tr>
      <w:tr w:rsidR="00D61808" w:rsidRPr="008C491E" w14:paraId="4E4F3546" w14:textId="77777777" w:rsidTr="00054569">
        <w:trPr>
          <w:jc w:val="center"/>
        </w:trPr>
        <w:tc>
          <w:tcPr>
            <w:tcW w:w="1052" w:type="dxa"/>
            <w:vMerge/>
            <w:vAlign w:val="center"/>
          </w:tcPr>
          <w:p w14:paraId="5FB327A6" w14:textId="77777777" w:rsidR="00D61808" w:rsidRPr="008C491E" w:rsidRDefault="00D61808" w:rsidP="008C491E">
            <w:pPr>
              <w:tabs>
                <w:tab w:val="left" w:pos="851"/>
              </w:tabs>
              <w:spacing w:before="120"/>
              <w:jc w:val="both"/>
              <w:rPr>
                <w:rFonts w:cs="Times New Roman"/>
                <w:szCs w:val="28"/>
              </w:rPr>
            </w:pPr>
          </w:p>
        </w:tc>
        <w:tc>
          <w:tcPr>
            <w:tcW w:w="3132" w:type="dxa"/>
            <w:vMerge/>
            <w:vAlign w:val="center"/>
          </w:tcPr>
          <w:p w14:paraId="7704EF2E" w14:textId="77777777" w:rsidR="00D61808" w:rsidRPr="008C491E" w:rsidRDefault="00D61808" w:rsidP="008C491E">
            <w:pPr>
              <w:tabs>
                <w:tab w:val="left" w:pos="851"/>
              </w:tabs>
              <w:spacing w:before="120"/>
              <w:jc w:val="both"/>
              <w:rPr>
                <w:rFonts w:cs="Times New Roman"/>
                <w:szCs w:val="28"/>
              </w:rPr>
            </w:pPr>
          </w:p>
        </w:tc>
        <w:tc>
          <w:tcPr>
            <w:tcW w:w="5504" w:type="dxa"/>
            <w:vAlign w:val="center"/>
          </w:tcPr>
          <w:p w14:paraId="2F33109B" w14:textId="7DFBBF09" w:rsidR="00D61808" w:rsidRPr="008C491E" w:rsidRDefault="00D61808" w:rsidP="008C491E">
            <w:pPr>
              <w:tabs>
                <w:tab w:val="left" w:pos="851"/>
              </w:tabs>
              <w:spacing w:before="120"/>
              <w:jc w:val="both"/>
              <w:rPr>
                <w:rFonts w:cs="Times New Roman"/>
                <w:szCs w:val="28"/>
              </w:rPr>
            </w:pPr>
            <w:r w:rsidRPr="008C491E">
              <w:rPr>
                <w:rFonts w:cs="Times New Roman"/>
                <w:szCs w:val="28"/>
              </w:rPr>
              <w:t>Tài sản tạo lãi là những tài sản tạo ra thu nhập lãi và các khoản thu nhập tương tự từ Báo cáo tình hình tài chính:</w:t>
            </w:r>
          </w:p>
          <w:p w14:paraId="5510C43A" w14:textId="77777777" w:rsidR="00D61808" w:rsidRPr="008C491E" w:rsidRDefault="00D61808" w:rsidP="008C491E">
            <w:pPr>
              <w:spacing w:before="120"/>
              <w:jc w:val="both"/>
              <w:rPr>
                <w:rFonts w:cs="Times New Roman"/>
                <w:szCs w:val="28"/>
              </w:rPr>
            </w:pPr>
            <w:r w:rsidRPr="008C491E">
              <w:rPr>
                <w:rFonts w:cs="Times New Roman"/>
                <w:szCs w:val="28"/>
              </w:rPr>
              <w:t>+ Tiền gửi tại NHNN;</w:t>
            </w:r>
          </w:p>
          <w:p w14:paraId="7F44CE91" w14:textId="77777777" w:rsidR="00D61808" w:rsidRPr="008C491E" w:rsidRDefault="00D61808" w:rsidP="008C491E">
            <w:pPr>
              <w:spacing w:before="120"/>
              <w:jc w:val="both"/>
              <w:rPr>
                <w:rFonts w:cs="Times New Roman"/>
                <w:szCs w:val="28"/>
              </w:rPr>
            </w:pPr>
            <w:r w:rsidRPr="008C491E">
              <w:rPr>
                <w:rFonts w:cs="Times New Roman"/>
                <w:szCs w:val="28"/>
              </w:rPr>
              <w:t>+ Tiền gửi và cho vay các TCTD khác;</w:t>
            </w:r>
          </w:p>
          <w:p w14:paraId="1358BCC9" w14:textId="6B36FA2D" w:rsidR="00D61808" w:rsidRPr="008C491E" w:rsidRDefault="00D61808" w:rsidP="008C491E">
            <w:pPr>
              <w:spacing w:before="120"/>
              <w:jc w:val="both"/>
              <w:rPr>
                <w:rFonts w:cs="Times New Roman"/>
                <w:szCs w:val="28"/>
              </w:rPr>
            </w:pPr>
            <w:r w:rsidRPr="008C491E">
              <w:rPr>
                <w:rFonts w:cs="Times New Roman"/>
                <w:szCs w:val="28"/>
              </w:rPr>
              <w:t>+ Hoạt động mua nợ;</w:t>
            </w:r>
          </w:p>
        </w:tc>
      </w:tr>
      <w:tr w:rsidR="00D61808" w:rsidRPr="008C491E" w14:paraId="3A910D8F" w14:textId="77777777" w:rsidTr="00054569">
        <w:trPr>
          <w:jc w:val="center"/>
        </w:trPr>
        <w:tc>
          <w:tcPr>
            <w:tcW w:w="1052" w:type="dxa"/>
            <w:vMerge/>
            <w:vAlign w:val="center"/>
          </w:tcPr>
          <w:p w14:paraId="4FBB987E" w14:textId="77777777" w:rsidR="00D61808" w:rsidRPr="008C491E" w:rsidRDefault="00D61808" w:rsidP="008C491E">
            <w:pPr>
              <w:tabs>
                <w:tab w:val="left" w:pos="851"/>
              </w:tabs>
              <w:spacing w:before="120"/>
              <w:jc w:val="both"/>
              <w:rPr>
                <w:rFonts w:cs="Times New Roman"/>
                <w:szCs w:val="28"/>
              </w:rPr>
            </w:pPr>
          </w:p>
        </w:tc>
        <w:tc>
          <w:tcPr>
            <w:tcW w:w="3132" w:type="dxa"/>
            <w:vMerge/>
            <w:vAlign w:val="center"/>
          </w:tcPr>
          <w:p w14:paraId="6AD60059" w14:textId="77777777" w:rsidR="00D61808" w:rsidRPr="008C491E" w:rsidRDefault="00D61808" w:rsidP="008C491E">
            <w:pPr>
              <w:tabs>
                <w:tab w:val="left" w:pos="851"/>
              </w:tabs>
              <w:spacing w:before="120"/>
              <w:jc w:val="both"/>
              <w:rPr>
                <w:rFonts w:cs="Times New Roman"/>
                <w:szCs w:val="28"/>
              </w:rPr>
            </w:pPr>
          </w:p>
        </w:tc>
        <w:tc>
          <w:tcPr>
            <w:tcW w:w="5504" w:type="dxa"/>
            <w:vAlign w:val="center"/>
          </w:tcPr>
          <w:p w14:paraId="2ED849B9" w14:textId="48062951" w:rsidR="00D61808" w:rsidRPr="008C491E" w:rsidRDefault="00D61808" w:rsidP="008C491E">
            <w:pPr>
              <w:tabs>
                <w:tab w:val="left" w:pos="851"/>
              </w:tabs>
              <w:spacing w:before="120"/>
              <w:jc w:val="both"/>
              <w:rPr>
                <w:rFonts w:cs="Times New Roman"/>
                <w:szCs w:val="28"/>
              </w:rPr>
            </w:pPr>
            <w:r w:rsidRPr="008C491E">
              <w:rPr>
                <w:rFonts w:cs="Times New Roman"/>
                <w:szCs w:val="28"/>
              </w:rPr>
              <w:t>Thu nhập từ góp vốn, mua cổ phần</w:t>
            </w:r>
          </w:p>
        </w:tc>
      </w:tr>
      <w:tr w:rsidR="00D61808" w:rsidRPr="008C491E" w14:paraId="58FFFCD6" w14:textId="77777777" w:rsidTr="00054569">
        <w:trPr>
          <w:jc w:val="center"/>
        </w:trPr>
        <w:tc>
          <w:tcPr>
            <w:tcW w:w="1052" w:type="dxa"/>
            <w:vMerge w:val="restart"/>
            <w:vAlign w:val="center"/>
          </w:tcPr>
          <w:p w14:paraId="69C1E822" w14:textId="0250F2FD" w:rsidR="00D61808" w:rsidRPr="008C491E" w:rsidRDefault="00D61808" w:rsidP="008C491E">
            <w:pPr>
              <w:tabs>
                <w:tab w:val="left" w:pos="851"/>
              </w:tabs>
              <w:spacing w:before="120"/>
              <w:jc w:val="center"/>
              <w:rPr>
                <w:rFonts w:cs="Times New Roman"/>
                <w:szCs w:val="28"/>
              </w:rPr>
            </w:pPr>
            <w:r w:rsidRPr="008C491E">
              <w:rPr>
                <w:rFonts w:cs="Times New Roman"/>
                <w:szCs w:val="28"/>
              </w:rPr>
              <w:t>SC</w:t>
            </w:r>
          </w:p>
        </w:tc>
        <w:tc>
          <w:tcPr>
            <w:tcW w:w="3132" w:type="dxa"/>
            <w:vMerge w:val="restart"/>
            <w:vAlign w:val="center"/>
          </w:tcPr>
          <w:p w14:paraId="4EF3619A" w14:textId="745EC9E0" w:rsidR="00D61808" w:rsidRPr="008C491E" w:rsidRDefault="00D61808" w:rsidP="008C491E">
            <w:pPr>
              <w:tabs>
                <w:tab w:val="left" w:pos="851"/>
              </w:tabs>
              <w:spacing w:before="120"/>
              <w:jc w:val="both"/>
              <w:rPr>
                <w:rFonts w:cs="Times New Roman"/>
                <w:i/>
                <w:iCs/>
                <w:szCs w:val="28"/>
              </w:rPr>
            </w:pPr>
            <w:r w:rsidRPr="008C491E">
              <w:rPr>
                <w:rFonts w:cs="Times New Roman"/>
                <w:i/>
                <w:iCs/>
                <w:szCs w:val="28"/>
              </w:rPr>
              <w:t>max(Thu nhập từ hoạt động dịch vụ, Chi phí hoạt động dịch vụ) + max (Thu nhập từ hoạt động khác, Chi phí từ hoạt động khác)</w:t>
            </w:r>
          </w:p>
        </w:tc>
        <w:tc>
          <w:tcPr>
            <w:tcW w:w="5504" w:type="dxa"/>
            <w:vAlign w:val="center"/>
          </w:tcPr>
          <w:p w14:paraId="69F43772" w14:textId="728FB89C" w:rsidR="00D61808" w:rsidRPr="008C491E" w:rsidRDefault="00D61808" w:rsidP="008C491E">
            <w:pPr>
              <w:tabs>
                <w:tab w:val="left" w:pos="851"/>
              </w:tabs>
              <w:spacing w:before="120"/>
              <w:jc w:val="both"/>
              <w:rPr>
                <w:rFonts w:cs="Times New Roman"/>
                <w:szCs w:val="28"/>
              </w:rPr>
            </w:pPr>
            <w:r w:rsidRPr="008C491E">
              <w:rPr>
                <w:rFonts w:cs="Times New Roman"/>
                <w:color w:val="000000"/>
                <w:szCs w:val="28"/>
                <w:lang w:val="vi-VN"/>
              </w:rPr>
              <w:t>Thu nhập từ hoạt động dịch vụ</w:t>
            </w:r>
          </w:p>
        </w:tc>
      </w:tr>
      <w:tr w:rsidR="00D61808" w:rsidRPr="008C491E" w14:paraId="2CF63826" w14:textId="77777777" w:rsidTr="00054569">
        <w:trPr>
          <w:jc w:val="center"/>
        </w:trPr>
        <w:tc>
          <w:tcPr>
            <w:tcW w:w="1052" w:type="dxa"/>
            <w:vMerge/>
            <w:vAlign w:val="center"/>
          </w:tcPr>
          <w:p w14:paraId="6F937136" w14:textId="77777777" w:rsidR="00D61808" w:rsidRPr="008C491E" w:rsidRDefault="00D61808" w:rsidP="008C491E">
            <w:pPr>
              <w:tabs>
                <w:tab w:val="left" w:pos="851"/>
              </w:tabs>
              <w:spacing w:before="120"/>
              <w:jc w:val="center"/>
              <w:rPr>
                <w:rFonts w:cs="Times New Roman"/>
                <w:szCs w:val="28"/>
              </w:rPr>
            </w:pPr>
          </w:p>
        </w:tc>
        <w:tc>
          <w:tcPr>
            <w:tcW w:w="3132" w:type="dxa"/>
            <w:vMerge/>
            <w:vAlign w:val="center"/>
          </w:tcPr>
          <w:p w14:paraId="066B0BCC" w14:textId="77777777" w:rsidR="00D61808" w:rsidRPr="008C491E" w:rsidRDefault="00D61808" w:rsidP="008C491E">
            <w:pPr>
              <w:tabs>
                <w:tab w:val="left" w:pos="851"/>
              </w:tabs>
              <w:spacing w:before="120"/>
              <w:jc w:val="both"/>
              <w:rPr>
                <w:rFonts w:cs="Times New Roman"/>
                <w:szCs w:val="28"/>
              </w:rPr>
            </w:pPr>
          </w:p>
        </w:tc>
        <w:tc>
          <w:tcPr>
            <w:tcW w:w="5504" w:type="dxa"/>
            <w:vAlign w:val="center"/>
          </w:tcPr>
          <w:p w14:paraId="53B0493B" w14:textId="6A73E2B8" w:rsidR="00D61808" w:rsidRPr="008C491E" w:rsidRDefault="00D61808" w:rsidP="008C491E">
            <w:pPr>
              <w:tabs>
                <w:tab w:val="left" w:pos="851"/>
              </w:tabs>
              <w:spacing w:before="120"/>
              <w:jc w:val="both"/>
              <w:rPr>
                <w:rFonts w:cs="Times New Roman"/>
                <w:szCs w:val="28"/>
              </w:rPr>
            </w:pPr>
            <w:r w:rsidRPr="008C491E">
              <w:rPr>
                <w:rFonts w:cs="Times New Roman"/>
                <w:color w:val="000000"/>
                <w:szCs w:val="28"/>
                <w:lang w:val="vi-VN"/>
              </w:rPr>
              <w:t>Chi phí hoạt động dịch vụ</w:t>
            </w:r>
          </w:p>
        </w:tc>
      </w:tr>
      <w:tr w:rsidR="00D61808" w:rsidRPr="008C491E" w14:paraId="3E48B779" w14:textId="77777777" w:rsidTr="00054569">
        <w:trPr>
          <w:jc w:val="center"/>
        </w:trPr>
        <w:tc>
          <w:tcPr>
            <w:tcW w:w="1052" w:type="dxa"/>
            <w:vMerge/>
            <w:vAlign w:val="center"/>
          </w:tcPr>
          <w:p w14:paraId="495C568C" w14:textId="77777777" w:rsidR="00D61808" w:rsidRPr="008C491E" w:rsidRDefault="00D61808" w:rsidP="008C491E">
            <w:pPr>
              <w:tabs>
                <w:tab w:val="left" w:pos="851"/>
              </w:tabs>
              <w:spacing w:before="120"/>
              <w:jc w:val="center"/>
              <w:rPr>
                <w:rFonts w:cs="Times New Roman"/>
                <w:szCs w:val="28"/>
              </w:rPr>
            </w:pPr>
          </w:p>
        </w:tc>
        <w:tc>
          <w:tcPr>
            <w:tcW w:w="3132" w:type="dxa"/>
            <w:vMerge/>
            <w:vAlign w:val="center"/>
          </w:tcPr>
          <w:p w14:paraId="7671086E" w14:textId="77777777" w:rsidR="00D61808" w:rsidRPr="008C491E" w:rsidRDefault="00D61808" w:rsidP="008C491E">
            <w:pPr>
              <w:tabs>
                <w:tab w:val="left" w:pos="851"/>
              </w:tabs>
              <w:spacing w:before="120"/>
              <w:jc w:val="both"/>
              <w:rPr>
                <w:rFonts w:cs="Times New Roman"/>
                <w:szCs w:val="28"/>
              </w:rPr>
            </w:pPr>
          </w:p>
        </w:tc>
        <w:tc>
          <w:tcPr>
            <w:tcW w:w="5504" w:type="dxa"/>
            <w:vAlign w:val="center"/>
          </w:tcPr>
          <w:p w14:paraId="695D606A" w14:textId="06B36531" w:rsidR="00D61808" w:rsidRPr="008C491E" w:rsidRDefault="00D61808" w:rsidP="008C491E">
            <w:pPr>
              <w:tabs>
                <w:tab w:val="left" w:pos="851"/>
              </w:tabs>
              <w:spacing w:before="120"/>
              <w:jc w:val="both"/>
              <w:rPr>
                <w:rFonts w:cs="Times New Roman"/>
                <w:color w:val="000000"/>
                <w:szCs w:val="28"/>
                <w:lang w:val="vi-VN"/>
              </w:rPr>
            </w:pPr>
            <w:r w:rsidRPr="008C491E">
              <w:rPr>
                <w:rFonts w:cs="Times New Roman"/>
                <w:szCs w:val="28"/>
              </w:rPr>
              <w:t>Thu nhập từ hoạt động khác</w:t>
            </w:r>
          </w:p>
        </w:tc>
      </w:tr>
      <w:tr w:rsidR="00D61808" w:rsidRPr="008C491E" w14:paraId="51E27BA6" w14:textId="77777777" w:rsidTr="00054569">
        <w:trPr>
          <w:jc w:val="center"/>
        </w:trPr>
        <w:tc>
          <w:tcPr>
            <w:tcW w:w="1052" w:type="dxa"/>
            <w:vMerge/>
            <w:vAlign w:val="center"/>
          </w:tcPr>
          <w:p w14:paraId="12B4AB89" w14:textId="77777777" w:rsidR="00D61808" w:rsidRPr="008C491E" w:rsidRDefault="00D61808" w:rsidP="008C491E">
            <w:pPr>
              <w:tabs>
                <w:tab w:val="left" w:pos="851"/>
              </w:tabs>
              <w:spacing w:before="120"/>
              <w:jc w:val="center"/>
              <w:rPr>
                <w:rFonts w:cs="Times New Roman"/>
                <w:szCs w:val="28"/>
              </w:rPr>
            </w:pPr>
          </w:p>
        </w:tc>
        <w:tc>
          <w:tcPr>
            <w:tcW w:w="3132" w:type="dxa"/>
            <w:vMerge/>
            <w:vAlign w:val="center"/>
          </w:tcPr>
          <w:p w14:paraId="3825548D" w14:textId="77777777" w:rsidR="00D61808" w:rsidRPr="008C491E" w:rsidRDefault="00D61808" w:rsidP="008C491E">
            <w:pPr>
              <w:tabs>
                <w:tab w:val="left" w:pos="851"/>
              </w:tabs>
              <w:spacing w:before="120"/>
              <w:jc w:val="both"/>
              <w:rPr>
                <w:rFonts w:cs="Times New Roman"/>
                <w:szCs w:val="28"/>
              </w:rPr>
            </w:pPr>
          </w:p>
        </w:tc>
        <w:tc>
          <w:tcPr>
            <w:tcW w:w="5504" w:type="dxa"/>
            <w:vAlign w:val="center"/>
          </w:tcPr>
          <w:p w14:paraId="0B297E64" w14:textId="1DACE884" w:rsidR="00D61808" w:rsidRPr="008C491E" w:rsidRDefault="00D61808" w:rsidP="008C491E">
            <w:pPr>
              <w:tabs>
                <w:tab w:val="left" w:pos="851"/>
              </w:tabs>
              <w:spacing w:before="120"/>
              <w:jc w:val="both"/>
              <w:rPr>
                <w:rFonts w:cs="Times New Roman"/>
                <w:szCs w:val="28"/>
              </w:rPr>
            </w:pPr>
            <w:r w:rsidRPr="008C491E">
              <w:rPr>
                <w:rFonts w:cs="Times New Roman"/>
                <w:color w:val="000000"/>
                <w:szCs w:val="28"/>
                <w:lang w:val="vi-VN"/>
              </w:rPr>
              <w:t>Chi phí hoạt động khác</w:t>
            </w:r>
          </w:p>
        </w:tc>
      </w:tr>
      <w:tr w:rsidR="00D61808" w:rsidRPr="008C491E" w14:paraId="6CB8C620" w14:textId="77777777" w:rsidTr="00054569">
        <w:trPr>
          <w:jc w:val="center"/>
        </w:trPr>
        <w:tc>
          <w:tcPr>
            <w:tcW w:w="1052" w:type="dxa"/>
            <w:vMerge w:val="restart"/>
            <w:vAlign w:val="center"/>
          </w:tcPr>
          <w:p w14:paraId="27092B51" w14:textId="5CD5510B" w:rsidR="00D61808" w:rsidRPr="008C491E" w:rsidRDefault="00D61808" w:rsidP="008C491E">
            <w:pPr>
              <w:tabs>
                <w:tab w:val="left" w:pos="851"/>
              </w:tabs>
              <w:spacing w:before="120"/>
              <w:jc w:val="center"/>
              <w:rPr>
                <w:rFonts w:cs="Times New Roman"/>
                <w:szCs w:val="28"/>
              </w:rPr>
            </w:pPr>
            <w:r w:rsidRPr="008C491E">
              <w:rPr>
                <w:rFonts w:cs="Times New Roman"/>
                <w:szCs w:val="28"/>
              </w:rPr>
              <w:t>FC</w:t>
            </w:r>
          </w:p>
        </w:tc>
        <w:tc>
          <w:tcPr>
            <w:tcW w:w="3132" w:type="dxa"/>
            <w:vMerge w:val="restart"/>
            <w:vAlign w:val="center"/>
          </w:tcPr>
          <w:p w14:paraId="25CF83B1" w14:textId="0C83D6A6" w:rsidR="00D61808" w:rsidRPr="008C491E" w:rsidRDefault="00D61808" w:rsidP="008C491E">
            <w:pPr>
              <w:tabs>
                <w:tab w:val="left" w:pos="851"/>
              </w:tabs>
              <w:spacing w:before="120"/>
              <w:jc w:val="both"/>
              <w:rPr>
                <w:rFonts w:cs="Times New Roman"/>
                <w:szCs w:val="28"/>
              </w:rPr>
            </w:pPr>
            <w:r w:rsidRPr="008C491E">
              <w:rPr>
                <w:rFonts w:cs="Times New Roman"/>
                <w:szCs w:val="28"/>
              </w:rPr>
              <w:t>|Lãi/lỗ thuần từ hoạt động kinh doanh ngoại hối (bao gồm cả vàng tiêu chuẩn)| + |Lãi/lỗ thuần từ mua bán chứng khoán kinh doanh| + |Lãi/lỗ thuần từ mua bán, chứng khoán đầu tư|</w:t>
            </w:r>
          </w:p>
        </w:tc>
        <w:tc>
          <w:tcPr>
            <w:tcW w:w="5504" w:type="dxa"/>
            <w:vAlign w:val="center"/>
          </w:tcPr>
          <w:p w14:paraId="24FBD8CC" w14:textId="4431D42D" w:rsidR="00D61808" w:rsidRPr="008C491E" w:rsidRDefault="00D61808" w:rsidP="008C491E">
            <w:pPr>
              <w:tabs>
                <w:tab w:val="left" w:pos="851"/>
              </w:tabs>
              <w:spacing w:before="120"/>
              <w:jc w:val="both"/>
              <w:rPr>
                <w:rFonts w:cs="Times New Roman"/>
                <w:color w:val="000000"/>
                <w:szCs w:val="28"/>
                <w:lang w:val="vi-VN"/>
              </w:rPr>
            </w:pPr>
            <w:r w:rsidRPr="008C491E">
              <w:rPr>
                <w:rFonts w:cs="Times New Roman"/>
                <w:szCs w:val="28"/>
              </w:rPr>
              <w:t>|Lãi/lỗ thuần từ hoạt động kinh doanh ngoại hối (bao gồm cả vàng tiêu chuẩn)|</w:t>
            </w:r>
          </w:p>
        </w:tc>
      </w:tr>
      <w:tr w:rsidR="00D61808" w:rsidRPr="008C491E" w14:paraId="69AB7EE0" w14:textId="77777777" w:rsidTr="00054569">
        <w:trPr>
          <w:jc w:val="center"/>
        </w:trPr>
        <w:tc>
          <w:tcPr>
            <w:tcW w:w="1052" w:type="dxa"/>
            <w:vMerge/>
            <w:vAlign w:val="center"/>
          </w:tcPr>
          <w:p w14:paraId="5B8A98C5" w14:textId="77777777" w:rsidR="00D61808" w:rsidRPr="008C491E" w:rsidRDefault="00D61808" w:rsidP="008C491E">
            <w:pPr>
              <w:tabs>
                <w:tab w:val="left" w:pos="851"/>
              </w:tabs>
              <w:spacing w:before="120"/>
              <w:jc w:val="both"/>
              <w:rPr>
                <w:rFonts w:cs="Times New Roman"/>
                <w:szCs w:val="28"/>
              </w:rPr>
            </w:pPr>
          </w:p>
        </w:tc>
        <w:tc>
          <w:tcPr>
            <w:tcW w:w="3132" w:type="dxa"/>
            <w:vMerge/>
            <w:vAlign w:val="center"/>
          </w:tcPr>
          <w:p w14:paraId="6F13A2DE" w14:textId="77777777" w:rsidR="00D61808" w:rsidRPr="008C491E" w:rsidRDefault="00D61808" w:rsidP="008C491E">
            <w:pPr>
              <w:tabs>
                <w:tab w:val="left" w:pos="851"/>
              </w:tabs>
              <w:spacing w:before="120"/>
              <w:jc w:val="both"/>
              <w:rPr>
                <w:rFonts w:cs="Times New Roman"/>
                <w:szCs w:val="28"/>
              </w:rPr>
            </w:pPr>
          </w:p>
        </w:tc>
        <w:tc>
          <w:tcPr>
            <w:tcW w:w="5504" w:type="dxa"/>
            <w:vAlign w:val="center"/>
          </w:tcPr>
          <w:p w14:paraId="5F5C0EAA" w14:textId="2EC9CD40" w:rsidR="00D61808" w:rsidRPr="008C491E" w:rsidRDefault="00D61808" w:rsidP="008C491E">
            <w:pPr>
              <w:tabs>
                <w:tab w:val="left" w:pos="851"/>
              </w:tabs>
              <w:spacing w:before="120"/>
              <w:jc w:val="both"/>
              <w:rPr>
                <w:rFonts w:cs="Times New Roman"/>
                <w:szCs w:val="28"/>
              </w:rPr>
            </w:pPr>
            <w:r w:rsidRPr="008C491E">
              <w:rPr>
                <w:rFonts w:cs="Times New Roman"/>
                <w:szCs w:val="28"/>
              </w:rPr>
              <w:t>|Lãi/lỗ thuần từ mua bán chứng khoán kinh doanh|</w:t>
            </w:r>
          </w:p>
        </w:tc>
      </w:tr>
      <w:tr w:rsidR="00D61808" w:rsidRPr="008C491E" w14:paraId="416D509E" w14:textId="77777777" w:rsidTr="00054569">
        <w:trPr>
          <w:jc w:val="center"/>
        </w:trPr>
        <w:tc>
          <w:tcPr>
            <w:tcW w:w="1052" w:type="dxa"/>
            <w:vMerge/>
            <w:vAlign w:val="center"/>
          </w:tcPr>
          <w:p w14:paraId="07670BC5" w14:textId="77777777" w:rsidR="00D61808" w:rsidRPr="008C491E" w:rsidRDefault="00D61808" w:rsidP="008C491E">
            <w:pPr>
              <w:tabs>
                <w:tab w:val="left" w:pos="851"/>
              </w:tabs>
              <w:spacing w:before="120"/>
              <w:jc w:val="both"/>
              <w:rPr>
                <w:rFonts w:cs="Times New Roman"/>
                <w:szCs w:val="28"/>
              </w:rPr>
            </w:pPr>
          </w:p>
        </w:tc>
        <w:tc>
          <w:tcPr>
            <w:tcW w:w="3132" w:type="dxa"/>
            <w:vMerge/>
            <w:vAlign w:val="center"/>
          </w:tcPr>
          <w:p w14:paraId="173B2E61" w14:textId="77777777" w:rsidR="00D61808" w:rsidRPr="008C491E" w:rsidRDefault="00D61808" w:rsidP="008C491E">
            <w:pPr>
              <w:tabs>
                <w:tab w:val="left" w:pos="851"/>
              </w:tabs>
              <w:spacing w:before="120"/>
              <w:jc w:val="both"/>
              <w:rPr>
                <w:rFonts w:cs="Times New Roman"/>
                <w:szCs w:val="28"/>
              </w:rPr>
            </w:pPr>
          </w:p>
        </w:tc>
        <w:tc>
          <w:tcPr>
            <w:tcW w:w="5504" w:type="dxa"/>
            <w:vAlign w:val="center"/>
          </w:tcPr>
          <w:p w14:paraId="546F005A" w14:textId="43493442" w:rsidR="00D61808" w:rsidRPr="008C491E" w:rsidRDefault="00D61808" w:rsidP="008C491E">
            <w:pPr>
              <w:tabs>
                <w:tab w:val="left" w:pos="851"/>
              </w:tabs>
              <w:spacing w:before="120"/>
              <w:jc w:val="both"/>
              <w:rPr>
                <w:rFonts w:cs="Times New Roman"/>
                <w:szCs w:val="28"/>
              </w:rPr>
            </w:pPr>
            <w:r w:rsidRPr="008C491E">
              <w:rPr>
                <w:rFonts w:cs="Times New Roman"/>
                <w:szCs w:val="28"/>
              </w:rPr>
              <w:t>|Lãi/lỗ thuần từ mua bán, chứng khoán đầu tư|</w:t>
            </w:r>
          </w:p>
        </w:tc>
      </w:tr>
    </w:tbl>
    <w:p w14:paraId="2BB9C054" w14:textId="77777777" w:rsidR="00B548B2" w:rsidRPr="008C491E" w:rsidRDefault="00B548B2" w:rsidP="008C491E">
      <w:pPr>
        <w:tabs>
          <w:tab w:val="left" w:pos="851"/>
        </w:tabs>
        <w:spacing w:before="120" w:after="0" w:line="240" w:lineRule="auto"/>
        <w:jc w:val="both"/>
        <w:rPr>
          <w:rFonts w:cs="Times New Roman"/>
          <w:sz w:val="2"/>
          <w:szCs w:val="28"/>
        </w:rPr>
      </w:pPr>
    </w:p>
    <w:p w14:paraId="77924B6B" w14:textId="4C55440F" w:rsidR="00650E3A" w:rsidRPr="008C491E" w:rsidRDefault="00650E3A" w:rsidP="008C491E">
      <w:pPr>
        <w:pStyle w:val="ListParagraph"/>
        <w:numPr>
          <w:ilvl w:val="0"/>
          <w:numId w:val="2"/>
        </w:numPr>
        <w:tabs>
          <w:tab w:val="left" w:pos="851"/>
        </w:tabs>
        <w:spacing w:before="120" w:after="0" w:line="240" w:lineRule="auto"/>
        <w:ind w:left="0" w:firstLine="567"/>
        <w:contextualSpacing w:val="0"/>
        <w:jc w:val="both"/>
        <w:rPr>
          <w:rFonts w:cs="Times New Roman"/>
          <w:szCs w:val="28"/>
        </w:rPr>
      </w:pPr>
      <w:r w:rsidRPr="008C491E">
        <w:rPr>
          <w:rFonts w:cs="Times New Roman"/>
          <w:szCs w:val="28"/>
        </w:rPr>
        <w:t>Các khoản mục sau đây không được tính vào bất cứ cấu phần nào của Chỉ số kinh doanh:</w:t>
      </w:r>
    </w:p>
    <w:p w14:paraId="5426A43F" w14:textId="03647899" w:rsidR="00650E3A" w:rsidRPr="008C491E" w:rsidRDefault="00650E3A" w:rsidP="008C491E">
      <w:pPr>
        <w:pStyle w:val="ListParagraph"/>
        <w:numPr>
          <w:ilvl w:val="0"/>
          <w:numId w:val="6"/>
        </w:numPr>
        <w:tabs>
          <w:tab w:val="left" w:pos="993"/>
        </w:tabs>
        <w:spacing w:before="120" w:after="0" w:line="240" w:lineRule="auto"/>
        <w:ind w:left="0" w:firstLine="567"/>
        <w:contextualSpacing w:val="0"/>
        <w:jc w:val="both"/>
        <w:rPr>
          <w:rFonts w:cs="Times New Roman"/>
          <w:iCs/>
          <w:szCs w:val="28"/>
        </w:rPr>
      </w:pPr>
      <w:r w:rsidRPr="008C491E">
        <w:rPr>
          <w:rFonts w:cs="Times New Roman"/>
          <w:iCs/>
          <w:szCs w:val="28"/>
        </w:rPr>
        <w:t>Thu nhập và chi phí từ hoạt động kinh doanh bảo hiểm hoặc tái bảo hiểm (TK716);</w:t>
      </w:r>
    </w:p>
    <w:p w14:paraId="3EF4B1C9" w14:textId="40734A84" w:rsidR="00650E3A" w:rsidRPr="008C491E" w:rsidRDefault="00650E3A" w:rsidP="008C491E">
      <w:pPr>
        <w:tabs>
          <w:tab w:val="left" w:pos="851"/>
        </w:tabs>
        <w:spacing w:before="120" w:after="0" w:line="240" w:lineRule="auto"/>
        <w:ind w:firstLine="567"/>
        <w:jc w:val="both"/>
        <w:rPr>
          <w:rFonts w:cs="Times New Roman"/>
          <w:iCs/>
          <w:szCs w:val="28"/>
        </w:rPr>
      </w:pPr>
      <w:r w:rsidRPr="008C491E">
        <w:rPr>
          <w:rFonts w:cs="Times New Roman"/>
          <w:iCs/>
          <w:szCs w:val="28"/>
        </w:rPr>
        <w:lastRenderedPageBreak/>
        <w:t xml:space="preserve">b)  Phí bảo hiểm đã thanh toán và các khoản bồi hoàn/ được thanh toán từ các hợp đồng bảo hiểm hoặc tái bảo hiểm đã mua (Tài khoản 883 - Chi nộp phí bảo hiểm, bảo toàn tiền gửi của khách hàng gồm các khoản chi phí cho công ty bảo hiểm tiền gửi của khách hàng và một phần TK79 ứng với </w:t>
      </w:r>
      <w:r w:rsidRPr="008C491E">
        <w:rPr>
          <w:rFonts w:cs="Times New Roman"/>
          <w:iCs/>
          <w:szCs w:val="28"/>
          <w:lang w:val="nl-NL"/>
        </w:rPr>
        <w:t>Thu tiền bảo hiểm được bồi thường được hạch toán vào thu nhập sau khi đã bù đắp khoản tổn thất đã mua bảo hiểm</w:t>
      </w:r>
      <w:r w:rsidRPr="008C491E">
        <w:rPr>
          <w:rFonts w:cs="Times New Roman"/>
          <w:iCs/>
          <w:szCs w:val="28"/>
        </w:rPr>
        <w:t>);</w:t>
      </w:r>
    </w:p>
    <w:p w14:paraId="4F8D3C12" w14:textId="21FE87FE" w:rsidR="00650E3A" w:rsidRPr="008C491E" w:rsidRDefault="00650E3A" w:rsidP="008C491E">
      <w:pPr>
        <w:tabs>
          <w:tab w:val="left" w:pos="851"/>
        </w:tabs>
        <w:spacing w:before="120" w:after="0" w:line="240" w:lineRule="auto"/>
        <w:ind w:firstLine="567"/>
        <w:jc w:val="both"/>
        <w:rPr>
          <w:rFonts w:cs="Times New Roman"/>
          <w:iCs/>
          <w:szCs w:val="28"/>
        </w:rPr>
      </w:pPr>
      <w:r w:rsidRPr="008C491E">
        <w:rPr>
          <w:rFonts w:cs="Times New Roman"/>
          <w:iCs/>
          <w:szCs w:val="28"/>
        </w:rPr>
        <w:t>c)Thay đổi trong lợi thế thương mại đã được ghi nhận vào Báo cáo KQHĐ (phần Tài khoản 79 hoặc phần Tài khoản 89 ứng với lợi thế thương mại được chuyển nhượng khi thực hiện mua tài sản mà chỉ tính một phần hoặc không tính đến lợi thế thương mại đi kèm);</w:t>
      </w:r>
    </w:p>
    <w:p w14:paraId="4D7939F8" w14:textId="4BB92497" w:rsidR="00650E3A" w:rsidRPr="008C491E" w:rsidRDefault="00650E3A" w:rsidP="008C491E">
      <w:pPr>
        <w:tabs>
          <w:tab w:val="left" w:pos="851"/>
        </w:tabs>
        <w:spacing w:before="120" w:after="0" w:line="240" w:lineRule="auto"/>
        <w:ind w:firstLine="567"/>
        <w:jc w:val="both"/>
        <w:rPr>
          <w:rFonts w:cs="Times New Roman"/>
          <w:szCs w:val="28"/>
        </w:rPr>
      </w:pPr>
      <w:r w:rsidRPr="008C491E">
        <w:rPr>
          <w:rFonts w:cs="Times New Roman"/>
          <w:iCs/>
          <w:szCs w:val="28"/>
        </w:rPr>
        <w:t>d) Thu nhập từ việc thu hồi chi phí vận hành bao gồm thu hồi các khoản thanh toán thay cho khách hàng (phần Tài khoản 79 - Thu nhập khác ứng với thu hồi các khoản chi nộp phạt vi phạm hành chính mà ngân hàng đã trả thay cho khách hàng).</w:t>
      </w:r>
      <w:r w:rsidR="008C491E">
        <w:rPr>
          <w:rFonts w:cs="Times New Roman"/>
          <w:iCs/>
          <w:szCs w:val="28"/>
        </w:rPr>
        <w:t>/.</w:t>
      </w:r>
    </w:p>
    <w:sectPr w:rsidR="00650E3A" w:rsidRPr="008C491E" w:rsidSect="00DA3913">
      <w:headerReference w:type="default" r:id="rId8"/>
      <w:pgSz w:w="11907" w:h="16839"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4A125" w14:textId="77777777" w:rsidR="000C0DC9" w:rsidRDefault="000C0DC9" w:rsidP="00C52C33">
      <w:pPr>
        <w:spacing w:after="0" w:line="240" w:lineRule="auto"/>
      </w:pPr>
      <w:r>
        <w:separator/>
      </w:r>
    </w:p>
  </w:endnote>
  <w:endnote w:type="continuationSeparator" w:id="0">
    <w:p w14:paraId="5939B7C8" w14:textId="77777777" w:rsidR="000C0DC9" w:rsidRDefault="000C0DC9" w:rsidP="00C52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73EC9" w14:textId="77777777" w:rsidR="000C0DC9" w:rsidRDefault="000C0DC9" w:rsidP="00C52C33">
      <w:pPr>
        <w:spacing w:after="0" w:line="240" w:lineRule="auto"/>
      </w:pPr>
      <w:r>
        <w:separator/>
      </w:r>
    </w:p>
  </w:footnote>
  <w:footnote w:type="continuationSeparator" w:id="0">
    <w:p w14:paraId="0A0E05A8" w14:textId="77777777" w:rsidR="000C0DC9" w:rsidRDefault="000C0DC9" w:rsidP="00C52C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8392542"/>
      <w:docPartObj>
        <w:docPartGallery w:val="Page Numbers (Top of Page)"/>
        <w:docPartUnique/>
      </w:docPartObj>
    </w:sdtPr>
    <w:sdtEndPr>
      <w:rPr>
        <w:noProof/>
      </w:rPr>
    </w:sdtEndPr>
    <w:sdtContent>
      <w:p w14:paraId="3FAB8FE3" w14:textId="482585D3" w:rsidR="00C52C33" w:rsidRDefault="00C52C33">
        <w:pPr>
          <w:pStyle w:val="Header"/>
          <w:jc w:val="center"/>
        </w:pPr>
        <w:r>
          <w:fldChar w:fldCharType="begin"/>
        </w:r>
        <w:r>
          <w:instrText xml:space="preserve"> PAGE   \* MERGEFORMAT </w:instrText>
        </w:r>
        <w:r>
          <w:fldChar w:fldCharType="separate"/>
        </w:r>
        <w:r w:rsidR="00C4333B">
          <w:rPr>
            <w:noProof/>
          </w:rPr>
          <w:t>2</w:t>
        </w:r>
        <w:r>
          <w:rPr>
            <w:noProof/>
          </w:rPr>
          <w:fldChar w:fldCharType="end"/>
        </w:r>
      </w:p>
    </w:sdtContent>
  </w:sdt>
  <w:p w14:paraId="4B0C96B7" w14:textId="77777777" w:rsidR="00C52C33" w:rsidRDefault="00C52C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E2717"/>
    <w:multiLevelType w:val="hybridMultilevel"/>
    <w:tmpl w:val="E342FC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855681"/>
    <w:multiLevelType w:val="hybridMultilevel"/>
    <w:tmpl w:val="ED406112"/>
    <w:lvl w:ilvl="0" w:tplc="8AFC6E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A647486"/>
    <w:multiLevelType w:val="hybridMultilevel"/>
    <w:tmpl w:val="BA76D3A4"/>
    <w:lvl w:ilvl="0" w:tplc="04090017">
      <w:start w:val="1"/>
      <w:numFmt w:val="lowerLetter"/>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701D52"/>
    <w:multiLevelType w:val="hybridMultilevel"/>
    <w:tmpl w:val="38C2D3B4"/>
    <w:lvl w:ilvl="0" w:tplc="180E435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4A55854"/>
    <w:multiLevelType w:val="hybridMultilevel"/>
    <w:tmpl w:val="20442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67535A"/>
    <w:multiLevelType w:val="hybridMultilevel"/>
    <w:tmpl w:val="ED40611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8B2"/>
    <w:rsid w:val="00054569"/>
    <w:rsid w:val="000C0DC9"/>
    <w:rsid w:val="001B034B"/>
    <w:rsid w:val="004A1DD0"/>
    <w:rsid w:val="004F35A1"/>
    <w:rsid w:val="005A4B08"/>
    <w:rsid w:val="00650E3A"/>
    <w:rsid w:val="00720FAD"/>
    <w:rsid w:val="008C491E"/>
    <w:rsid w:val="00B548B2"/>
    <w:rsid w:val="00B71056"/>
    <w:rsid w:val="00C4333B"/>
    <w:rsid w:val="00C52C33"/>
    <w:rsid w:val="00CF64BD"/>
    <w:rsid w:val="00D61808"/>
    <w:rsid w:val="00DA3913"/>
    <w:rsid w:val="00E132EC"/>
    <w:rsid w:val="00E73957"/>
    <w:rsid w:val="00F95DAB"/>
    <w:rsid w:val="00FA21DF"/>
    <w:rsid w:val="00FA4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FE140"/>
  <w15:docId w15:val="{905326FE-A626-47EB-A6DA-F81A0EFE1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8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48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48B2"/>
    <w:pPr>
      <w:ind w:left="720"/>
      <w:contextualSpacing/>
    </w:pPr>
  </w:style>
  <w:style w:type="paragraph" w:styleId="NormalWeb">
    <w:name w:val="Normal (Web)"/>
    <w:basedOn w:val="Normal"/>
    <w:uiPriority w:val="99"/>
    <w:semiHidden/>
    <w:unhideWhenUsed/>
    <w:rsid w:val="00650E3A"/>
    <w:pPr>
      <w:spacing w:before="100" w:beforeAutospacing="1" w:after="100" w:afterAutospacing="1" w:line="240" w:lineRule="auto"/>
    </w:pPr>
    <w:rPr>
      <w:rFonts w:eastAsia="Times New Roman" w:cs="Times New Roman"/>
      <w:kern w:val="0"/>
      <w:sz w:val="24"/>
      <w:szCs w:val="24"/>
      <w14:ligatures w14:val="none"/>
    </w:rPr>
  </w:style>
  <w:style w:type="paragraph" w:styleId="BalloonText">
    <w:name w:val="Balloon Text"/>
    <w:basedOn w:val="Normal"/>
    <w:link w:val="BalloonTextChar"/>
    <w:uiPriority w:val="99"/>
    <w:semiHidden/>
    <w:unhideWhenUsed/>
    <w:rsid w:val="00FA4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1F1"/>
    <w:rPr>
      <w:rFonts w:ascii="Tahoma" w:hAnsi="Tahoma" w:cs="Tahoma"/>
      <w:sz w:val="16"/>
      <w:szCs w:val="16"/>
    </w:rPr>
  </w:style>
  <w:style w:type="paragraph" w:styleId="Header">
    <w:name w:val="header"/>
    <w:basedOn w:val="Normal"/>
    <w:link w:val="HeaderChar"/>
    <w:uiPriority w:val="99"/>
    <w:unhideWhenUsed/>
    <w:rsid w:val="00C52C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C33"/>
  </w:style>
  <w:style w:type="paragraph" w:styleId="Footer">
    <w:name w:val="footer"/>
    <w:basedOn w:val="Normal"/>
    <w:link w:val="FooterChar"/>
    <w:uiPriority w:val="99"/>
    <w:unhideWhenUsed/>
    <w:rsid w:val="00C52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95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A0F6B-953F-436E-B542-A55FD87EF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Hằng Nguyễn Thị Minh</dc:creator>
  <cp:lastModifiedBy>Le Thu Huong (VTTh)</cp:lastModifiedBy>
  <cp:revision>2</cp:revision>
  <cp:lastPrinted>2024-11-19T02:08:00Z</cp:lastPrinted>
  <dcterms:created xsi:type="dcterms:W3CDTF">2024-11-19T09:21:00Z</dcterms:created>
  <dcterms:modified xsi:type="dcterms:W3CDTF">2024-11-19T09:21:00Z</dcterms:modified>
</cp:coreProperties>
</file>