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2B6" w:rsidRPr="003E6ED8" w:rsidRDefault="008372B6" w:rsidP="003E6ED8">
      <w:pPr>
        <w:pStyle w:val="ListBullet"/>
        <w:ind w:left="57" w:right="57"/>
        <w:rPr>
          <w:rFonts w:ascii="Arial" w:hAnsi="Arial" w:cs="Arial"/>
          <w:sz w:val="24"/>
          <w:szCs w:val="24"/>
        </w:rPr>
      </w:pPr>
      <w:r w:rsidRPr="003E6ED8">
        <w:rPr>
          <w:rFonts w:ascii="Arial" w:hAnsi="Arial" w:cs="Arial"/>
          <w:sz w:val="24"/>
          <w:szCs w:val="24"/>
        </w:rPr>
        <w:t>DANH MỤC</w:t>
      </w:r>
    </w:p>
    <w:p w:rsidR="008372B6" w:rsidRPr="003E6ED8" w:rsidRDefault="008372B6" w:rsidP="003E6ED8">
      <w:pPr>
        <w:pStyle w:val="ListBullet"/>
        <w:ind w:left="57" w:right="57"/>
        <w:rPr>
          <w:rFonts w:ascii="Arial" w:hAnsi="Arial" w:cs="Arial"/>
          <w:sz w:val="24"/>
          <w:szCs w:val="24"/>
        </w:rPr>
      </w:pPr>
      <w:r w:rsidRPr="003E6ED8">
        <w:rPr>
          <w:rFonts w:ascii="Arial" w:hAnsi="Arial" w:cs="Arial"/>
          <w:sz w:val="24"/>
          <w:szCs w:val="24"/>
        </w:rPr>
        <w:t>CÁC GIAO DỊCH BẮT BUỘC PHẢI THANH TOÁN QUA NGÂN HÀNG</w:t>
      </w:r>
    </w:p>
    <w:p w:rsidR="00CB208C" w:rsidRPr="003E6ED8" w:rsidRDefault="00CB208C" w:rsidP="003E6ED8">
      <w:pPr>
        <w:pStyle w:val="ListBullet"/>
        <w:ind w:left="57" w:right="57"/>
        <w:rPr>
          <w:rFonts w:ascii="Arial" w:hAnsi="Arial" w:cs="Arial"/>
          <w:sz w:val="24"/>
          <w:szCs w:val="24"/>
        </w:rPr>
      </w:pPr>
    </w:p>
    <w:tbl>
      <w:tblPr>
        <w:tblStyle w:val="TableGrid"/>
        <w:tblW w:w="13892" w:type="dxa"/>
        <w:tblInd w:w="108" w:type="dxa"/>
        <w:tblLook w:val="04A0" w:firstRow="1" w:lastRow="0" w:firstColumn="1" w:lastColumn="0" w:noHBand="0" w:noVBand="1"/>
      </w:tblPr>
      <w:tblGrid>
        <w:gridCol w:w="1237"/>
        <w:gridCol w:w="2874"/>
        <w:gridCol w:w="4820"/>
        <w:gridCol w:w="4961"/>
      </w:tblGrid>
      <w:tr w:rsidR="00EA2AFB" w:rsidRPr="003E6ED8" w:rsidTr="004702F2">
        <w:tc>
          <w:tcPr>
            <w:tcW w:w="1237" w:type="dxa"/>
          </w:tcPr>
          <w:p w:rsidR="008372B6" w:rsidRPr="003E6ED8" w:rsidRDefault="008372B6" w:rsidP="003E6ED8">
            <w:pPr>
              <w:pStyle w:val="ListBullet"/>
              <w:ind w:left="57" w:right="57"/>
              <w:rPr>
                <w:rFonts w:ascii="Arial" w:hAnsi="Arial" w:cs="Arial"/>
                <w:sz w:val="24"/>
                <w:szCs w:val="24"/>
              </w:rPr>
            </w:pPr>
            <w:r w:rsidRPr="003E6ED8">
              <w:rPr>
                <w:rFonts w:ascii="Arial" w:hAnsi="Arial" w:cs="Arial"/>
                <w:sz w:val="24"/>
                <w:szCs w:val="24"/>
              </w:rPr>
              <w:t>STT</w:t>
            </w:r>
          </w:p>
        </w:tc>
        <w:tc>
          <w:tcPr>
            <w:tcW w:w="2874" w:type="dxa"/>
          </w:tcPr>
          <w:p w:rsidR="008372B6" w:rsidRPr="003E6ED8" w:rsidRDefault="000F7CA2" w:rsidP="003E6ED8">
            <w:pPr>
              <w:pStyle w:val="ListBullet"/>
              <w:ind w:left="57" w:right="57"/>
              <w:rPr>
                <w:rFonts w:ascii="Arial" w:hAnsi="Arial" w:cs="Arial"/>
                <w:sz w:val="24"/>
                <w:szCs w:val="24"/>
              </w:rPr>
            </w:pPr>
            <w:r w:rsidRPr="003E6ED8">
              <w:rPr>
                <w:rFonts w:ascii="Arial" w:hAnsi="Arial" w:cs="Arial"/>
                <w:sz w:val="24"/>
                <w:szCs w:val="24"/>
              </w:rPr>
              <w:t>C</w:t>
            </w:r>
            <w:r w:rsidR="00617FC4" w:rsidRPr="003E6ED8">
              <w:rPr>
                <w:rFonts w:ascii="Arial" w:hAnsi="Arial" w:cs="Arial"/>
                <w:sz w:val="24"/>
                <w:szCs w:val="24"/>
              </w:rPr>
              <w:t>ác loại giao dịch</w:t>
            </w:r>
          </w:p>
        </w:tc>
        <w:tc>
          <w:tcPr>
            <w:tcW w:w="4820" w:type="dxa"/>
          </w:tcPr>
          <w:p w:rsidR="008372B6" w:rsidRPr="003E6ED8" w:rsidRDefault="008372B6" w:rsidP="003E6ED8">
            <w:pPr>
              <w:pStyle w:val="ListBullet"/>
              <w:ind w:left="57" w:right="57"/>
              <w:rPr>
                <w:rFonts w:ascii="Arial" w:hAnsi="Arial" w:cs="Arial"/>
                <w:sz w:val="24"/>
                <w:szCs w:val="24"/>
              </w:rPr>
            </w:pPr>
            <w:r w:rsidRPr="003E6ED8">
              <w:rPr>
                <w:rFonts w:ascii="Arial" w:hAnsi="Arial" w:cs="Arial"/>
                <w:sz w:val="24"/>
                <w:szCs w:val="24"/>
              </w:rPr>
              <w:t>Phạm vi và đối tượng áp dụng</w:t>
            </w:r>
          </w:p>
        </w:tc>
        <w:tc>
          <w:tcPr>
            <w:tcW w:w="4961" w:type="dxa"/>
          </w:tcPr>
          <w:p w:rsidR="008372B6" w:rsidRPr="003E6ED8" w:rsidRDefault="008372B6" w:rsidP="003E6ED8">
            <w:pPr>
              <w:pStyle w:val="ListBullet"/>
              <w:ind w:left="57" w:right="57"/>
              <w:rPr>
                <w:rFonts w:ascii="Arial" w:hAnsi="Arial" w:cs="Arial"/>
                <w:sz w:val="24"/>
                <w:szCs w:val="24"/>
              </w:rPr>
            </w:pPr>
            <w:r w:rsidRPr="003E6ED8">
              <w:rPr>
                <w:rFonts w:ascii="Arial" w:hAnsi="Arial" w:cs="Arial"/>
                <w:sz w:val="24"/>
                <w:szCs w:val="24"/>
              </w:rPr>
              <w:t>Văn bản tham chiếu</w:t>
            </w:r>
          </w:p>
        </w:tc>
      </w:tr>
      <w:tr w:rsidR="00EA2AFB" w:rsidRPr="003E6ED8" w:rsidTr="004702F2">
        <w:tc>
          <w:tcPr>
            <w:tcW w:w="1237" w:type="dxa"/>
          </w:tcPr>
          <w:p w:rsidR="000F7CA2" w:rsidRPr="003E6ED8" w:rsidRDefault="000F7CA2" w:rsidP="003E6ED8">
            <w:pPr>
              <w:pStyle w:val="ListBullet"/>
              <w:ind w:left="57" w:right="57"/>
              <w:rPr>
                <w:rFonts w:ascii="Arial" w:hAnsi="Arial" w:cs="Arial"/>
                <w:sz w:val="24"/>
                <w:szCs w:val="24"/>
              </w:rPr>
            </w:pPr>
            <w:r w:rsidRPr="003E6ED8">
              <w:rPr>
                <w:rFonts w:ascii="Arial" w:hAnsi="Arial" w:cs="Arial"/>
                <w:sz w:val="24"/>
                <w:szCs w:val="24"/>
              </w:rPr>
              <w:t>I</w:t>
            </w:r>
          </w:p>
        </w:tc>
        <w:tc>
          <w:tcPr>
            <w:tcW w:w="12655" w:type="dxa"/>
            <w:gridSpan w:val="3"/>
          </w:tcPr>
          <w:p w:rsidR="000F7CA2" w:rsidRPr="003E6ED8" w:rsidRDefault="000F7CA2" w:rsidP="003E6ED8">
            <w:pPr>
              <w:pStyle w:val="ListBullet"/>
              <w:ind w:left="57" w:right="57"/>
              <w:rPr>
                <w:rFonts w:ascii="Arial" w:hAnsi="Arial" w:cs="Arial"/>
                <w:sz w:val="24"/>
                <w:szCs w:val="24"/>
              </w:rPr>
            </w:pPr>
            <w:r w:rsidRPr="003E6ED8">
              <w:rPr>
                <w:rFonts w:ascii="Arial" w:hAnsi="Arial" w:cs="Arial"/>
                <w:sz w:val="24"/>
                <w:szCs w:val="24"/>
              </w:rPr>
              <w:t>BỘ TÀI CHÍNH</w:t>
            </w:r>
          </w:p>
        </w:tc>
      </w:tr>
      <w:tr w:rsidR="00EA2AFB" w:rsidRPr="003E6ED8" w:rsidTr="004702F2">
        <w:tc>
          <w:tcPr>
            <w:tcW w:w="1237" w:type="dxa"/>
          </w:tcPr>
          <w:p w:rsidR="000F7CA2" w:rsidRPr="003E6ED8" w:rsidRDefault="000F7CA2" w:rsidP="003E6ED8">
            <w:pPr>
              <w:pStyle w:val="ListBullet"/>
              <w:ind w:left="57" w:right="57"/>
              <w:rPr>
                <w:rFonts w:ascii="Arial" w:hAnsi="Arial" w:cs="Arial"/>
                <w:sz w:val="24"/>
                <w:szCs w:val="24"/>
              </w:rPr>
            </w:pPr>
            <w:r w:rsidRPr="003E6ED8">
              <w:rPr>
                <w:rFonts w:ascii="Arial" w:hAnsi="Arial" w:cs="Arial"/>
                <w:sz w:val="24"/>
                <w:szCs w:val="24"/>
              </w:rPr>
              <w:t>1</w:t>
            </w:r>
          </w:p>
        </w:tc>
        <w:tc>
          <w:tcPr>
            <w:tcW w:w="12655" w:type="dxa"/>
            <w:gridSpan w:val="3"/>
          </w:tcPr>
          <w:p w:rsidR="000F7CA2" w:rsidRPr="003E6ED8" w:rsidRDefault="000F7CA2" w:rsidP="003E6ED8">
            <w:pPr>
              <w:pStyle w:val="ListBullet"/>
              <w:ind w:left="57" w:right="57"/>
              <w:rPr>
                <w:rFonts w:ascii="Arial" w:hAnsi="Arial" w:cs="Arial"/>
                <w:sz w:val="24"/>
                <w:szCs w:val="24"/>
              </w:rPr>
            </w:pPr>
            <w:r w:rsidRPr="003E6ED8">
              <w:rPr>
                <w:rFonts w:ascii="Arial" w:hAnsi="Arial" w:cs="Arial"/>
                <w:sz w:val="24"/>
                <w:szCs w:val="24"/>
              </w:rPr>
              <w:t>Trong lĩnh vực chứng khoán</w:t>
            </w:r>
          </w:p>
        </w:tc>
      </w:tr>
      <w:tr w:rsidR="00EA2AFB" w:rsidRPr="003E6ED8" w:rsidTr="004702F2">
        <w:tc>
          <w:tcPr>
            <w:tcW w:w="1237" w:type="dxa"/>
          </w:tcPr>
          <w:p w:rsidR="0032689A" w:rsidRPr="003E6ED8" w:rsidRDefault="0032689A" w:rsidP="003E6ED8">
            <w:pPr>
              <w:pStyle w:val="ListBullet"/>
              <w:ind w:left="57" w:right="57"/>
              <w:rPr>
                <w:rFonts w:ascii="Arial" w:hAnsi="Arial" w:cs="Arial"/>
                <w:sz w:val="24"/>
                <w:szCs w:val="24"/>
              </w:rPr>
            </w:pPr>
            <w:r w:rsidRPr="003E6ED8">
              <w:rPr>
                <w:rFonts w:ascii="Arial" w:hAnsi="Arial" w:cs="Arial"/>
                <w:sz w:val="24"/>
                <w:szCs w:val="24"/>
              </w:rPr>
              <w:t>1.1</w:t>
            </w:r>
          </w:p>
        </w:tc>
        <w:tc>
          <w:tcPr>
            <w:tcW w:w="2874" w:type="dxa"/>
          </w:tcPr>
          <w:p w:rsidR="0032689A" w:rsidRPr="003E6ED8" w:rsidRDefault="00C74DBB" w:rsidP="003E6ED8">
            <w:pPr>
              <w:pStyle w:val="ListBullet"/>
              <w:ind w:left="57" w:right="57"/>
              <w:jc w:val="both"/>
              <w:rPr>
                <w:rFonts w:ascii="Arial" w:hAnsi="Arial" w:cs="Arial"/>
                <w:b w:val="0"/>
                <w:sz w:val="24"/>
                <w:szCs w:val="24"/>
              </w:rPr>
            </w:pPr>
            <w:r w:rsidRPr="003E6ED8">
              <w:rPr>
                <w:rFonts w:ascii="Arial" w:hAnsi="Arial" w:cs="Arial"/>
                <w:b w:val="0"/>
                <w:sz w:val="24"/>
                <w:szCs w:val="24"/>
              </w:rPr>
              <w:t>Thanh toán giao dịch chứng khoán</w:t>
            </w:r>
          </w:p>
        </w:tc>
        <w:tc>
          <w:tcPr>
            <w:tcW w:w="4820" w:type="dxa"/>
          </w:tcPr>
          <w:p w:rsidR="00A8140A" w:rsidRPr="003E6ED8" w:rsidRDefault="00A8140A"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Giao dịch chứng khoá</w:t>
            </w:r>
            <w:r w:rsidR="004940E8" w:rsidRPr="003E6ED8">
              <w:rPr>
                <w:rFonts w:ascii="Arial" w:hAnsi="Arial" w:cs="Arial"/>
                <w:b w:val="0"/>
                <w:sz w:val="24"/>
                <w:szCs w:val="24"/>
              </w:rPr>
              <w:t>n trên Sở giao dịch chứng khoán;</w:t>
            </w:r>
          </w:p>
          <w:p w:rsidR="0032689A" w:rsidRPr="003E6ED8" w:rsidRDefault="00A8140A"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G</w:t>
            </w:r>
            <w:r w:rsidR="0032689A" w:rsidRPr="003E6ED8">
              <w:rPr>
                <w:rFonts w:ascii="Arial" w:hAnsi="Arial" w:cs="Arial"/>
                <w:b w:val="0"/>
                <w:sz w:val="24"/>
                <w:szCs w:val="24"/>
              </w:rPr>
              <w:t>iao dịch chứng khoán đã đăng ký, lưu ký tại Trung tâm lưu ký chứng khoán Việt Nam</w:t>
            </w:r>
            <w:r w:rsidR="004940E8" w:rsidRPr="003E6ED8">
              <w:rPr>
                <w:rFonts w:ascii="Arial" w:hAnsi="Arial" w:cs="Arial"/>
                <w:b w:val="0"/>
                <w:sz w:val="24"/>
                <w:szCs w:val="24"/>
              </w:rPr>
              <w:t>.</w:t>
            </w:r>
            <w:bookmarkStart w:id="0" w:name="_GoBack"/>
            <w:bookmarkEnd w:id="0"/>
          </w:p>
        </w:tc>
        <w:tc>
          <w:tcPr>
            <w:tcW w:w="4961" w:type="dxa"/>
          </w:tcPr>
          <w:p w:rsidR="0032689A" w:rsidRPr="003E6ED8" w:rsidRDefault="006E3458"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xml:space="preserve">- </w:t>
            </w:r>
            <w:r w:rsidR="0032689A" w:rsidRPr="003E6ED8">
              <w:rPr>
                <w:rFonts w:ascii="Arial" w:hAnsi="Arial" w:cs="Arial"/>
                <w:b w:val="0"/>
                <w:sz w:val="24"/>
                <w:szCs w:val="24"/>
              </w:rPr>
              <w:t>Luật chứng khoán</w:t>
            </w:r>
            <w:r w:rsidRPr="003E6ED8">
              <w:rPr>
                <w:rFonts w:ascii="Arial" w:hAnsi="Arial" w:cs="Arial"/>
                <w:b w:val="0"/>
                <w:sz w:val="24"/>
                <w:szCs w:val="24"/>
              </w:rPr>
              <w:t>;</w:t>
            </w:r>
          </w:p>
          <w:p w:rsidR="006E3458" w:rsidRPr="003E6ED8" w:rsidRDefault="006E3458"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w:t>
            </w:r>
            <w:r w:rsidR="0053002C" w:rsidRPr="003E6ED8">
              <w:rPr>
                <w:rFonts w:ascii="Arial" w:hAnsi="Arial" w:cs="Arial"/>
                <w:b w:val="0"/>
                <w:sz w:val="24"/>
                <w:szCs w:val="24"/>
              </w:rPr>
              <w:t xml:space="preserve"> </w:t>
            </w:r>
            <w:r w:rsidRPr="003E6ED8">
              <w:rPr>
                <w:rFonts w:ascii="Arial" w:hAnsi="Arial" w:cs="Arial"/>
                <w:b w:val="0"/>
                <w:sz w:val="24"/>
                <w:szCs w:val="24"/>
              </w:rPr>
              <w:t>Ngh</w:t>
            </w:r>
            <w:r w:rsidR="00A60D11" w:rsidRPr="003E6ED8">
              <w:rPr>
                <w:rFonts w:ascii="Arial" w:hAnsi="Arial" w:cs="Arial"/>
                <w:b w:val="0"/>
                <w:sz w:val="24"/>
                <w:szCs w:val="24"/>
              </w:rPr>
              <w:t>ị định số 222/2013/NĐ-CP ngày 31</w:t>
            </w:r>
            <w:r w:rsidRPr="003E6ED8">
              <w:rPr>
                <w:rFonts w:ascii="Arial" w:hAnsi="Arial" w:cs="Arial"/>
                <w:b w:val="0"/>
                <w:sz w:val="24"/>
                <w:szCs w:val="24"/>
              </w:rPr>
              <w:t>/12/2013 của Chính phủ về thanh toán bằng tiền mặt</w:t>
            </w:r>
            <w:r w:rsidR="001157A3" w:rsidRPr="003E6ED8">
              <w:rPr>
                <w:rFonts w:ascii="Arial" w:hAnsi="Arial" w:cs="Arial"/>
                <w:b w:val="0"/>
                <w:sz w:val="24"/>
                <w:szCs w:val="24"/>
              </w:rPr>
              <w:t>.</w:t>
            </w:r>
          </w:p>
        </w:tc>
      </w:tr>
      <w:tr w:rsidR="00EA2AFB" w:rsidRPr="003E6ED8" w:rsidTr="004702F2">
        <w:tc>
          <w:tcPr>
            <w:tcW w:w="1237" w:type="dxa"/>
          </w:tcPr>
          <w:p w:rsidR="00F16835" w:rsidRPr="003E6ED8" w:rsidRDefault="00F16835" w:rsidP="003E6ED8">
            <w:pPr>
              <w:pStyle w:val="ListBullet"/>
              <w:ind w:left="57" w:right="57"/>
              <w:rPr>
                <w:rFonts w:ascii="Arial" w:hAnsi="Arial" w:cs="Arial"/>
                <w:sz w:val="24"/>
                <w:szCs w:val="24"/>
              </w:rPr>
            </w:pPr>
            <w:r w:rsidRPr="003E6ED8">
              <w:rPr>
                <w:rFonts w:ascii="Arial" w:hAnsi="Arial" w:cs="Arial"/>
                <w:sz w:val="24"/>
                <w:szCs w:val="24"/>
              </w:rPr>
              <w:t>1.2</w:t>
            </w:r>
          </w:p>
        </w:tc>
        <w:tc>
          <w:tcPr>
            <w:tcW w:w="2874" w:type="dxa"/>
          </w:tcPr>
          <w:p w:rsidR="00F16835" w:rsidRPr="003E6ED8" w:rsidRDefault="00C74DBB" w:rsidP="003E6ED8">
            <w:pPr>
              <w:pStyle w:val="ListBullet"/>
              <w:ind w:left="57" w:right="57"/>
              <w:jc w:val="both"/>
              <w:rPr>
                <w:rFonts w:ascii="Arial" w:hAnsi="Arial" w:cs="Arial"/>
                <w:b w:val="0"/>
                <w:sz w:val="24"/>
                <w:szCs w:val="24"/>
              </w:rPr>
            </w:pPr>
            <w:r w:rsidRPr="003E6ED8">
              <w:rPr>
                <w:rFonts w:ascii="Arial" w:hAnsi="Arial" w:cs="Arial"/>
                <w:b w:val="0"/>
                <w:sz w:val="24"/>
                <w:szCs w:val="24"/>
              </w:rPr>
              <w:t>Thanh toán giao dịch trái phiếu Chính phủ</w:t>
            </w:r>
          </w:p>
        </w:tc>
        <w:tc>
          <w:tcPr>
            <w:tcW w:w="4820" w:type="dxa"/>
          </w:tcPr>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Thanh toán giao dịch trái phiếu Chính phủ được thực hiện qua Ngân hàng Nhà nước Việt Nam</w:t>
            </w:r>
            <w:r w:rsidR="004940E8" w:rsidRPr="003E6ED8">
              <w:rPr>
                <w:rFonts w:ascii="Arial" w:hAnsi="Arial" w:cs="Arial"/>
                <w:b w:val="0"/>
                <w:sz w:val="24"/>
                <w:szCs w:val="24"/>
              </w:rPr>
              <w:t>.</w:t>
            </w:r>
          </w:p>
        </w:tc>
        <w:tc>
          <w:tcPr>
            <w:tcW w:w="4961" w:type="dxa"/>
          </w:tcPr>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Ngh</w:t>
            </w:r>
            <w:r w:rsidR="004940E8" w:rsidRPr="003E6ED8">
              <w:rPr>
                <w:rFonts w:ascii="Arial" w:hAnsi="Arial" w:cs="Arial"/>
                <w:b w:val="0"/>
                <w:sz w:val="24"/>
                <w:szCs w:val="24"/>
              </w:rPr>
              <w:t>ị định số 222/2013/NĐ-CP ngày 31</w:t>
            </w:r>
            <w:r w:rsidRPr="003E6ED8">
              <w:rPr>
                <w:rFonts w:ascii="Arial" w:hAnsi="Arial" w:cs="Arial"/>
                <w:b w:val="0"/>
                <w:sz w:val="24"/>
                <w:szCs w:val="24"/>
              </w:rPr>
              <w:t>/12/2013 của Chính phủ về thanh toán bằng tiền mặt;</w:t>
            </w:r>
          </w:p>
          <w:p w:rsidR="00F16835" w:rsidRPr="003E6ED8" w:rsidRDefault="00F16835"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t>- Thông tư số 46/2017/TT-BTC ngày 12/5/2017 của Bộ Tài chính hướng dẫn hoạt động thanh toán giao dịch trái phiếu Chính phủ, trái phiếu được Chính phủ bảo lãnh và trái phiếu chính quyền địa phương.</w:t>
            </w:r>
          </w:p>
        </w:tc>
      </w:tr>
      <w:tr w:rsidR="00EA2AFB" w:rsidRPr="003E6ED8" w:rsidTr="004702F2">
        <w:tc>
          <w:tcPr>
            <w:tcW w:w="1237" w:type="dxa"/>
          </w:tcPr>
          <w:p w:rsidR="00F16835" w:rsidRPr="003E6ED8" w:rsidRDefault="00F16835" w:rsidP="003E6ED8">
            <w:pPr>
              <w:pStyle w:val="ListBullet"/>
              <w:ind w:left="57" w:right="57"/>
              <w:rPr>
                <w:rFonts w:ascii="Arial" w:hAnsi="Arial" w:cs="Arial"/>
                <w:sz w:val="24"/>
                <w:szCs w:val="24"/>
              </w:rPr>
            </w:pPr>
            <w:r w:rsidRPr="003E6ED8">
              <w:rPr>
                <w:rFonts w:ascii="Arial" w:hAnsi="Arial" w:cs="Arial"/>
                <w:sz w:val="24"/>
                <w:szCs w:val="24"/>
              </w:rPr>
              <w:t>1.3</w:t>
            </w:r>
          </w:p>
        </w:tc>
        <w:tc>
          <w:tcPr>
            <w:tcW w:w="2874" w:type="dxa"/>
          </w:tcPr>
          <w:p w:rsidR="00F16835" w:rsidRPr="003E6ED8" w:rsidRDefault="00C74DBB" w:rsidP="003E6ED8">
            <w:pPr>
              <w:pStyle w:val="ListBullet"/>
              <w:ind w:left="57" w:right="57"/>
              <w:jc w:val="both"/>
              <w:rPr>
                <w:rFonts w:ascii="Arial" w:hAnsi="Arial" w:cs="Arial"/>
                <w:b w:val="0"/>
                <w:sz w:val="24"/>
                <w:szCs w:val="24"/>
              </w:rPr>
            </w:pPr>
            <w:r w:rsidRPr="003E6ED8">
              <w:rPr>
                <w:rFonts w:ascii="Arial" w:hAnsi="Arial" w:cs="Arial"/>
                <w:b w:val="0"/>
                <w:sz w:val="24"/>
                <w:szCs w:val="24"/>
              </w:rPr>
              <w:t>Giao dịch chứng khoán cho khách hàng của công ty chứng khoán</w:t>
            </w:r>
          </w:p>
        </w:tc>
        <w:tc>
          <w:tcPr>
            <w:tcW w:w="4820" w:type="dxa"/>
          </w:tcPr>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Giao dịch chứng khoán cho khách hàng của công ty chứng khoán được thực hiện qua ngân hàng thương mại</w:t>
            </w:r>
          </w:p>
        </w:tc>
        <w:tc>
          <w:tcPr>
            <w:tcW w:w="4961" w:type="dxa"/>
          </w:tcPr>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Ngh</w:t>
            </w:r>
            <w:r w:rsidR="007D3366" w:rsidRPr="003E6ED8">
              <w:rPr>
                <w:rFonts w:ascii="Arial" w:hAnsi="Arial" w:cs="Arial"/>
                <w:b w:val="0"/>
                <w:sz w:val="24"/>
                <w:szCs w:val="24"/>
              </w:rPr>
              <w:t>ị định số 222/2013/NĐ-CP ngày 31</w:t>
            </w:r>
            <w:r w:rsidRPr="003E6ED8">
              <w:rPr>
                <w:rFonts w:ascii="Arial" w:hAnsi="Arial" w:cs="Arial"/>
                <w:b w:val="0"/>
                <w:sz w:val="24"/>
                <w:szCs w:val="24"/>
              </w:rPr>
              <w:t>/12/2013 của Chính phủ về thanh toán bằng tiền mặt;</w:t>
            </w:r>
          </w:p>
          <w:p w:rsidR="00F05201"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Thông tư số 210/2012/TT-BTC ngày 30/11/2012 của Bộ Tài chính hướng dẫn thành lập và hoạt động của công ty chứng khoán.</w:t>
            </w:r>
          </w:p>
        </w:tc>
      </w:tr>
      <w:tr w:rsidR="00EA2AFB" w:rsidRPr="003E6ED8" w:rsidTr="004702F2">
        <w:tc>
          <w:tcPr>
            <w:tcW w:w="1237" w:type="dxa"/>
          </w:tcPr>
          <w:p w:rsidR="000F7CA2" w:rsidRPr="003E6ED8" w:rsidRDefault="000F7CA2" w:rsidP="003E6ED8">
            <w:pPr>
              <w:pStyle w:val="ListBullet"/>
              <w:ind w:left="57" w:right="57"/>
              <w:rPr>
                <w:rFonts w:ascii="Arial" w:hAnsi="Arial" w:cs="Arial"/>
                <w:sz w:val="24"/>
                <w:szCs w:val="24"/>
              </w:rPr>
            </w:pPr>
            <w:r w:rsidRPr="003E6ED8">
              <w:rPr>
                <w:rFonts w:ascii="Arial" w:hAnsi="Arial" w:cs="Arial"/>
                <w:sz w:val="24"/>
                <w:szCs w:val="24"/>
              </w:rPr>
              <w:t>2</w:t>
            </w:r>
          </w:p>
        </w:tc>
        <w:tc>
          <w:tcPr>
            <w:tcW w:w="12655" w:type="dxa"/>
            <w:gridSpan w:val="3"/>
          </w:tcPr>
          <w:p w:rsidR="000F7CA2" w:rsidRPr="003E6ED8" w:rsidRDefault="000F7CA2" w:rsidP="003E6ED8">
            <w:pPr>
              <w:pStyle w:val="ListBullet"/>
              <w:spacing w:before="120" w:after="120"/>
              <w:ind w:left="57" w:right="57"/>
              <w:rPr>
                <w:rFonts w:ascii="Arial" w:hAnsi="Arial" w:cs="Arial"/>
                <w:sz w:val="24"/>
                <w:szCs w:val="24"/>
              </w:rPr>
            </w:pPr>
            <w:r w:rsidRPr="003E6ED8">
              <w:rPr>
                <w:rFonts w:ascii="Arial" w:hAnsi="Arial" w:cs="Arial"/>
                <w:sz w:val="24"/>
                <w:szCs w:val="24"/>
              </w:rPr>
              <w:t>Trong lĩnh vực thu, chi ngân sách nhà nước</w:t>
            </w:r>
          </w:p>
        </w:tc>
      </w:tr>
      <w:tr w:rsidR="00EA2AFB" w:rsidRPr="003E6ED8" w:rsidTr="004702F2">
        <w:tc>
          <w:tcPr>
            <w:tcW w:w="1237" w:type="dxa"/>
          </w:tcPr>
          <w:p w:rsidR="00F16835" w:rsidRPr="003E6ED8" w:rsidRDefault="00F16835" w:rsidP="003E6ED8">
            <w:pPr>
              <w:pStyle w:val="ListBullet"/>
              <w:ind w:left="57" w:right="57"/>
              <w:rPr>
                <w:rFonts w:ascii="Arial" w:hAnsi="Arial" w:cs="Arial"/>
                <w:sz w:val="24"/>
                <w:szCs w:val="24"/>
              </w:rPr>
            </w:pPr>
            <w:r w:rsidRPr="003E6ED8">
              <w:rPr>
                <w:rFonts w:ascii="Arial" w:hAnsi="Arial" w:cs="Arial"/>
                <w:sz w:val="24"/>
                <w:szCs w:val="24"/>
              </w:rPr>
              <w:t>2.1</w:t>
            </w:r>
          </w:p>
        </w:tc>
        <w:tc>
          <w:tcPr>
            <w:tcW w:w="2874" w:type="dxa"/>
          </w:tcPr>
          <w:p w:rsidR="00F16835" w:rsidRPr="003E6ED8" w:rsidRDefault="00F16835" w:rsidP="003E6ED8">
            <w:pPr>
              <w:pStyle w:val="ListBullet"/>
              <w:ind w:left="57" w:right="57"/>
              <w:jc w:val="both"/>
              <w:rPr>
                <w:rFonts w:ascii="Arial" w:hAnsi="Arial" w:cs="Arial"/>
                <w:b w:val="0"/>
                <w:sz w:val="24"/>
                <w:szCs w:val="24"/>
              </w:rPr>
            </w:pPr>
            <w:r w:rsidRPr="003E6ED8">
              <w:rPr>
                <w:rFonts w:ascii="Arial" w:hAnsi="Arial" w:cs="Arial"/>
                <w:b w:val="0"/>
                <w:sz w:val="24"/>
                <w:szCs w:val="24"/>
              </w:rPr>
              <w:t>V</w:t>
            </w:r>
            <w:r w:rsidR="000F7CA2" w:rsidRPr="003E6ED8">
              <w:rPr>
                <w:rFonts w:ascii="Arial" w:hAnsi="Arial" w:cs="Arial"/>
                <w:b w:val="0"/>
                <w:sz w:val="24"/>
                <w:szCs w:val="24"/>
              </w:rPr>
              <w:t>ề thu ngân sách nhà nước</w:t>
            </w:r>
          </w:p>
        </w:tc>
        <w:tc>
          <w:tcPr>
            <w:tcW w:w="4820" w:type="dxa"/>
          </w:tcPr>
          <w:p w:rsidR="00F16835" w:rsidRPr="003E6ED8" w:rsidRDefault="00F16835"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t xml:space="preserve">- Các đơn vị, tổ chức kinh tế có tài khoản </w:t>
            </w:r>
            <w:r w:rsidRPr="003E6ED8">
              <w:rPr>
                <w:rFonts w:ascii="Arial" w:hAnsi="Arial" w:cs="Arial"/>
                <w:sz w:val="24"/>
                <w:szCs w:val="24"/>
                <w:lang w:val="nl-NL"/>
              </w:rPr>
              <w:lastRenderedPageBreak/>
              <w:t xml:space="preserve">tại ngân hàng thương mại thực hiện nộp ngân sách nhà nước bằng hình thức thanh toán không dùng tiền mặt hoặc nộp bằng tiền mặt tại ngân hàng thương mại để chuyển nộp vào tài khoản của Kho bạc Nhà nước; </w:t>
            </w:r>
          </w:p>
          <w:p w:rsidR="00F16835" w:rsidRPr="003E6ED8" w:rsidRDefault="00F16835"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t>- Đối với các cá nhân và các đơn vị, tổ chức khác khi thực hiện nghĩa vụ nộp ngân sách nhà nước phải ưu tiên thanh toán bằng hình thức thanh toán không dùng tiền mặt.</w:t>
            </w:r>
          </w:p>
        </w:tc>
        <w:tc>
          <w:tcPr>
            <w:tcW w:w="4961" w:type="dxa"/>
          </w:tcPr>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lastRenderedPageBreak/>
              <w:t>- Ngh</w:t>
            </w:r>
            <w:r w:rsidR="007D3366" w:rsidRPr="003E6ED8">
              <w:rPr>
                <w:rFonts w:ascii="Arial" w:hAnsi="Arial" w:cs="Arial"/>
                <w:b w:val="0"/>
                <w:sz w:val="24"/>
                <w:szCs w:val="24"/>
              </w:rPr>
              <w:t xml:space="preserve">ị định số 222/2013/NĐ-CP ngày </w:t>
            </w:r>
            <w:r w:rsidR="007D3366" w:rsidRPr="003E6ED8">
              <w:rPr>
                <w:rFonts w:ascii="Arial" w:hAnsi="Arial" w:cs="Arial"/>
                <w:b w:val="0"/>
                <w:sz w:val="24"/>
                <w:szCs w:val="24"/>
              </w:rPr>
              <w:lastRenderedPageBreak/>
              <w:t>31</w:t>
            </w:r>
            <w:r w:rsidRPr="003E6ED8">
              <w:rPr>
                <w:rFonts w:ascii="Arial" w:hAnsi="Arial" w:cs="Arial"/>
                <w:b w:val="0"/>
                <w:sz w:val="24"/>
                <w:szCs w:val="24"/>
              </w:rPr>
              <w:t>/12/2013 của Chính phủ về thanh toán bằng tiền mặt;</w:t>
            </w:r>
          </w:p>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Thông tư số 13/2017/TT-BTC ngày 15/02/2017 của Bộ Tài chính quy định quản lý thu, chi bằng tiền mặt qua hệ thống Kho bạc Nhà nước</w:t>
            </w:r>
            <w:r w:rsidR="00330304" w:rsidRPr="003E6ED8">
              <w:rPr>
                <w:rFonts w:ascii="Arial" w:hAnsi="Arial" w:cs="Arial"/>
                <w:b w:val="0"/>
                <w:sz w:val="24"/>
                <w:szCs w:val="24"/>
              </w:rPr>
              <w:t>;</w:t>
            </w:r>
            <w:r w:rsidRPr="003E6ED8">
              <w:rPr>
                <w:rFonts w:ascii="Arial" w:hAnsi="Arial" w:cs="Arial"/>
                <w:b w:val="0"/>
                <w:sz w:val="24"/>
                <w:szCs w:val="24"/>
              </w:rPr>
              <w:t xml:space="preserve"> </w:t>
            </w:r>
          </w:p>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Thông tư số 136/2018/TT-BTC ngày 28/12/2018 của Bộ Tài chính sửa đổi, bổ sung một số điều của Thông tư số 13/2017/TT-BTC.</w:t>
            </w:r>
          </w:p>
        </w:tc>
      </w:tr>
      <w:tr w:rsidR="00EA2AFB" w:rsidRPr="003E6ED8" w:rsidTr="004702F2">
        <w:tc>
          <w:tcPr>
            <w:tcW w:w="1237" w:type="dxa"/>
          </w:tcPr>
          <w:p w:rsidR="00F16835" w:rsidRPr="003E6ED8" w:rsidRDefault="00F16835" w:rsidP="003E6ED8">
            <w:pPr>
              <w:pStyle w:val="ListBullet"/>
              <w:ind w:left="57" w:right="57"/>
              <w:rPr>
                <w:rFonts w:ascii="Arial" w:hAnsi="Arial" w:cs="Arial"/>
                <w:sz w:val="24"/>
                <w:szCs w:val="24"/>
              </w:rPr>
            </w:pPr>
            <w:r w:rsidRPr="003E6ED8">
              <w:rPr>
                <w:rFonts w:ascii="Arial" w:hAnsi="Arial" w:cs="Arial"/>
                <w:sz w:val="24"/>
                <w:szCs w:val="24"/>
              </w:rPr>
              <w:lastRenderedPageBreak/>
              <w:t>2.2</w:t>
            </w:r>
          </w:p>
        </w:tc>
        <w:tc>
          <w:tcPr>
            <w:tcW w:w="2874" w:type="dxa"/>
          </w:tcPr>
          <w:p w:rsidR="00F16835" w:rsidRPr="003E6ED8" w:rsidRDefault="00F16835" w:rsidP="003E6ED8">
            <w:pPr>
              <w:pStyle w:val="ListBullet"/>
              <w:ind w:left="57" w:right="57"/>
              <w:jc w:val="both"/>
              <w:rPr>
                <w:rFonts w:ascii="Arial" w:hAnsi="Arial" w:cs="Arial"/>
                <w:b w:val="0"/>
                <w:sz w:val="24"/>
                <w:szCs w:val="24"/>
              </w:rPr>
            </w:pPr>
            <w:r w:rsidRPr="003E6ED8">
              <w:rPr>
                <w:rFonts w:ascii="Arial" w:hAnsi="Arial" w:cs="Arial"/>
                <w:b w:val="0"/>
                <w:sz w:val="24"/>
                <w:szCs w:val="24"/>
              </w:rPr>
              <w:t>Về chi ngân sách nhà nước và các khoản chi khác:</w:t>
            </w:r>
          </w:p>
        </w:tc>
        <w:tc>
          <w:tcPr>
            <w:tcW w:w="4820" w:type="dxa"/>
          </w:tcPr>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xml:space="preserve">Các khoản chi của các đơn vị giao dịch với Kho bạc Nhà nước được thực hiện bằng hình thức chuyển khoản trực tiếp từ tài khoản của đơn vị giao dịch mở tại Kho bạc Nhà nước tới tài khoản của người cung cấp hàng hóa dịch vụ, người hưởng lương từ ngân sách nhà nước và người thụ hưởng khác tại Kho bạc Nhà nước hoặc ngân hàng, trừ những trường hợp được phép chi bằng tiền mặt quy định tại Điều 6 Thông tư số 13/2017/TT-BTC và Khoản 2 Điều 1 Thông tư số 136/2018/TT-BTC. </w:t>
            </w:r>
          </w:p>
        </w:tc>
        <w:tc>
          <w:tcPr>
            <w:tcW w:w="4961" w:type="dxa"/>
          </w:tcPr>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Ngh</w:t>
            </w:r>
            <w:r w:rsidR="00754350" w:rsidRPr="003E6ED8">
              <w:rPr>
                <w:rFonts w:ascii="Arial" w:hAnsi="Arial" w:cs="Arial"/>
                <w:b w:val="0"/>
                <w:sz w:val="24"/>
                <w:szCs w:val="24"/>
              </w:rPr>
              <w:t>ị định số 222/2013/NĐ-CP ngày 31</w:t>
            </w:r>
            <w:r w:rsidRPr="003E6ED8">
              <w:rPr>
                <w:rFonts w:ascii="Arial" w:hAnsi="Arial" w:cs="Arial"/>
                <w:b w:val="0"/>
                <w:sz w:val="24"/>
                <w:szCs w:val="24"/>
              </w:rPr>
              <w:t>/12/2013 của Chính phủ về thanh toán bằng tiền mặt;</w:t>
            </w:r>
          </w:p>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Thông tư số 13/2017/TT-BTC ngày 15/02/2017 của Bộ Tài chính quy định quản lý thu, chi bằng tiền mặt qua hệ thống Kho bạc Nhà nước</w:t>
            </w:r>
            <w:r w:rsidR="00754350" w:rsidRPr="003E6ED8">
              <w:rPr>
                <w:rFonts w:ascii="Arial" w:hAnsi="Arial" w:cs="Arial"/>
                <w:b w:val="0"/>
                <w:sz w:val="24"/>
                <w:szCs w:val="24"/>
              </w:rPr>
              <w:t>;</w:t>
            </w:r>
            <w:r w:rsidRPr="003E6ED8">
              <w:rPr>
                <w:rFonts w:ascii="Arial" w:hAnsi="Arial" w:cs="Arial"/>
                <w:b w:val="0"/>
                <w:sz w:val="24"/>
                <w:szCs w:val="24"/>
              </w:rPr>
              <w:t xml:space="preserve"> </w:t>
            </w:r>
          </w:p>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Thông tư số 136/2018/TT-BTC ngày 28/12/2018 của Bộ Tài chính sửa đổi, bổ sung một số điều của Thông tư số 13/2017/TT-BTC.</w:t>
            </w:r>
          </w:p>
          <w:p w:rsidR="00142C91" w:rsidRPr="003E6ED8" w:rsidRDefault="00142C91" w:rsidP="003E6ED8">
            <w:pPr>
              <w:pStyle w:val="ListBullet"/>
              <w:spacing w:before="120" w:after="120"/>
              <w:ind w:left="57" w:right="57"/>
              <w:jc w:val="both"/>
              <w:rPr>
                <w:rFonts w:ascii="Arial" w:hAnsi="Arial" w:cs="Arial"/>
                <w:b w:val="0"/>
                <w:sz w:val="24"/>
                <w:szCs w:val="24"/>
              </w:rPr>
            </w:pPr>
          </w:p>
          <w:p w:rsidR="00142C91" w:rsidRPr="003E6ED8" w:rsidRDefault="00142C91" w:rsidP="003E6ED8">
            <w:pPr>
              <w:pStyle w:val="ListBullet"/>
              <w:spacing w:before="120" w:after="120"/>
              <w:ind w:left="57" w:right="57"/>
              <w:jc w:val="both"/>
              <w:rPr>
                <w:rFonts w:ascii="Arial" w:hAnsi="Arial" w:cs="Arial"/>
                <w:b w:val="0"/>
                <w:sz w:val="24"/>
                <w:szCs w:val="24"/>
              </w:rPr>
            </w:pPr>
          </w:p>
        </w:tc>
      </w:tr>
      <w:tr w:rsidR="00EA2AFB" w:rsidRPr="003E6ED8" w:rsidTr="004702F2">
        <w:tc>
          <w:tcPr>
            <w:tcW w:w="1237" w:type="dxa"/>
          </w:tcPr>
          <w:p w:rsidR="000F7CA2" w:rsidRPr="003E6ED8" w:rsidRDefault="000F7CA2" w:rsidP="003E6ED8">
            <w:pPr>
              <w:pStyle w:val="ListBullet"/>
              <w:ind w:left="57" w:right="57"/>
              <w:rPr>
                <w:rFonts w:ascii="Arial" w:hAnsi="Arial" w:cs="Arial"/>
                <w:sz w:val="24"/>
                <w:szCs w:val="24"/>
              </w:rPr>
            </w:pPr>
            <w:r w:rsidRPr="003E6ED8">
              <w:rPr>
                <w:rFonts w:ascii="Arial" w:hAnsi="Arial" w:cs="Arial"/>
                <w:sz w:val="24"/>
                <w:szCs w:val="24"/>
              </w:rPr>
              <w:t>3</w:t>
            </w:r>
          </w:p>
        </w:tc>
        <w:tc>
          <w:tcPr>
            <w:tcW w:w="12655" w:type="dxa"/>
            <w:gridSpan w:val="3"/>
          </w:tcPr>
          <w:p w:rsidR="000F7CA2" w:rsidRPr="003E6ED8" w:rsidRDefault="000F7CA2" w:rsidP="003E6ED8">
            <w:pPr>
              <w:pStyle w:val="ListBullet"/>
              <w:spacing w:before="120" w:after="120"/>
              <w:ind w:left="57" w:right="57"/>
              <w:rPr>
                <w:rFonts w:ascii="Arial" w:hAnsi="Arial" w:cs="Arial"/>
                <w:sz w:val="24"/>
                <w:szCs w:val="24"/>
              </w:rPr>
            </w:pPr>
            <w:r w:rsidRPr="003E6ED8">
              <w:rPr>
                <w:rFonts w:ascii="Arial" w:hAnsi="Arial" w:cs="Arial"/>
                <w:sz w:val="24"/>
                <w:szCs w:val="24"/>
              </w:rPr>
              <w:t>Trong lĩnh vực thuế</w:t>
            </w:r>
          </w:p>
        </w:tc>
      </w:tr>
      <w:tr w:rsidR="00EA2AFB" w:rsidRPr="003E6ED8" w:rsidTr="004702F2">
        <w:tc>
          <w:tcPr>
            <w:tcW w:w="1237" w:type="dxa"/>
          </w:tcPr>
          <w:p w:rsidR="00F16835" w:rsidRPr="003E6ED8" w:rsidRDefault="00F16835" w:rsidP="003E6ED8">
            <w:pPr>
              <w:pStyle w:val="ListBullet"/>
              <w:ind w:left="57" w:right="57"/>
              <w:rPr>
                <w:rFonts w:ascii="Arial" w:hAnsi="Arial" w:cs="Arial"/>
                <w:sz w:val="24"/>
                <w:szCs w:val="24"/>
              </w:rPr>
            </w:pPr>
            <w:r w:rsidRPr="003E6ED8">
              <w:rPr>
                <w:rFonts w:ascii="Arial" w:hAnsi="Arial" w:cs="Arial"/>
                <w:sz w:val="24"/>
                <w:szCs w:val="24"/>
              </w:rPr>
              <w:t>3.1</w:t>
            </w:r>
          </w:p>
        </w:tc>
        <w:tc>
          <w:tcPr>
            <w:tcW w:w="2874" w:type="dxa"/>
          </w:tcPr>
          <w:p w:rsidR="00F16835" w:rsidRPr="003E6ED8" w:rsidRDefault="00412CB6" w:rsidP="003E6ED8">
            <w:pPr>
              <w:pStyle w:val="ListBullet"/>
              <w:ind w:left="57" w:right="57"/>
              <w:jc w:val="both"/>
              <w:rPr>
                <w:rFonts w:ascii="Arial" w:hAnsi="Arial" w:cs="Arial"/>
                <w:b w:val="0"/>
                <w:sz w:val="24"/>
                <w:szCs w:val="24"/>
              </w:rPr>
            </w:pPr>
            <w:r w:rsidRPr="003E6ED8">
              <w:rPr>
                <w:rFonts w:ascii="Arial" w:hAnsi="Arial" w:cs="Arial"/>
                <w:b w:val="0"/>
                <w:sz w:val="24"/>
                <w:szCs w:val="24"/>
              </w:rPr>
              <w:t>T</w:t>
            </w:r>
            <w:r w:rsidR="00F16835" w:rsidRPr="003E6ED8">
              <w:rPr>
                <w:rFonts w:ascii="Arial" w:hAnsi="Arial" w:cs="Arial"/>
                <w:b w:val="0"/>
                <w:sz w:val="24"/>
                <w:szCs w:val="24"/>
              </w:rPr>
              <w:t>huế giá trị gia tăng</w:t>
            </w:r>
            <w:r w:rsidRPr="003E6ED8">
              <w:rPr>
                <w:rFonts w:ascii="Arial" w:hAnsi="Arial" w:cs="Arial"/>
                <w:b w:val="0"/>
                <w:sz w:val="24"/>
                <w:szCs w:val="24"/>
              </w:rPr>
              <w:t xml:space="preserve"> </w:t>
            </w:r>
          </w:p>
        </w:tc>
        <w:tc>
          <w:tcPr>
            <w:tcW w:w="4820" w:type="dxa"/>
          </w:tcPr>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Hàng hóa, dịch vụ mua vào (</w:t>
            </w:r>
            <w:r w:rsidRPr="003E6ED8">
              <w:rPr>
                <w:rFonts w:ascii="Arial" w:hAnsi="Arial" w:cs="Arial"/>
                <w:b w:val="0"/>
                <w:i/>
                <w:sz w:val="24"/>
                <w:szCs w:val="24"/>
              </w:rPr>
              <w:t>trừ hàng hoá, dịch vụ mua từng lần có giá trị dưới hai mươi triệu đồng</w:t>
            </w:r>
            <w:r w:rsidRPr="003E6ED8">
              <w:rPr>
                <w:rFonts w:ascii="Arial" w:hAnsi="Arial" w:cs="Arial"/>
                <w:b w:val="0"/>
                <w:sz w:val="24"/>
                <w:szCs w:val="24"/>
              </w:rPr>
              <w:t xml:space="preserve">), hàng hóa, dịch vụ xuất khẩu phải có chứng từ thanh toán </w:t>
            </w:r>
            <w:r w:rsidRPr="003E6ED8">
              <w:rPr>
                <w:rFonts w:ascii="Arial" w:hAnsi="Arial" w:cs="Arial"/>
                <w:b w:val="0"/>
                <w:sz w:val="24"/>
                <w:szCs w:val="24"/>
              </w:rPr>
              <w:lastRenderedPageBreak/>
              <w:t>không dùng tiền mặt để người nộp thuế giá trị gia tăng được khấu trừ thuế giá trị gia tăng.</w:t>
            </w:r>
          </w:p>
        </w:tc>
        <w:tc>
          <w:tcPr>
            <w:tcW w:w="4961" w:type="dxa"/>
          </w:tcPr>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lastRenderedPageBreak/>
              <w:t>Luật số 31/2013/QH13, được sửa đổi, bổ sung một số điều của Luật thuế giá trị gia tăng số 13/2008/QH12 quy định về khấu trừ thuế giá trị gia tăng đầu vào</w:t>
            </w:r>
            <w:r w:rsidR="00754350" w:rsidRPr="003E6ED8">
              <w:rPr>
                <w:rFonts w:ascii="Arial" w:hAnsi="Arial" w:cs="Arial"/>
                <w:b w:val="0"/>
                <w:sz w:val="24"/>
                <w:szCs w:val="24"/>
              </w:rPr>
              <w:t>.</w:t>
            </w:r>
            <w:r w:rsidRPr="003E6ED8">
              <w:rPr>
                <w:rFonts w:ascii="Arial" w:hAnsi="Arial" w:cs="Arial"/>
                <w:b w:val="0"/>
                <w:sz w:val="24"/>
                <w:szCs w:val="24"/>
              </w:rPr>
              <w:t xml:space="preserve"> </w:t>
            </w:r>
          </w:p>
        </w:tc>
      </w:tr>
      <w:tr w:rsidR="00EA2AFB" w:rsidRPr="003E6ED8" w:rsidTr="004702F2">
        <w:tc>
          <w:tcPr>
            <w:tcW w:w="1237" w:type="dxa"/>
          </w:tcPr>
          <w:p w:rsidR="00F16835" w:rsidRPr="003E6ED8" w:rsidRDefault="00F16835" w:rsidP="003E6ED8">
            <w:pPr>
              <w:pStyle w:val="ListBullet"/>
              <w:ind w:left="57" w:right="57"/>
              <w:rPr>
                <w:rFonts w:ascii="Arial" w:hAnsi="Arial" w:cs="Arial"/>
                <w:sz w:val="24"/>
                <w:szCs w:val="24"/>
              </w:rPr>
            </w:pPr>
            <w:r w:rsidRPr="003E6ED8">
              <w:rPr>
                <w:rFonts w:ascii="Arial" w:hAnsi="Arial" w:cs="Arial"/>
                <w:sz w:val="24"/>
                <w:szCs w:val="24"/>
              </w:rPr>
              <w:t>3.2</w:t>
            </w:r>
          </w:p>
        </w:tc>
        <w:tc>
          <w:tcPr>
            <w:tcW w:w="2874" w:type="dxa"/>
          </w:tcPr>
          <w:p w:rsidR="00F16835" w:rsidRPr="003E6ED8" w:rsidRDefault="00412CB6" w:rsidP="003E6ED8">
            <w:pPr>
              <w:pStyle w:val="ListBullet"/>
              <w:ind w:left="57" w:right="57"/>
              <w:jc w:val="both"/>
              <w:rPr>
                <w:rFonts w:ascii="Arial" w:hAnsi="Arial" w:cs="Arial"/>
                <w:b w:val="0"/>
                <w:sz w:val="24"/>
                <w:szCs w:val="24"/>
              </w:rPr>
            </w:pPr>
            <w:r w:rsidRPr="003E6ED8">
              <w:rPr>
                <w:rFonts w:ascii="Arial" w:hAnsi="Arial" w:cs="Arial"/>
                <w:b w:val="0"/>
                <w:sz w:val="24"/>
                <w:szCs w:val="24"/>
              </w:rPr>
              <w:t>T</w:t>
            </w:r>
            <w:r w:rsidR="00F16835" w:rsidRPr="003E6ED8">
              <w:rPr>
                <w:rFonts w:ascii="Arial" w:hAnsi="Arial" w:cs="Arial"/>
                <w:b w:val="0"/>
                <w:sz w:val="24"/>
                <w:szCs w:val="24"/>
              </w:rPr>
              <w:t>huế thu nhập doanh nghiệp</w:t>
            </w:r>
          </w:p>
        </w:tc>
        <w:tc>
          <w:tcPr>
            <w:tcW w:w="4820" w:type="dxa"/>
          </w:tcPr>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Hàng hoá, dịch vụ từng lần có giá trị từ hai mươi triệu đồng trở lên (</w:t>
            </w:r>
            <w:r w:rsidRPr="003E6ED8">
              <w:rPr>
                <w:rFonts w:ascii="Arial" w:hAnsi="Arial" w:cs="Arial"/>
                <w:b w:val="0"/>
                <w:i/>
                <w:sz w:val="24"/>
                <w:szCs w:val="24"/>
              </w:rPr>
              <w:t>trừ các trường hợp không bắt buộc phải có chứng từ thanh toán không dùng tiền mặt theo quy định của pháp luật</w:t>
            </w:r>
            <w:r w:rsidRPr="003E6ED8">
              <w:rPr>
                <w:rFonts w:ascii="Arial" w:hAnsi="Arial" w:cs="Arial"/>
                <w:b w:val="0"/>
                <w:sz w:val="24"/>
                <w:szCs w:val="24"/>
              </w:rPr>
              <w:t>) phải có chứng từ thanh toán không dùng tiền mặt để được trừ chi phí tính thuế thu nhập doanh nghiệp.</w:t>
            </w:r>
          </w:p>
        </w:tc>
        <w:tc>
          <w:tcPr>
            <w:tcW w:w="4961" w:type="dxa"/>
          </w:tcPr>
          <w:p w:rsidR="00F16835" w:rsidRPr="003E6ED8" w:rsidRDefault="00F16835"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t>Luật số 32/2013/QH13 sửa đổi, bổ sung một số điều của Luật thuế thu nhập doanh nghiệp số 14/2008/QH12 quy định điều kiện để được trừ chi phí tính thuế thu nhập doanh nghiệp</w:t>
            </w:r>
            <w:r w:rsidR="00B31F29" w:rsidRPr="003E6ED8">
              <w:rPr>
                <w:rFonts w:ascii="Arial" w:hAnsi="Arial" w:cs="Arial"/>
                <w:sz w:val="24"/>
                <w:szCs w:val="24"/>
                <w:lang w:val="nl-NL"/>
              </w:rPr>
              <w:t>.</w:t>
            </w:r>
            <w:r w:rsidRPr="003E6ED8">
              <w:rPr>
                <w:rFonts w:ascii="Arial" w:hAnsi="Arial" w:cs="Arial"/>
                <w:sz w:val="24"/>
                <w:szCs w:val="24"/>
                <w:lang w:val="nl-NL"/>
              </w:rPr>
              <w:t xml:space="preserve"> </w:t>
            </w:r>
          </w:p>
        </w:tc>
      </w:tr>
      <w:tr w:rsidR="00EA2AFB" w:rsidRPr="003E6ED8" w:rsidTr="004702F2">
        <w:tc>
          <w:tcPr>
            <w:tcW w:w="1237" w:type="dxa"/>
          </w:tcPr>
          <w:p w:rsidR="00F16835" w:rsidRPr="003E6ED8" w:rsidRDefault="00F16835" w:rsidP="003E6ED8">
            <w:pPr>
              <w:pStyle w:val="ListBullet"/>
              <w:ind w:left="57" w:right="57"/>
              <w:rPr>
                <w:rFonts w:ascii="Arial" w:hAnsi="Arial" w:cs="Arial"/>
                <w:sz w:val="24"/>
                <w:szCs w:val="24"/>
              </w:rPr>
            </w:pPr>
            <w:r w:rsidRPr="003E6ED8">
              <w:rPr>
                <w:rFonts w:ascii="Arial" w:hAnsi="Arial" w:cs="Arial"/>
                <w:sz w:val="24"/>
                <w:szCs w:val="24"/>
              </w:rPr>
              <w:t>3.3</w:t>
            </w:r>
          </w:p>
        </w:tc>
        <w:tc>
          <w:tcPr>
            <w:tcW w:w="2874" w:type="dxa"/>
          </w:tcPr>
          <w:p w:rsidR="00F16835" w:rsidRPr="003E6ED8" w:rsidRDefault="00412CB6" w:rsidP="003E6ED8">
            <w:pPr>
              <w:pStyle w:val="ListBullet"/>
              <w:ind w:left="57" w:right="57"/>
              <w:jc w:val="both"/>
              <w:rPr>
                <w:rFonts w:ascii="Arial" w:hAnsi="Arial" w:cs="Arial"/>
                <w:b w:val="0"/>
                <w:sz w:val="24"/>
                <w:szCs w:val="24"/>
              </w:rPr>
            </w:pPr>
            <w:r w:rsidRPr="003E6ED8">
              <w:rPr>
                <w:rFonts w:ascii="Arial" w:hAnsi="Arial" w:cs="Arial"/>
                <w:b w:val="0"/>
                <w:sz w:val="24"/>
                <w:szCs w:val="24"/>
              </w:rPr>
              <w:t>T</w:t>
            </w:r>
            <w:r w:rsidR="00F16835" w:rsidRPr="003E6ED8">
              <w:rPr>
                <w:rFonts w:ascii="Arial" w:hAnsi="Arial" w:cs="Arial"/>
                <w:b w:val="0"/>
                <w:sz w:val="24"/>
                <w:szCs w:val="24"/>
              </w:rPr>
              <w:t>huế tiêu thụ đặc biệt</w:t>
            </w:r>
          </w:p>
        </w:tc>
        <w:tc>
          <w:tcPr>
            <w:tcW w:w="4820" w:type="dxa"/>
          </w:tcPr>
          <w:p w:rsidR="00412CB6" w:rsidRPr="003E6ED8" w:rsidRDefault="00412CB6"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xml:space="preserve">- </w:t>
            </w:r>
            <w:r w:rsidR="00F16835" w:rsidRPr="003E6ED8">
              <w:rPr>
                <w:rFonts w:ascii="Arial" w:hAnsi="Arial" w:cs="Arial"/>
                <w:b w:val="0"/>
                <w:sz w:val="24"/>
                <w:szCs w:val="24"/>
              </w:rPr>
              <w:t xml:space="preserve">Nguyên liệu mua trực tiếp của nhà sản xuất trong nước phải có chứng từ thanh toán qua ngân hàng để được </w:t>
            </w:r>
            <w:r w:rsidR="00B31F29" w:rsidRPr="003E6ED8">
              <w:rPr>
                <w:rFonts w:ascii="Arial" w:hAnsi="Arial" w:cs="Arial"/>
                <w:b w:val="0"/>
                <w:sz w:val="24"/>
                <w:szCs w:val="24"/>
              </w:rPr>
              <w:t>khấu trừ thuế tiêu thu đặc biệt;</w:t>
            </w:r>
            <w:r w:rsidR="00F16835" w:rsidRPr="003E6ED8">
              <w:rPr>
                <w:rFonts w:ascii="Arial" w:hAnsi="Arial" w:cs="Arial"/>
                <w:b w:val="0"/>
                <w:sz w:val="24"/>
                <w:szCs w:val="24"/>
              </w:rPr>
              <w:t xml:space="preserve"> </w:t>
            </w:r>
          </w:p>
          <w:p w:rsidR="00F16835" w:rsidRPr="003E6ED8" w:rsidRDefault="00412CB6"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Hàng hoá do các cơ sở sản xuất, gia công trực tiếp xuất khẩu ra nước ngoài gồm hàng hoá bán và gia công cho doanh nghiệp chế xuất (trừ ô tô dưới 24 chỗ ngồi bán cho doanh nghiệp chế xuất; hàng hóa do cơ sở sản xuất bán hoặc ủy thác cho cơ sở kinh doanh xuất khẩu để xuất khẩu theo hợp đồng kinh tế; hàng hoá mang ra nước ngoài để bán tại hội chợ triển lãm ở nước ngoài) phải có chứng từ thanh toán qua ngân hàng để được khấu trừ thuế tiêu thụ đặc biệt đầu vào.</w:t>
            </w:r>
          </w:p>
        </w:tc>
        <w:tc>
          <w:tcPr>
            <w:tcW w:w="4961" w:type="dxa"/>
          </w:tcPr>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Luật Thuế tiêu thụ đặc biệt;</w:t>
            </w:r>
          </w:p>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xml:space="preserve">- Nghị định số 14/2019/NĐ-CP ngày 01/02/2019 của Chính phủ sửa đổi bổ sung Nghị định số 108/2015/NĐ-CP ngày 28/10/2015 của Chính phủ quy định chi tiết và hướng dẫn thi hành một số điều của Luật thuế tiêu thụ đặc biệt và Luật sửa đổi, bổ sung một số điều của Luật thuế tiêu thụ đặc biệt quy định về điều kiện khấu </w:t>
            </w:r>
            <w:r w:rsidR="00FC002D" w:rsidRPr="003E6ED8">
              <w:rPr>
                <w:rFonts w:ascii="Arial" w:hAnsi="Arial" w:cs="Arial"/>
                <w:b w:val="0"/>
                <w:sz w:val="24"/>
                <w:szCs w:val="24"/>
              </w:rPr>
              <w:t>trừ thuế tiêu thụ đặc biệt;</w:t>
            </w:r>
          </w:p>
          <w:p w:rsidR="00412CB6" w:rsidRPr="003E6ED8" w:rsidRDefault="00412CB6"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t>- Thông tư số 195/2015/TT-BTC ngày 24/11/2015 của Bộ Tài chính quy định về thủ tục áp dụng đối tượng không chịu thuế tiêu thụ đặc biệt.</w:t>
            </w:r>
          </w:p>
        </w:tc>
      </w:tr>
      <w:tr w:rsidR="00EA2AFB" w:rsidRPr="003E6ED8" w:rsidTr="004702F2">
        <w:tc>
          <w:tcPr>
            <w:tcW w:w="1237" w:type="dxa"/>
          </w:tcPr>
          <w:p w:rsidR="000F7CA2" w:rsidRPr="003E6ED8" w:rsidRDefault="000F7CA2" w:rsidP="003E6ED8">
            <w:pPr>
              <w:pStyle w:val="ListBullet"/>
              <w:ind w:left="57" w:right="57"/>
              <w:rPr>
                <w:rFonts w:ascii="Arial" w:hAnsi="Arial" w:cs="Arial"/>
                <w:sz w:val="24"/>
                <w:szCs w:val="24"/>
              </w:rPr>
            </w:pPr>
            <w:r w:rsidRPr="003E6ED8">
              <w:rPr>
                <w:rFonts w:ascii="Arial" w:hAnsi="Arial" w:cs="Arial"/>
                <w:sz w:val="24"/>
                <w:szCs w:val="24"/>
              </w:rPr>
              <w:t>4</w:t>
            </w:r>
          </w:p>
        </w:tc>
        <w:tc>
          <w:tcPr>
            <w:tcW w:w="12655" w:type="dxa"/>
            <w:gridSpan w:val="3"/>
          </w:tcPr>
          <w:p w:rsidR="000F7CA2" w:rsidRPr="003E6ED8" w:rsidRDefault="000F7CA2" w:rsidP="003E6ED8">
            <w:pPr>
              <w:pStyle w:val="ListBullet"/>
              <w:spacing w:before="120" w:after="120"/>
              <w:ind w:left="57" w:right="57"/>
              <w:rPr>
                <w:rFonts w:ascii="Arial" w:hAnsi="Arial" w:cs="Arial"/>
                <w:sz w:val="24"/>
                <w:szCs w:val="24"/>
              </w:rPr>
            </w:pPr>
            <w:r w:rsidRPr="003E6ED8">
              <w:rPr>
                <w:rFonts w:ascii="Arial" w:hAnsi="Arial" w:cs="Arial"/>
                <w:sz w:val="24"/>
                <w:szCs w:val="24"/>
              </w:rPr>
              <w:t>Trong lĩnh vực tài chính doanh nghiệp</w:t>
            </w:r>
          </w:p>
        </w:tc>
      </w:tr>
      <w:tr w:rsidR="00EA2AFB" w:rsidRPr="003E6ED8" w:rsidTr="004702F2">
        <w:tc>
          <w:tcPr>
            <w:tcW w:w="1237" w:type="dxa"/>
          </w:tcPr>
          <w:p w:rsidR="00F16835" w:rsidRPr="003E6ED8" w:rsidRDefault="00F16835" w:rsidP="003E6ED8">
            <w:pPr>
              <w:pStyle w:val="ListBullet"/>
              <w:ind w:left="57" w:right="57"/>
              <w:rPr>
                <w:rFonts w:ascii="Arial" w:hAnsi="Arial" w:cs="Arial"/>
                <w:sz w:val="24"/>
                <w:szCs w:val="24"/>
              </w:rPr>
            </w:pPr>
            <w:r w:rsidRPr="003E6ED8">
              <w:rPr>
                <w:rFonts w:ascii="Arial" w:hAnsi="Arial" w:cs="Arial"/>
                <w:sz w:val="24"/>
                <w:szCs w:val="24"/>
              </w:rPr>
              <w:t>4.1</w:t>
            </w:r>
          </w:p>
        </w:tc>
        <w:tc>
          <w:tcPr>
            <w:tcW w:w="2874" w:type="dxa"/>
          </w:tcPr>
          <w:p w:rsidR="00F16835" w:rsidRPr="003E6ED8" w:rsidRDefault="00F16835" w:rsidP="003E6ED8">
            <w:pPr>
              <w:pStyle w:val="ListBullet"/>
              <w:ind w:left="57" w:right="57"/>
              <w:jc w:val="both"/>
              <w:rPr>
                <w:rFonts w:ascii="Arial" w:hAnsi="Arial" w:cs="Arial"/>
                <w:b w:val="0"/>
                <w:sz w:val="24"/>
                <w:szCs w:val="24"/>
              </w:rPr>
            </w:pPr>
            <w:r w:rsidRPr="003E6ED8">
              <w:rPr>
                <w:rFonts w:ascii="Arial" w:hAnsi="Arial" w:cs="Arial"/>
                <w:b w:val="0"/>
                <w:sz w:val="24"/>
                <w:szCs w:val="24"/>
              </w:rPr>
              <w:t xml:space="preserve">Giao dịch góp vốn và </w:t>
            </w:r>
            <w:r w:rsidRPr="003E6ED8">
              <w:rPr>
                <w:rFonts w:ascii="Arial" w:hAnsi="Arial" w:cs="Arial"/>
                <w:b w:val="0"/>
                <w:sz w:val="24"/>
                <w:szCs w:val="24"/>
              </w:rPr>
              <w:lastRenderedPageBreak/>
              <w:t>mua bán, chuyển nhượng phần vốn góp</w:t>
            </w:r>
          </w:p>
        </w:tc>
        <w:tc>
          <w:tcPr>
            <w:tcW w:w="4820" w:type="dxa"/>
          </w:tcPr>
          <w:p w:rsidR="00F16835" w:rsidRPr="003E6ED8" w:rsidRDefault="009752CB"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lastRenderedPageBreak/>
              <w:t>Các doanh nghiệp g</w:t>
            </w:r>
            <w:r w:rsidR="00F16835" w:rsidRPr="003E6ED8">
              <w:rPr>
                <w:rFonts w:ascii="Arial" w:hAnsi="Arial" w:cs="Arial"/>
                <w:b w:val="0"/>
                <w:sz w:val="24"/>
                <w:szCs w:val="24"/>
              </w:rPr>
              <w:t xml:space="preserve">iao dịch góp vốn và </w:t>
            </w:r>
            <w:r w:rsidR="00F16835" w:rsidRPr="003E6ED8">
              <w:rPr>
                <w:rFonts w:ascii="Arial" w:hAnsi="Arial" w:cs="Arial"/>
                <w:b w:val="0"/>
                <w:sz w:val="24"/>
                <w:szCs w:val="24"/>
              </w:rPr>
              <w:lastRenderedPageBreak/>
              <w:t>mua bán, chuyển nhượng phần vốn góp vào doanh nghiệp khác thực hiện bằng các hình thức thanh toán không sử dụng tiền mặt</w:t>
            </w:r>
            <w:r w:rsidR="00FC002D" w:rsidRPr="003E6ED8">
              <w:rPr>
                <w:rFonts w:ascii="Arial" w:hAnsi="Arial" w:cs="Arial"/>
                <w:b w:val="0"/>
                <w:sz w:val="24"/>
                <w:szCs w:val="24"/>
              </w:rPr>
              <w:t>.</w:t>
            </w:r>
            <w:r w:rsidR="00F16835" w:rsidRPr="003E6ED8">
              <w:rPr>
                <w:rFonts w:ascii="Arial" w:hAnsi="Arial" w:cs="Arial"/>
                <w:b w:val="0"/>
                <w:sz w:val="24"/>
                <w:szCs w:val="24"/>
              </w:rPr>
              <w:t xml:space="preserve"> </w:t>
            </w:r>
          </w:p>
        </w:tc>
        <w:tc>
          <w:tcPr>
            <w:tcW w:w="4961" w:type="dxa"/>
          </w:tcPr>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lastRenderedPageBreak/>
              <w:t>- Ngh</w:t>
            </w:r>
            <w:r w:rsidR="00FC002D" w:rsidRPr="003E6ED8">
              <w:rPr>
                <w:rFonts w:ascii="Arial" w:hAnsi="Arial" w:cs="Arial"/>
                <w:b w:val="0"/>
                <w:sz w:val="24"/>
                <w:szCs w:val="24"/>
              </w:rPr>
              <w:t xml:space="preserve">ị định số 222/2013/NĐ-CP ngày </w:t>
            </w:r>
            <w:r w:rsidR="00FC002D" w:rsidRPr="003E6ED8">
              <w:rPr>
                <w:rFonts w:ascii="Arial" w:hAnsi="Arial" w:cs="Arial"/>
                <w:b w:val="0"/>
                <w:sz w:val="24"/>
                <w:szCs w:val="24"/>
              </w:rPr>
              <w:lastRenderedPageBreak/>
              <w:t>31</w:t>
            </w:r>
            <w:r w:rsidRPr="003E6ED8">
              <w:rPr>
                <w:rFonts w:ascii="Arial" w:hAnsi="Arial" w:cs="Arial"/>
                <w:b w:val="0"/>
                <w:sz w:val="24"/>
                <w:szCs w:val="24"/>
              </w:rPr>
              <w:t>/12/2013 của Chính phủ về thanh toán bằng tiền mặt;</w:t>
            </w:r>
          </w:p>
          <w:p w:rsidR="00F16835" w:rsidRPr="003E6ED8" w:rsidRDefault="00F16835"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t>- Thông tư số 09/2015/TT-BCT ngày 29/01/2015 của Bộ Tài chính hướng dẫn giao dịch tài chính của doanh nghiệ</w:t>
            </w:r>
            <w:r w:rsidR="00412CB6" w:rsidRPr="003E6ED8">
              <w:rPr>
                <w:rFonts w:ascii="Arial" w:hAnsi="Arial" w:cs="Arial"/>
                <w:sz w:val="24"/>
                <w:szCs w:val="24"/>
                <w:lang w:val="nl-NL"/>
              </w:rPr>
              <w:t>p;</w:t>
            </w:r>
          </w:p>
          <w:p w:rsidR="00412CB6" w:rsidRPr="003E6ED8" w:rsidRDefault="00412CB6"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t xml:space="preserve">- Thông tư số 156/2013/TT-BTC ngày </w:t>
            </w:r>
            <w:r w:rsidR="00FC002D" w:rsidRPr="003E6ED8">
              <w:rPr>
                <w:rFonts w:ascii="Arial" w:hAnsi="Arial" w:cs="Arial"/>
                <w:sz w:val="24"/>
                <w:szCs w:val="24"/>
                <w:lang w:val="nl-NL"/>
              </w:rPr>
              <w:t>0</w:t>
            </w:r>
            <w:r w:rsidRPr="003E6ED8">
              <w:rPr>
                <w:rFonts w:ascii="Arial" w:hAnsi="Arial" w:cs="Arial"/>
                <w:sz w:val="24"/>
                <w:szCs w:val="24"/>
                <w:lang w:val="nl-NL"/>
              </w:rPr>
              <w:t>6/11/2013 hướng dẫn thi hành một số điều của Luật Quản lý thuế, Luật sửa đổi, bổ sung một số điều của Luật Quản lý thuế</w:t>
            </w:r>
            <w:r w:rsidR="00FC002D" w:rsidRPr="003E6ED8">
              <w:rPr>
                <w:rFonts w:ascii="Arial" w:hAnsi="Arial" w:cs="Arial"/>
                <w:sz w:val="24"/>
                <w:szCs w:val="24"/>
                <w:lang w:val="nl-NL"/>
              </w:rPr>
              <w:t>.</w:t>
            </w:r>
          </w:p>
        </w:tc>
      </w:tr>
      <w:tr w:rsidR="00EA2AFB" w:rsidRPr="003E6ED8" w:rsidTr="004702F2">
        <w:tc>
          <w:tcPr>
            <w:tcW w:w="1237" w:type="dxa"/>
          </w:tcPr>
          <w:p w:rsidR="00F16835" w:rsidRPr="003E6ED8" w:rsidRDefault="00F16835" w:rsidP="003E6ED8">
            <w:pPr>
              <w:pStyle w:val="ListBullet"/>
              <w:ind w:left="57" w:right="57"/>
              <w:rPr>
                <w:rFonts w:ascii="Arial" w:hAnsi="Arial" w:cs="Arial"/>
                <w:sz w:val="24"/>
                <w:szCs w:val="24"/>
              </w:rPr>
            </w:pPr>
            <w:r w:rsidRPr="003E6ED8">
              <w:rPr>
                <w:rFonts w:ascii="Arial" w:hAnsi="Arial" w:cs="Arial"/>
                <w:sz w:val="24"/>
                <w:szCs w:val="24"/>
              </w:rPr>
              <w:lastRenderedPageBreak/>
              <w:t>4.2</w:t>
            </w:r>
          </w:p>
        </w:tc>
        <w:tc>
          <w:tcPr>
            <w:tcW w:w="2874" w:type="dxa"/>
          </w:tcPr>
          <w:p w:rsidR="00F16835" w:rsidRPr="003E6ED8" w:rsidRDefault="00F16835" w:rsidP="003E6ED8">
            <w:pPr>
              <w:pStyle w:val="ListBullet"/>
              <w:ind w:left="57" w:right="57"/>
              <w:jc w:val="both"/>
              <w:rPr>
                <w:rFonts w:ascii="Arial" w:hAnsi="Arial" w:cs="Arial"/>
                <w:b w:val="0"/>
                <w:sz w:val="24"/>
                <w:szCs w:val="24"/>
              </w:rPr>
            </w:pPr>
            <w:r w:rsidRPr="003E6ED8">
              <w:rPr>
                <w:rFonts w:ascii="Arial" w:hAnsi="Arial" w:cs="Arial"/>
                <w:b w:val="0"/>
                <w:sz w:val="24"/>
                <w:szCs w:val="24"/>
              </w:rPr>
              <w:t>Các giao dịch vay, cho vay và trả nợ vay lẫn nhau</w:t>
            </w:r>
          </w:p>
        </w:tc>
        <w:tc>
          <w:tcPr>
            <w:tcW w:w="4820" w:type="dxa"/>
          </w:tcPr>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xml:space="preserve">Các </w:t>
            </w:r>
            <w:r w:rsidR="009752CB" w:rsidRPr="003E6ED8">
              <w:rPr>
                <w:rFonts w:ascii="Arial" w:hAnsi="Arial" w:cs="Arial"/>
                <w:b w:val="0"/>
                <w:sz w:val="24"/>
                <w:szCs w:val="24"/>
              </w:rPr>
              <w:t xml:space="preserve">doanh nghiệp </w:t>
            </w:r>
            <w:r w:rsidRPr="003E6ED8">
              <w:rPr>
                <w:rFonts w:ascii="Arial" w:hAnsi="Arial" w:cs="Arial"/>
                <w:b w:val="0"/>
                <w:sz w:val="24"/>
                <w:szCs w:val="24"/>
              </w:rPr>
              <w:t>giao dịch vay, cho vay và trả nợ vay lẫn nhau của các doanh nghiệp không phải tổ chức tín dụng thực hiện bằng các hình thức thanh toán không sử dụng tiền mặt</w:t>
            </w:r>
          </w:p>
        </w:tc>
        <w:tc>
          <w:tcPr>
            <w:tcW w:w="4961" w:type="dxa"/>
          </w:tcPr>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xml:space="preserve">- Nghị định số 222/2013/NĐ-CP ngày </w:t>
            </w:r>
            <w:r w:rsidR="00FC002D" w:rsidRPr="003E6ED8">
              <w:rPr>
                <w:rFonts w:ascii="Arial" w:hAnsi="Arial" w:cs="Arial"/>
                <w:b w:val="0"/>
                <w:sz w:val="24"/>
                <w:szCs w:val="24"/>
              </w:rPr>
              <w:t>31</w:t>
            </w:r>
            <w:r w:rsidRPr="003E6ED8">
              <w:rPr>
                <w:rFonts w:ascii="Arial" w:hAnsi="Arial" w:cs="Arial"/>
                <w:b w:val="0"/>
                <w:sz w:val="24"/>
                <w:szCs w:val="24"/>
              </w:rPr>
              <w:t>/12/2013 của Chính phủ về thanh toán bằng tiền mặt;</w:t>
            </w:r>
          </w:p>
          <w:p w:rsidR="00CB208C" w:rsidRPr="003E6ED8" w:rsidRDefault="00F16835"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t>- Thông tư số 09/2015/TT-BCT ngày 29/01/2015 của Bộ Tài chính hướng dẫn giao dịch tài chính của doanh nghiệp</w:t>
            </w:r>
            <w:r w:rsidR="001435EB" w:rsidRPr="003E6ED8">
              <w:rPr>
                <w:rFonts w:ascii="Arial" w:hAnsi="Arial" w:cs="Arial"/>
                <w:sz w:val="24"/>
                <w:szCs w:val="24"/>
                <w:lang w:val="nl-NL"/>
              </w:rPr>
              <w:t>.</w:t>
            </w:r>
            <w:r w:rsidRPr="003E6ED8">
              <w:rPr>
                <w:rFonts w:ascii="Arial" w:hAnsi="Arial" w:cs="Arial"/>
                <w:sz w:val="24"/>
                <w:szCs w:val="24"/>
                <w:lang w:val="nl-NL"/>
              </w:rPr>
              <w:t xml:space="preserve"> </w:t>
            </w:r>
          </w:p>
        </w:tc>
      </w:tr>
      <w:tr w:rsidR="00EA2AFB" w:rsidRPr="003E6ED8" w:rsidTr="004702F2">
        <w:tc>
          <w:tcPr>
            <w:tcW w:w="1237" w:type="dxa"/>
          </w:tcPr>
          <w:p w:rsidR="000F7CA2" w:rsidRPr="003E6ED8" w:rsidRDefault="000F7CA2" w:rsidP="003E6ED8">
            <w:pPr>
              <w:pStyle w:val="ListBullet"/>
              <w:ind w:left="57" w:right="57"/>
              <w:rPr>
                <w:rFonts w:ascii="Arial" w:hAnsi="Arial" w:cs="Arial"/>
                <w:sz w:val="24"/>
                <w:szCs w:val="24"/>
              </w:rPr>
            </w:pPr>
            <w:r w:rsidRPr="003E6ED8">
              <w:rPr>
                <w:rFonts w:ascii="Arial" w:hAnsi="Arial" w:cs="Arial"/>
                <w:sz w:val="24"/>
                <w:szCs w:val="24"/>
              </w:rPr>
              <w:t>II</w:t>
            </w:r>
          </w:p>
        </w:tc>
        <w:tc>
          <w:tcPr>
            <w:tcW w:w="12655" w:type="dxa"/>
            <w:gridSpan w:val="3"/>
          </w:tcPr>
          <w:p w:rsidR="000F7CA2" w:rsidRPr="003E6ED8" w:rsidRDefault="000F7CA2" w:rsidP="003E6ED8">
            <w:pPr>
              <w:pStyle w:val="ListBullet"/>
              <w:spacing w:before="120" w:after="120"/>
              <w:ind w:left="57" w:right="57"/>
              <w:rPr>
                <w:rFonts w:ascii="Arial" w:hAnsi="Arial" w:cs="Arial"/>
                <w:sz w:val="24"/>
                <w:szCs w:val="24"/>
              </w:rPr>
            </w:pPr>
            <w:r w:rsidRPr="003E6ED8">
              <w:rPr>
                <w:rFonts w:ascii="Arial" w:hAnsi="Arial" w:cs="Arial"/>
                <w:sz w:val="24"/>
                <w:szCs w:val="24"/>
              </w:rPr>
              <w:t>NGÂN HÀNG NHÀ NƯỚC</w:t>
            </w:r>
          </w:p>
        </w:tc>
      </w:tr>
      <w:tr w:rsidR="00EA2AFB" w:rsidRPr="003E6ED8" w:rsidTr="004702F2">
        <w:tc>
          <w:tcPr>
            <w:tcW w:w="1237" w:type="dxa"/>
          </w:tcPr>
          <w:p w:rsidR="009752CB" w:rsidRPr="003E6ED8" w:rsidRDefault="009752CB" w:rsidP="003E6ED8">
            <w:pPr>
              <w:pStyle w:val="ListBullet"/>
              <w:ind w:left="57" w:right="57"/>
              <w:rPr>
                <w:rFonts w:ascii="Arial" w:hAnsi="Arial" w:cs="Arial"/>
                <w:sz w:val="24"/>
                <w:szCs w:val="24"/>
              </w:rPr>
            </w:pPr>
            <w:r w:rsidRPr="003E6ED8">
              <w:rPr>
                <w:rFonts w:ascii="Arial" w:hAnsi="Arial" w:cs="Arial"/>
                <w:sz w:val="24"/>
                <w:szCs w:val="24"/>
              </w:rPr>
              <w:t>1</w:t>
            </w:r>
          </w:p>
        </w:tc>
        <w:tc>
          <w:tcPr>
            <w:tcW w:w="12655" w:type="dxa"/>
            <w:gridSpan w:val="3"/>
          </w:tcPr>
          <w:p w:rsidR="009752CB" w:rsidRPr="003E6ED8" w:rsidRDefault="009752CB" w:rsidP="003E6ED8">
            <w:pPr>
              <w:pStyle w:val="ListBullet"/>
              <w:spacing w:before="120" w:after="120"/>
              <w:ind w:left="57" w:right="57"/>
              <w:rPr>
                <w:rFonts w:ascii="Arial" w:hAnsi="Arial" w:cs="Arial"/>
                <w:sz w:val="24"/>
                <w:szCs w:val="24"/>
              </w:rPr>
            </w:pPr>
            <w:r w:rsidRPr="003E6ED8">
              <w:rPr>
                <w:rFonts w:ascii="Arial" w:hAnsi="Arial" w:cs="Arial"/>
                <w:sz w:val="24"/>
                <w:szCs w:val="24"/>
              </w:rPr>
              <w:t>Trong hoạt động của tổ chức sử dụng vốn nhà nước</w:t>
            </w:r>
          </w:p>
        </w:tc>
      </w:tr>
      <w:tr w:rsidR="00EA2AFB" w:rsidRPr="003E6ED8" w:rsidTr="004702F2">
        <w:tc>
          <w:tcPr>
            <w:tcW w:w="1237" w:type="dxa"/>
          </w:tcPr>
          <w:p w:rsidR="00F16835" w:rsidRPr="003E6ED8" w:rsidRDefault="00F16835" w:rsidP="003E6ED8">
            <w:pPr>
              <w:pStyle w:val="ListBullet"/>
              <w:ind w:left="57" w:right="57"/>
              <w:rPr>
                <w:rFonts w:ascii="Arial" w:hAnsi="Arial" w:cs="Arial"/>
                <w:sz w:val="24"/>
                <w:szCs w:val="24"/>
              </w:rPr>
            </w:pPr>
          </w:p>
        </w:tc>
        <w:tc>
          <w:tcPr>
            <w:tcW w:w="2874" w:type="dxa"/>
          </w:tcPr>
          <w:p w:rsidR="00F16835" w:rsidRPr="003E6ED8" w:rsidRDefault="000F7CA2" w:rsidP="003E6ED8">
            <w:pPr>
              <w:pStyle w:val="ListBullet"/>
              <w:ind w:left="57" w:right="57"/>
              <w:jc w:val="both"/>
              <w:rPr>
                <w:rFonts w:ascii="Arial" w:hAnsi="Arial" w:cs="Arial"/>
                <w:b w:val="0"/>
                <w:sz w:val="24"/>
                <w:szCs w:val="24"/>
              </w:rPr>
            </w:pPr>
            <w:r w:rsidRPr="003E6ED8">
              <w:rPr>
                <w:rFonts w:ascii="Arial" w:hAnsi="Arial" w:cs="Arial"/>
                <w:b w:val="0"/>
                <w:sz w:val="24"/>
                <w:szCs w:val="24"/>
              </w:rPr>
              <w:t xml:space="preserve">Giao dịch thanh toán </w:t>
            </w:r>
          </w:p>
        </w:tc>
        <w:tc>
          <w:tcPr>
            <w:tcW w:w="4820" w:type="dxa"/>
          </w:tcPr>
          <w:p w:rsidR="00F16835" w:rsidRPr="003E6ED8" w:rsidRDefault="00F16835"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t>Các tổ chức sử dụng vốn nhà nước không thanh toán bằng tiền mặt trong các giao dị</w:t>
            </w:r>
            <w:r w:rsidR="008E59A3" w:rsidRPr="003E6ED8">
              <w:rPr>
                <w:rFonts w:ascii="Arial" w:hAnsi="Arial" w:cs="Arial"/>
                <w:sz w:val="24"/>
                <w:szCs w:val="24"/>
                <w:lang w:val="nl-NL"/>
              </w:rPr>
              <w:t xml:space="preserve">ch, </w:t>
            </w:r>
            <w:r w:rsidRPr="003E6ED8">
              <w:rPr>
                <w:rFonts w:ascii="Arial" w:hAnsi="Arial" w:cs="Arial"/>
                <w:sz w:val="24"/>
                <w:szCs w:val="24"/>
                <w:lang w:val="nl-NL"/>
              </w:rPr>
              <w:t>trừ một số giao dịch sau:</w:t>
            </w:r>
          </w:p>
          <w:p w:rsidR="00F16835" w:rsidRPr="003E6ED8" w:rsidRDefault="00F16835" w:rsidP="003E6ED8">
            <w:pPr>
              <w:spacing w:before="120" w:after="120"/>
              <w:ind w:left="57" w:right="57" w:firstLine="562"/>
              <w:jc w:val="both"/>
              <w:rPr>
                <w:rFonts w:ascii="Arial" w:hAnsi="Arial" w:cs="Arial"/>
                <w:sz w:val="24"/>
                <w:szCs w:val="24"/>
                <w:lang w:val="nl-NL"/>
              </w:rPr>
            </w:pPr>
            <w:r w:rsidRPr="003E6ED8">
              <w:rPr>
                <w:rFonts w:ascii="Arial" w:hAnsi="Arial" w:cs="Arial"/>
                <w:sz w:val="24"/>
                <w:szCs w:val="24"/>
                <w:lang w:val="nl-NL"/>
              </w:rPr>
              <w:t>1. Thanh toán tiền thu mua nông, lâm, thủy sản, dịch vụ và các sản phẩm khác cho người dân trực tiếp sản xuất, đánh bắt, khai thác bán ra mà chưa có tài khoản thanh toán tại ngân hàng.</w:t>
            </w:r>
          </w:p>
          <w:p w:rsidR="00F16835" w:rsidRPr="003E6ED8" w:rsidRDefault="00F16835" w:rsidP="003E6ED8">
            <w:pPr>
              <w:spacing w:before="120" w:after="120"/>
              <w:ind w:left="57" w:right="57" w:firstLine="562"/>
              <w:jc w:val="both"/>
              <w:rPr>
                <w:rFonts w:ascii="Arial" w:hAnsi="Arial" w:cs="Arial"/>
                <w:sz w:val="24"/>
                <w:szCs w:val="24"/>
                <w:lang w:val="nl-NL"/>
              </w:rPr>
            </w:pPr>
            <w:r w:rsidRPr="003E6ED8">
              <w:rPr>
                <w:rFonts w:ascii="Arial" w:hAnsi="Arial" w:cs="Arial"/>
                <w:sz w:val="24"/>
                <w:szCs w:val="24"/>
                <w:lang w:val="nl-NL"/>
              </w:rPr>
              <w:t xml:space="preserve">2. Thanh toán công tác phí, trả lương và các khoản thu nhập khác cho </w:t>
            </w:r>
            <w:r w:rsidRPr="003E6ED8">
              <w:rPr>
                <w:rFonts w:ascii="Arial" w:hAnsi="Arial" w:cs="Arial"/>
                <w:sz w:val="24"/>
                <w:szCs w:val="24"/>
                <w:lang w:val="nl-NL"/>
              </w:rPr>
              <w:lastRenderedPageBreak/>
              <w:t>người lao động chưa có tài khoản thanh toán tại ngân hàng.</w:t>
            </w:r>
          </w:p>
          <w:p w:rsidR="00F16835" w:rsidRPr="003E6ED8" w:rsidRDefault="00F16835" w:rsidP="003E6ED8">
            <w:pPr>
              <w:spacing w:before="120" w:after="120"/>
              <w:ind w:left="57" w:right="57" w:firstLine="562"/>
              <w:jc w:val="both"/>
              <w:rPr>
                <w:rFonts w:ascii="Arial" w:hAnsi="Arial" w:cs="Arial"/>
                <w:sz w:val="24"/>
                <w:szCs w:val="24"/>
                <w:lang w:val="nl-NL"/>
              </w:rPr>
            </w:pPr>
            <w:r w:rsidRPr="003E6ED8">
              <w:rPr>
                <w:rFonts w:ascii="Arial" w:hAnsi="Arial" w:cs="Arial"/>
                <w:sz w:val="24"/>
                <w:szCs w:val="24"/>
                <w:lang w:val="nl-NL"/>
              </w:rPr>
              <w:t>3. Các khoản thanh toán để thực hiện nhiệm vụ quốc phòng, an ninh liên quan đến bí mật Nhà nước.</w:t>
            </w:r>
          </w:p>
          <w:p w:rsidR="00F16835" w:rsidRPr="003E6ED8" w:rsidRDefault="00F16835" w:rsidP="003E6ED8">
            <w:pPr>
              <w:spacing w:before="120" w:after="120"/>
              <w:ind w:left="57" w:right="57" w:firstLine="562"/>
              <w:jc w:val="both"/>
              <w:rPr>
                <w:rFonts w:ascii="Arial" w:hAnsi="Arial" w:cs="Arial"/>
                <w:sz w:val="24"/>
                <w:szCs w:val="24"/>
                <w:lang w:val="nl-NL"/>
              </w:rPr>
            </w:pPr>
            <w:r w:rsidRPr="003E6ED8">
              <w:rPr>
                <w:rFonts w:ascii="Arial" w:hAnsi="Arial" w:cs="Arial"/>
                <w:sz w:val="24"/>
                <w:szCs w:val="24"/>
                <w:lang w:val="nl-NL"/>
              </w:rPr>
              <w:t>4. Bên thanh toán thực hiện việc thanh toán hoặc bên được thanh toán nhận thanh toán tại các xã, phường, thị trấn thuộc địa bàn miền núi, vùng sâu, vùng xa, vùng biên giới, hải đảo, khu vực nông thôn nơi chưa có tổ chức cung ứng dịch vụ thanh toán.</w:t>
            </w:r>
          </w:p>
          <w:p w:rsidR="00F16835" w:rsidRPr="003E6ED8" w:rsidRDefault="00F16835" w:rsidP="003E6ED8">
            <w:pPr>
              <w:pStyle w:val="ListBullet"/>
              <w:spacing w:before="120" w:after="120"/>
              <w:ind w:left="57" w:right="57"/>
              <w:jc w:val="both"/>
              <w:rPr>
                <w:rFonts w:ascii="Arial" w:hAnsi="Arial" w:cs="Arial"/>
                <w:b w:val="0"/>
                <w:sz w:val="24"/>
                <w:szCs w:val="24"/>
              </w:rPr>
            </w:pPr>
            <w:r w:rsidRPr="003E6ED8">
              <w:rPr>
                <w:rFonts w:ascii="Arial" w:hAnsi="Arial" w:cs="Arial"/>
                <w:b w:val="0"/>
                <w:sz w:val="24"/>
                <w:szCs w:val="24"/>
              </w:rPr>
              <w:t xml:space="preserve">         5. Khoản thanh toán với giá trị dưới 20 triệu đồng, trừ trường hợp các khoản thanh toán trong ngày có giá trị dưới 20 triệu đồng cho cùng một mục đích, một đối tượng thanh toán nhưng </w:t>
            </w:r>
            <w:r w:rsidRPr="003E6ED8">
              <w:rPr>
                <w:rFonts w:ascii="Arial" w:hAnsi="Arial" w:cs="Arial"/>
                <w:b w:val="0"/>
                <w:sz w:val="24"/>
                <w:szCs w:val="24"/>
                <w:shd w:val="solid" w:color="FFFFFF" w:fill="auto"/>
              </w:rPr>
              <w:t>tổng</w:t>
            </w:r>
            <w:r w:rsidRPr="003E6ED8">
              <w:rPr>
                <w:rFonts w:ascii="Arial" w:hAnsi="Arial" w:cs="Arial"/>
                <w:b w:val="0"/>
                <w:sz w:val="24"/>
                <w:szCs w:val="24"/>
              </w:rPr>
              <w:t xml:space="preserve"> các khoản thanh toán này lớn hơn 20 triệu đồng.</w:t>
            </w:r>
          </w:p>
        </w:tc>
        <w:tc>
          <w:tcPr>
            <w:tcW w:w="4961" w:type="dxa"/>
          </w:tcPr>
          <w:p w:rsidR="00F16835" w:rsidRPr="003E6ED8" w:rsidRDefault="00F16835"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lastRenderedPageBreak/>
              <w:t xml:space="preserve">- Nghị định số 222/2013/NĐ-CP ngày 31/12/2013 của Chính phủ về thanh toán bằng tiền mặt; </w:t>
            </w:r>
          </w:p>
          <w:p w:rsidR="00F16835" w:rsidRPr="003E6ED8" w:rsidRDefault="00F16835"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t>- Thông tư số 33/2014/TT-NHNN ngày 20/11/2014 quy định một số trường hợp được thanh toán bằng tiền mặt của các tổ chức sử dụng vốn nhà nước.</w:t>
            </w:r>
          </w:p>
        </w:tc>
      </w:tr>
      <w:tr w:rsidR="00EA2AFB" w:rsidRPr="003E6ED8" w:rsidTr="004702F2">
        <w:tc>
          <w:tcPr>
            <w:tcW w:w="1237" w:type="dxa"/>
          </w:tcPr>
          <w:p w:rsidR="009752CB" w:rsidRPr="003E6ED8" w:rsidRDefault="009752CB" w:rsidP="003E6ED8">
            <w:pPr>
              <w:pStyle w:val="ListBullet"/>
              <w:ind w:left="57" w:right="57"/>
              <w:rPr>
                <w:rFonts w:ascii="Arial" w:hAnsi="Arial" w:cs="Arial"/>
                <w:sz w:val="24"/>
                <w:szCs w:val="24"/>
              </w:rPr>
            </w:pPr>
            <w:r w:rsidRPr="003E6ED8">
              <w:rPr>
                <w:rFonts w:ascii="Arial" w:hAnsi="Arial" w:cs="Arial"/>
                <w:sz w:val="24"/>
                <w:szCs w:val="24"/>
              </w:rPr>
              <w:t>2</w:t>
            </w:r>
          </w:p>
        </w:tc>
        <w:tc>
          <w:tcPr>
            <w:tcW w:w="12655" w:type="dxa"/>
            <w:gridSpan w:val="3"/>
          </w:tcPr>
          <w:p w:rsidR="009752CB" w:rsidRPr="003E6ED8" w:rsidRDefault="009752CB" w:rsidP="003E6ED8">
            <w:pPr>
              <w:pStyle w:val="ListBullet"/>
              <w:spacing w:before="120" w:after="120"/>
              <w:ind w:left="57" w:right="57"/>
              <w:rPr>
                <w:rFonts w:ascii="Arial" w:hAnsi="Arial" w:cs="Arial"/>
                <w:sz w:val="24"/>
                <w:szCs w:val="24"/>
              </w:rPr>
            </w:pPr>
            <w:r w:rsidRPr="003E6ED8">
              <w:rPr>
                <w:rFonts w:ascii="Arial" w:eastAsia="Arial" w:hAnsi="Arial" w:cs="Arial"/>
                <w:sz w:val="24"/>
                <w:szCs w:val="24"/>
              </w:rPr>
              <w:t>Giải ngân vốn vay của tổ chức tín dụng, chi nhánh ngân hàng  nước ngoài đối với khách hàng</w:t>
            </w:r>
          </w:p>
        </w:tc>
      </w:tr>
      <w:tr w:rsidR="00EA2AFB" w:rsidRPr="003E6ED8" w:rsidTr="004702F2">
        <w:tc>
          <w:tcPr>
            <w:tcW w:w="1237" w:type="dxa"/>
          </w:tcPr>
          <w:p w:rsidR="00F16835" w:rsidRPr="003E6ED8" w:rsidRDefault="00C74DBB" w:rsidP="003E6ED8">
            <w:pPr>
              <w:pStyle w:val="ListBullet"/>
              <w:ind w:left="57" w:right="57"/>
              <w:rPr>
                <w:rFonts w:ascii="Arial" w:hAnsi="Arial" w:cs="Arial"/>
                <w:sz w:val="24"/>
                <w:szCs w:val="24"/>
              </w:rPr>
            </w:pPr>
            <w:r w:rsidRPr="003E6ED8">
              <w:rPr>
                <w:rFonts w:ascii="Arial" w:hAnsi="Arial" w:cs="Arial"/>
                <w:sz w:val="24"/>
                <w:szCs w:val="24"/>
              </w:rPr>
              <w:t>2.1</w:t>
            </w:r>
          </w:p>
        </w:tc>
        <w:tc>
          <w:tcPr>
            <w:tcW w:w="2874" w:type="dxa"/>
          </w:tcPr>
          <w:p w:rsidR="00F16835" w:rsidRPr="003E6ED8" w:rsidRDefault="00353830" w:rsidP="003E6ED8">
            <w:pPr>
              <w:pStyle w:val="ListBullet"/>
              <w:ind w:left="57" w:right="57"/>
              <w:jc w:val="both"/>
              <w:rPr>
                <w:rFonts w:ascii="Arial" w:hAnsi="Arial" w:cs="Arial"/>
                <w:b w:val="0"/>
                <w:sz w:val="24"/>
                <w:szCs w:val="24"/>
              </w:rPr>
            </w:pPr>
            <w:r w:rsidRPr="003E6ED8">
              <w:rPr>
                <w:rFonts w:ascii="Arial" w:hAnsi="Arial" w:cs="Arial"/>
                <w:b w:val="0"/>
                <w:sz w:val="24"/>
                <w:szCs w:val="24"/>
              </w:rPr>
              <w:t xml:space="preserve">Giải ngân vốn vay </w:t>
            </w:r>
            <w:r w:rsidR="00C74DBB" w:rsidRPr="003E6ED8">
              <w:rPr>
                <w:rFonts w:ascii="Arial" w:hAnsi="Arial" w:cs="Arial"/>
                <w:b w:val="0"/>
                <w:sz w:val="24"/>
                <w:szCs w:val="24"/>
              </w:rPr>
              <w:t>vào tài khoản thanh toán của bên thụ hưởng</w:t>
            </w:r>
          </w:p>
        </w:tc>
        <w:tc>
          <w:tcPr>
            <w:tcW w:w="4820" w:type="dxa"/>
          </w:tcPr>
          <w:p w:rsidR="007A7AF5" w:rsidRPr="003E6ED8" w:rsidRDefault="007A7AF5" w:rsidP="003E6ED8">
            <w:pPr>
              <w:spacing w:before="120" w:after="120"/>
              <w:ind w:left="57" w:right="57"/>
              <w:jc w:val="both"/>
              <w:rPr>
                <w:rFonts w:ascii="Arial" w:hAnsi="Arial" w:cs="Arial"/>
                <w:spacing w:val="-2"/>
                <w:sz w:val="24"/>
                <w:szCs w:val="24"/>
                <w:lang w:val="nl-NL"/>
              </w:rPr>
            </w:pPr>
            <w:r w:rsidRPr="003E6ED8">
              <w:rPr>
                <w:rFonts w:ascii="Arial" w:hAnsi="Arial" w:cs="Arial"/>
                <w:spacing w:val="-2"/>
                <w:sz w:val="24"/>
                <w:szCs w:val="24"/>
                <w:lang w:val="nl-NL"/>
              </w:rPr>
              <w:t>- Bên thụ hưởng là pháp nhân.</w:t>
            </w:r>
          </w:p>
          <w:p w:rsidR="007A7AF5" w:rsidRPr="003E6ED8" w:rsidRDefault="007A7AF5" w:rsidP="003E6ED8">
            <w:pPr>
              <w:spacing w:before="120" w:after="120"/>
              <w:ind w:left="57" w:right="57"/>
              <w:jc w:val="both"/>
              <w:rPr>
                <w:rFonts w:ascii="Arial" w:hAnsi="Arial" w:cs="Arial"/>
                <w:spacing w:val="-2"/>
                <w:sz w:val="24"/>
                <w:szCs w:val="24"/>
                <w:lang w:val="nl-NL"/>
              </w:rPr>
            </w:pPr>
            <w:r w:rsidRPr="003E6ED8">
              <w:rPr>
                <w:rFonts w:ascii="Arial" w:hAnsi="Arial" w:cs="Arial"/>
                <w:spacing w:val="-2"/>
                <w:sz w:val="24"/>
                <w:szCs w:val="24"/>
                <w:lang w:val="nl-NL"/>
              </w:rPr>
              <w:t>- Bên thụ hưởng (không bao gồm pháp nhân) có tài khoản thanh toán tại tổ chức cung ứng dịch vụ thanh toán và số tiền vay ghi trong thỏa thuận cho vay có giá trị trên 100.000.000 đồng (một trăm triệu đồng).</w:t>
            </w:r>
          </w:p>
          <w:p w:rsidR="00F16835" w:rsidRPr="003E6ED8" w:rsidRDefault="00F16835" w:rsidP="003E6ED8">
            <w:pPr>
              <w:spacing w:before="120" w:after="120"/>
              <w:ind w:left="57" w:right="57"/>
              <w:jc w:val="both"/>
              <w:rPr>
                <w:rFonts w:ascii="Arial" w:hAnsi="Arial" w:cs="Arial"/>
                <w:spacing w:val="-2"/>
                <w:sz w:val="24"/>
                <w:szCs w:val="24"/>
                <w:lang w:val="nl-NL"/>
              </w:rPr>
            </w:pPr>
          </w:p>
        </w:tc>
        <w:tc>
          <w:tcPr>
            <w:tcW w:w="4961" w:type="dxa"/>
          </w:tcPr>
          <w:p w:rsidR="00F16835" w:rsidRPr="003E6ED8" w:rsidRDefault="00F16835"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t>- Nghị định số 222/2013/NĐ-CP ngày 31/12/2013 của Chính phủ về thanh toán bằng tiền mặt;</w:t>
            </w:r>
          </w:p>
          <w:p w:rsidR="00F16835" w:rsidRPr="003E6ED8" w:rsidRDefault="00F16835"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t>- Thông tư số 21/2017/TT-NHNN ngày 29/12/2017 quy định về phương thức giải ngân vốn cho vay của tổ chức tín dụng, chi nhánh ngân hàng nước ngoài đối với khách hàng.</w:t>
            </w:r>
          </w:p>
        </w:tc>
      </w:tr>
      <w:tr w:rsidR="00EA2AFB" w:rsidRPr="003E6ED8" w:rsidTr="004702F2">
        <w:tc>
          <w:tcPr>
            <w:tcW w:w="1237" w:type="dxa"/>
          </w:tcPr>
          <w:p w:rsidR="00F16835" w:rsidRPr="003E6ED8" w:rsidRDefault="00C74DBB" w:rsidP="003E6ED8">
            <w:pPr>
              <w:pStyle w:val="ListBullet"/>
              <w:ind w:left="57" w:right="57"/>
              <w:rPr>
                <w:rFonts w:ascii="Arial" w:hAnsi="Arial" w:cs="Arial"/>
                <w:sz w:val="24"/>
                <w:szCs w:val="24"/>
              </w:rPr>
            </w:pPr>
            <w:r w:rsidRPr="003E6ED8">
              <w:rPr>
                <w:rFonts w:ascii="Arial" w:hAnsi="Arial" w:cs="Arial"/>
                <w:sz w:val="24"/>
                <w:szCs w:val="24"/>
              </w:rPr>
              <w:t>2.2</w:t>
            </w:r>
          </w:p>
        </w:tc>
        <w:tc>
          <w:tcPr>
            <w:tcW w:w="2874" w:type="dxa"/>
          </w:tcPr>
          <w:p w:rsidR="00F16835" w:rsidRPr="003E6ED8" w:rsidRDefault="00E22D2F" w:rsidP="003E6ED8">
            <w:pPr>
              <w:pStyle w:val="ListBullet"/>
              <w:ind w:left="57" w:right="57"/>
              <w:jc w:val="both"/>
              <w:rPr>
                <w:rFonts w:ascii="Arial" w:hAnsi="Arial" w:cs="Arial"/>
                <w:b w:val="0"/>
                <w:sz w:val="24"/>
                <w:szCs w:val="24"/>
              </w:rPr>
            </w:pPr>
            <w:r w:rsidRPr="003E6ED8">
              <w:rPr>
                <w:rFonts w:ascii="Arial" w:hAnsi="Arial" w:cs="Arial"/>
                <w:b w:val="0"/>
                <w:sz w:val="24"/>
                <w:szCs w:val="24"/>
              </w:rPr>
              <w:t xml:space="preserve">Giải ngân </w:t>
            </w:r>
            <w:r w:rsidR="007A7AF5" w:rsidRPr="003E6ED8">
              <w:rPr>
                <w:rFonts w:ascii="Arial" w:hAnsi="Arial" w:cs="Arial"/>
                <w:b w:val="0"/>
                <w:sz w:val="24"/>
                <w:szCs w:val="24"/>
              </w:rPr>
              <w:t>vốn vay</w:t>
            </w:r>
            <w:r w:rsidR="00C74DBB" w:rsidRPr="003E6ED8">
              <w:rPr>
                <w:rFonts w:ascii="Arial" w:hAnsi="Arial" w:cs="Arial"/>
                <w:b w:val="0"/>
                <w:sz w:val="24"/>
                <w:szCs w:val="24"/>
              </w:rPr>
              <w:t xml:space="preserve"> vào </w:t>
            </w:r>
            <w:r w:rsidR="00C74DBB" w:rsidRPr="003E6ED8">
              <w:rPr>
                <w:rFonts w:ascii="Arial" w:hAnsi="Arial" w:cs="Arial"/>
                <w:b w:val="0"/>
                <w:sz w:val="24"/>
                <w:szCs w:val="24"/>
              </w:rPr>
              <w:lastRenderedPageBreak/>
              <w:t>tài khoản thanh toán của khách hàng</w:t>
            </w:r>
            <w:r w:rsidR="00E616DB" w:rsidRPr="003E6ED8">
              <w:rPr>
                <w:rFonts w:ascii="Arial" w:hAnsi="Arial" w:cs="Arial"/>
                <w:b w:val="0"/>
                <w:sz w:val="24"/>
                <w:szCs w:val="24"/>
              </w:rPr>
              <w:t xml:space="preserve"> vay</w:t>
            </w:r>
          </w:p>
        </w:tc>
        <w:tc>
          <w:tcPr>
            <w:tcW w:w="4820" w:type="dxa"/>
          </w:tcPr>
          <w:p w:rsidR="00E616DB" w:rsidRPr="003E6ED8" w:rsidRDefault="00E616DB" w:rsidP="003E6ED8">
            <w:pPr>
              <w:pStyle w:val="ListParagraph"/>
              <w:spacing w:before="120" w:after="120"/>
              <w:ind w:left="57" w:right="57"/>
              <w:contextualSpacing w:val="0"/>
              <w:jc w:val="both"/>
              <w:rPr>
                <w:rFonts w:ascii="Arial" w:hAnsi="Arial" w:cs="Arial"/>
                <w:spacing w:val="-2"/>
                <w:sz w:val="24"/>
                <w:szCs w:val="24"/>
                <w:lang w:val="nl-NL"/>
              </w:rPr>
            </w:pPr>
            <w:r w:rsidRPr="003E6ED8">
              <w:rPr>
                <w:rFonts w:ascii="Arial" w:hAnsi="Arial" w:cs="Arial"/>
                <w:spacing w:val="-2"/>
                <w:sz w:val="24"/>
                <w:szCs w:val="24"/>
                <w:lang w:val="nl-NL"/>
              </w:rPr>
              <w:lastRenderedPageBreak/>
              <w:t xml:space="preserve">- </w:t>
            </w:r>
            <w:r w:rsidR="00F16835" w:rsidRPr="003E6ED8">
              <w:rPr>
                <w:rFonts w:ascii="Arial" w:hAnsi="Arial" w:cs="Arial"/>
                <w:spacing w:val="-2"/>
                <w:sz w:val="24"/>
                <w:szCs w:val="24"/>
                <w:lang w:val="nl-NL"/>
              </w:rPr>
              <w:t xml:space="preserve">Khách hàng thanh toán, chi trả cho mục </w:t>
            </w:r>
            <w:r w:rsidR="00F16835" w:rsidRPr="003E6ED8">
              <w:rPr>
                <w:rFonts w:ascii="Arial" w:hAnsi="Arial" w:cs="Arial"/>
                <w:spacing w:val="-2"/>
                <w:sz w:val="24"/>
                <w:szCs w:val="24"/>
                <w:lang w:val="nl-NL"/>
              </w:rPr>
              <w:lastRenderedPageBreak/>
              <w:t>đích sử dụng vốn vay mà pháp luật quy định phải thực hiện thông qua tài khoản thanh toán của khách hàng.</w:t>
            </w:r>
          </w:p>
          <w:p w:rsidR="000960A7" w:rsidRPr="003E6ED8" w:rsidRDefault="00E616DB" w:rsidP="003E6ED8">
            <w:pPr>
              <w:pStyle w:val="ListParagraph"/>
              <w:spacing w:before="120" w:after="120"/>
              <w:ind w:left="57" w:right="57"/>
              <w:contextualSpacing w:val="0"/>
              <w:jc w:val="both"/>
              <w:rPr>
                <w:rFonts w:ascii="Arial" w:hAnsi="Arial" w:cs="Arial"/>
                <w:sz w:val="24"/>
                <w:szCs w:val="24"/>
                <w:lang w:val="pt-BR"/>
              </w:rPr>
            </w:pPr>
            <w:r w:rsidRPr="003E6ED8">
              <w:rPr>
                <w:rFonts w:ascii="Arial" w:hAnsi="Arial" w:cs="Arial"/>
                <w:spacing w:val="-2"/>
                <w:sz w:val="24"/>
                <w:szCs w:val="24"/>
                <w:lang w:val="nl-NL"/>
              </w:rPr>
              <w:t xml:space="preserve">- </w:t>
            </w:r>
            <w:r w:rsidR="00F16835" w:rsidRPr="003E6ED8">
              <w:rPr>
                <w:rFonts w:ascii="Arial" w:hAnsi="Arial" w:cs="Arial"/>
                <w:sz w:val="24"/>
                <w:szCs w:val="24"/>
                <w:lang w:val="pt-BR"/>
              </w:rPr>
              <w:t xml:space="preserve">Khách hàng là bên thụ hưởng có tài khoản thanh toán tại tổ chức cung ứng dịch vụ thanh toán </w:t>
            </w:r>
            <w:r w:rsidRPr="003E6ED8">
              <w:rPr>
                <w:rFonts w:ascii="Arial" w:hAnsi="Arial" w:cs="Arial"/>
                <w:sz w:val="24"/>
                <w:szCs w:val="24"/>
                <w:lang w:val="pt-BR"/>
              </w:rPr>
              <w:t>đã ứng vốn tự có để thanh toán, chi trả các chi phí thuộc chính phương án, dự án kinh doanh hoặc phương án, dự án phục vụ đời sống được tổ chức tín dụng cho vay</w:t>
            </w:r>
            <w:r w:rsidR="000960A7" w:rsidRPr="003E6ED8">
              <w:rPr>
                <w:rFonts w:ascii="Arial" w:hAnsi="Arial" w:cs="Arial"/>
                <w:sz w:val="24"/>
                <w:szCs w:val="24"/>
                <w:lang w:val="pt-BR"/>
              </w:rPr>
              <w:t xml:space="preserve"> theo quy định của pháp luật.</w:t>
            </w:r>
          </w:p>
          <w:p w:rsidR="00F16835" w:rsidRPr="003E6ED8" w:rsidRDefault="000960A7" w:rsidP="003E6ED8">
            <w:pPr>
              <w:pStyle w:val="ListParagraph"/>
              <w:spacing w:before="120" w:after="120"/>
              <w:ind w:left="57" w:right="57"/>
              <w:contextualSpacing w:val="0"/>
              <w:jc w:val="both"/>
              <w:rPr>
                <w:rFonts w:ascii="Arial" w:hAnsi="Arial" w:cs="Arial"/>
                <w:sz w:val="24"/>
                <w:szCs w:val="24"/>
                <w:lang w:val="pt-BR"/>
              </w:rPr>
            </w:pPr>
            <w:r w:rsidRPr="003E6ED8">
              <w:rPr>
                <w:rFonts w:ascii="Arial" w:hAnsi="Arial" w:cs="Arial"/>
                <w:sz w:val="24"/>
                <w:szCs w:val="24"/>
                <w:lang w:val="pt-BR"/>
              </w:rPr>
              <w:t xml:space="preserve">- </w:t>
            </w:r>
            <w:r w:rsidR="00F16835" w:rsidRPr="003E6ED8">
              <w:rPr>
                <w:rFonts w:ascii="Arial" w:hAnsi="Arial" w:cs="Arial"/>
                <w:sz w:val="24"/>
                <w:szCs w:val="24"/>
                <w:lang w:val="pt-BR"/>
              </w:rPr>
              <w:t>Khách hàng trực tiếp thanh toán, chi trả tiền mua sản phẩm nông nghiệp thuộc lĩnh vực nông, lâm, diêm nghiệp và thủy sản từ các cá nhân, hộ gia đình, chủ trang trại, hộ kinh doanh và tổ chức hợp tác có hoạt động sản xuất kinh doanh trên địa bàn nông thôn để khách hàng thực hiện phương án sản xuất kinh doanh, phù hợp với mục đích vay vốn ghi trong thỏa thuận cho vay.</w:t>
            </w:r>
          </w:p>
        </w:tc>
        <w:tc>
          <w:tcPr>
            <w:tcW w:w="4961" w:type="dxa"/>
          </w:tcPr>
          <w:p w:rsidR="00F16835" w:rsidRPr="003E6ED8" w:rsidRDefault="00C74DBB"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lastRenderedPageBreak/>
              <w:t xml:space="preserve">- </w:t>
            </w:r>
            <w:r w:rsidR="00F16835" w:rsidRPr="003E6ED8">
              <w:rPr>
                <w:rFonts w:ascii="Arial" w:hAnsi="Arial" w:cs="Arial"/>
                <w:sz w:val="24"/>
                <w:szCs w:val="24"/>
                <w:lang w:val="nl-NL"/>
              </w:rPr>
              <w:t xml:space="preserve">Nghị định số 222/2013/NĐ-CP ngày </w:t>
            </w:r>
            <w:r w:rsidR="00F16835" w:rsidRPr="003E6ED8">
              <w:rPr>
                <w:rFonts w:ascii="Arial" w:hAnsi="Arial" w:cs="Arial"/>
                <w:sz w:val="24"/>
                <w:szCs w:val="24"/>
                <w:lang w:val="nl-NL"/>
              </w:rPr>
              <w:lastRenderedPageBreak/>
              <w:t>31/12/2013 của Chính phủ về thanh toán bằng tiền mặt;</w:t>
            </w:r>
          </w:p>
          <w:p w:rsidR="00F16835" w:rsidRPr="003E6ED8" w:rsidRDefault="00F16835" w:rsidP="003E6ED8">
            <w:pPr>
              <w:spacing w:before="120" w:after="120"/>
              <w:ind w:left="57" w:right="57"/>
              <w:jc w:val="both"/>
              <w:rPr>
                <w:rFonts w:ascii="Arial" w:hAnsi="Arial" w:cs="Arial"/>
                <w:sz w:val="24"/>
                <w:szCs w:val="24"/>
                <w:lang w:val="nl-NL"/>
              </w:rPr>
            </w:pPr>
            <w:r w:rsidRPr="003E6ED8">
              <w:rPr>
                <w:rFonts w:ascii="Arial" w:hAnsi="Arial" w:cs="Arial"/>
                <w:sz w:val="24"/>
                <w:szCs w:val="24"/>
                <w:lang w:val="nl-NL"/>
              </w:rPr>
              <w:t>- Thông tư số 21/2017/TT-NHNN ngày 29/12/2017 quy định về phương thức giải ngân vốn cho vay của tổ chức tín dụng, chi nhánh ngân hàng nước ngoài đối với khách hàng.</w:t>
            </w:r>
          </w:p>
        </w:tc>
      </w:tr>
    </w:tbl>
    <w:p w:rsidR="008372B6" w:rsidRPr="003E6ED8" w:rsidRDefault="009752CB" w:rsidP="003E6ED8">
      <w:pPr>
        <w:pStyle w:val="ListBullet"/>
        <w:ind w:left="57" w:right="57"/>
        <w:rPr>
          <w:rFonts w:ascii="Arial" w:hAnsi="Arial" w:cs="Arial"/>
          <w:sz w:val="24"/>
          <w:szCs w:val="24"/>
        </w:rPr>
      </w:pPr>
      <w:r w:rsidRPr="003E6ED8">
        <w:rPr>
          <w:rFonts w:ascii="Arial" w:hAnsi="Arial" w:cs="Arial"/>
          <w:sz w:val="24"/>
          <w:szCs w:val="24"/>
        </w:rPr>
        <w:lastRenderedPageBreak/>
        <w:t xml:space="preserve">                                                                                                                                              NGÂN HÀNG NHÀ NƯỚC</w:t>
      </w:r>
    </w:p>
    <w:sectPr w:rsidR="008372B6" w:rsidRPr="003E6ED8" w:rsidSect="00F05201">
      <w:footerReference w:type="default" r:id="rId7"/>
      <w:pgSz w:w="16839" w:h="11907" w:orient="landscape"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31D" w:rsidRDefault="0011231D" w:rsidP="0087585D">
      <w:pPr>
        <w:spacing w:after="0" w:line="240" w:lineRule="auto"/>
      </w:pPr>
      <w:r>
        <w:separator/>
      </w:r>
    </w:p>
  </w:endnote>
  <w:endnote w:type="continuationSeparator" w:id="0">
    <w:p w:rsidR="0011231D" w:rsidRDefault="0011231D" w:rsidP="00875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Century Schoolbook">
    <w:altName w:val=".VnCentury Schoolbook"/>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5343773"/>
      <w:docPartObj>
        <w:docPartGallery w:val="Page Numbers (Bottom of Page)"/>
        <w:docPartUnique/>
      </w:docPartObj>
    </w:sdtPr>
    <w:sdtEndPr>
      <w:rPr>
        <w:noProof/>
      </w:rPr>
    </w:sdtEndPr>
    <w:sdtContent>
      <w:p w:rsidR="0087585D" w:rsidRDefault="0087585D">
        <w:pPr>
          <w:pStyle w:val="Footer"/>
          <w:jc w:val="right"/>
        </w:pPr>
        <w:r>
          <w:fldChar w:fldCharType="begin"/>
        </w:r>
        <w:r>
          <w:instrText xml:space="preserve"> PAGE   \* MERGEFORMAT </w:instrText>
        </w:r>
        <w:r>
          <w:fldChar w:fldCharType="separate"/>
        </w:r>
        <w:r w:rsidR="00142C91">
          <w:rPr>
            <w:noProof/>
          </w:rPr>
          <w:t>6</w:t>
        </w:r>
        <w:r>
          <w:rPr>
            <w:noProof/>
          </w:rPr>
          <w:fldChar w:fldCharType="end"/>
        </w:r>
      </w:p>
    </w:sdtContent>
  </w:sdt>
  <w:p w:rsidR="0087585D" w:rsidRDefault="00875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31D" w:rsidRDefault="0011231D" w:rsidP="0087585D">
      <w:pPr>
        <w:spacing w:after="0" w:line="240" w:lineRule="auto"/>
      </w:pPr>
      <w:r>
        <w:separator/>
      </w:r>
    </w:p>
  </w:footnote>
  <w:footnote w:type="continuationSeparator" w:id="0">
    <w:p w:rsidR="0011231D" w:rsidRDefault="0011231D" w:rsidP="008758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5377D"/>
    <w:multiLevelType w:val="hybridMultilevel"/>
    <w:tmpl w:val="9272BFA0"/>
    <w:lvl w:ilvl="0" w:tplc="EB9C7A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61F9E"/>
    <w:multiLevelType w:val="hybridMultilevel"/>
    <w:tmpl w:val="ECF61B76"/>
    <w:lvl w:ilvl="0" w:tplc="BC06DE34">
      <w:start w:val="3"/>
      <w:numFmt w:val="bullet"/>
      <w:lvlText w:val="-"/>
      <w:lvlJc w:val="left"/>
      <w:pPr>
        <w:ind w:left="920" w:hanging="360"/>
      </w:pPr>
      <w:rPr>
        <w:rFonts w:ascii="Times New Roman" w:eastAsiaTheme="minorHAnsi" w:hAnsi="Times New Roman" w:cs="Times New Roman" w:hint="default"/>
      </w:rPr>
    </w:lvl>
    <w:lvl w:ilvl="1" w:tplc="042A0003" w:tentative="1">
      <w:start w:val="1"/>
      <w:numFmt w:val="bullet"/>
      <w:lvlText w:val="o"/>
      <w:lvlJc w:val="left"/>
      <w:pPr>
        <w:ind w:left="1640" w:hanging="360"/>
      </w:pPr>
      <w:rPr>
        <w:rFonts w:ascii="Courier New" w:hAnsi="Courier New" w:cs="Courier New" w:hint="default"/>
      </w:rPr>
    </w:lvl>
    <w:lvl w:ilvl="2" w:tplc="042A0005" w:tentative="1">
      <w:start w:val="1"/>
      <w:numFmt w:val="bullet"/>
      <w:lvlText w:val=""/>
      <w:lvlJc w:val="left"/>
      <w:pPr>
        <w:ind w:left="2360" w:hanging="360"/>
      </w:pPr>
      <w:rPr>
        <w:rFonts w:ascii="Wingdings" w:hAnsi="Wingdings" w:hint="default"/>
      </w:rPr>
    </w:lvl>
    <w:lvl w:ilvl="3" w:tplc="042A0001" w:tentative="1">
      <w:start w:val="1"/>
      <w:numFmt w:val="bullet"/>
      <w:lvlText w:val=""/>
      <w:lvlJc w:val="left"/>
      <w:pPr>
        <w:ind w:left="3080" w:hanging="360"/>
      </w:pPr>
      <w:rPr>
        <w:rFonts w:ascii="Symbol" w:hAnsi="Symbol" w:hint="default"/>
      </w:rPr>
    </w:lvl>
    <w:lvl w:ilvl="4" w:tplc="042A0003" w:tentative="1">
      <w:start w:val="1"/>
      <w:numFmt w:val="bullet"/>
      <w:lvlText w:val="o"/>
      <w:lvlJc w:val="left"/>
      <w:pPr>
        <w:ind w:left="3800" w:hanging="360"/>
      </w:pPr>
      <w:rPr>
        <w:rFonts w:ascii="Courier New" w:hAnsi="Courier New" w:cs="Courier New" w:hint="default"/>
      </w:rPr>
    </w:lvl>
    <w:lvl w:ilvl="5" w:tplc="042A0005" w:tentative="1">
      <w:start w:val="1"/>
      <w:numFmt w:val="bullet"/>
      <w:lvlText w:val=""/>
      <w:lvlJc w:val="left"/>
      <w:pPr>
        <w:ind w:left="4520" w:hanging="360"/>
      </w:pPr>
      <w:rPr>
        <w:rFonts w:ascii="Wingdings" w:hAnsi="Wingdings" w:hint="default"/>
      </w:rPr>
    </w:lvl>
    <w:lvl w:ilvl="6" w:tplc="042A0001" w:tentative="1">
      <w:start w:val="1"/>
      <w:numFmt w:val="bullet"/>
      <w:lvlText w:val=""/>
      <w:lvlJc w:val="left"/>
      <w:pPr>
        <w:ind w:left="5240" w:hanging="360"/>
      </w:pPr>
      <w:rPr>
        <w:rFonts w:ascii="Symbol" w:hAnsi="Symbol" w:hint="default"/>
      </w:rPr>
    </w:lvl>
    <w:lvl w:ilvl="7" w:tplc="042A0003" w:tentative="1">
      <w:start w:val="1"/>
      <w:numFmt w:val="bullet"/>
      <w:lvlText w:val="o"/>
      <w:lvlJc w:val="left"/>
      <w:pPr>
        <w:ind w:left="5960" w:hanging="360"/>
      </w:pPr>
      <w:rPr>
        <w:rFonts w:ascii="Courier New" w:hAnsi="Courier New" w:cs="Courier New" w:hint="default"/>
      </w:rPr>
    </w:lvl>
    <w:lvl w:ilvl="8" w:tplc="042A0005" w:tentative="1">
      <w:start w:val="1"/>
      <w:numFmt w:val="bullet"/>
      <w:lvlText w:val=""/>
      <w:lvlJc w:val="left"/>
      <w:pPr>
        <w:ind w:left="66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2B6"/>
    <w:rsid w:val="00002667"/>
    <w:rsid w:val="00022930"/>
    <w:rsid w:val="00043776"/>
    <w:rsid w:val="000960A7"/>
    <w:rsid w:val="000A6766"/>
    <w:rsid w:val="000F7CA2"/>
    <w:rsid w:val="0011231D"/>
    <w:rsid w:val="001157A3"/>
    <w:rsid w:val="001358C5"/>
    <w:rsid w:val="001372EC"/>
    <w:rsid w:val="00142C91"/>
    <w:rsid w:val="001435EB"/>
    <w:rsid w:val="00174C3A"/>
    <w:rsid w:val="00180867"/>
    <w:rsid w:val="00197ABB"/>
    <w:rsid w:val="001D0284"/>
    <w:rsid w:val="001E2605"/>
    <w:rsid w:val="0020305B"/>
    <w:rsid w:val="00220578"/>
    <w:rsid w:val="002932A6"/>
    <w:rsid w:val="0032689A"/>
    <w:rsid w:val="00330304"/>
    <w:rsid w:val="00346E0B"/>
    <w:rsid w:val="00353830"/>
    <w:rsid w:val="003E6ED8"/>
    <w:rsid w:val="004062DD"/>
    <w:rsid w:val="00412CB6"/>
    <w:rsid w:val="004177E9"/>
    <w:rsid w:val="0042502A"/>
    <w:rsid w:val="004702F2"/>
    <w:rsid w:val="004940E8"/>
    <w:rsid w:val="004A4285"/>
    <w:rsid w:val="005205F0"/>
    <w:rsid w:val="0053002C"/>
    <w:rsid w:val="00582635"/>
    <w:rsid w:val="005C32BE"/>
    <w:rsid w:val="00617FC4"/>
    <w:rsid w:val="006349DE"/>
    <w:rsid w:val="0068564D"/>
    <w:rsid w:val="006E3458"/>
    <w:rsid w:val="00754350"/>
    <w:rsid w:val="007A7AF5"/>
    <w:rsid w:val="007D3366"/>
    <w:rsid w:val="007D7532"/>
    <w:rsid w:val="007E5447"/>
    <w:rsid w:val="008048E9"/>
    <w:rsid w:val="008372B6"/>
    <w:rsid w:val="0087585D"/>
    <w:rsid w:val="008E59A3"/>
    <w:rsid w:val="009752CB"/>
    <w:rsid w:val="009A6BFC"/>
    <w:rsid w:val="009C225C"/>
    <w:rsid w:val="00A15CB5"/>
    <w:rsid w:val="00A24119"/>
    <w:rsid w:val="00A274CE"/>
    <w:rsid w:val="00A60D11"/>
    <w:rsid w:val="00A8140A"/>
    <w:rsid w:val="00B31F29"/>
    <w:rsid w:val="00B47EA1"/>
    <w:rsid w:val="00B57876"/>
    <w:rsid w:val="00B62199"/>
    <w:rsid w:val="00B757D0"/>
    <w:rsid w:val="00BC031F"/>
    <w:rsid w:val="00C15F56"/>
    <w:rsid w:val="00C514A2"/>
    <w:rsid w:val="00C56482"/>
    <w:rsid w:val="00C74DBB"/>
    <w:rsid w:val="00CA21E3"/>
    <w:rsid w:val="00CB208C"/>
    <w:rsid w:val="00D67D85"/>
    <w:rsid w:val="00D94B94"/>
    <w:rsid w:val="00DC5DCD"/>
    <w:rsid w:val="00E22D2F"/>
    <w:rsid w:val="00E3434E"/>
    <w:rsid w:val="00E616DB"/>
    <w:rsid w:val="00E85ED5"/>
    <w:rsid w:val="00EA2AFB"/>
    <w:rsid w:val="00EC7AF0"/>
    <w:rsid w:val="00EF39DA"/>
    <w:rsid w:val="00F05201"/>
    <w:rsid w:val="00F15E17"/>
    <w:rsid w:val="00F16835"/>
    <w:rsid w:val="00F53911"/>
    <w:rsid w:val="00F7189C"/>
    <w:rsid w:val="00FC002D"/>
    <w:rsid w:val="00FF1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2E04"/>
  <w15:docId w15:val="{CF2CDF24-E4B4-429C-B645-FAA89E3A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EA2AFB"/>
    <w:pPr>
      <w:tabs>
        <w:tab w:val="left" w:pos="557"/>
      </w:tabs>
      <w:spacing w:after="0" w:line="240" w:lineRule="auto"/>
      <w:ind w:left="34"/>
      <w:jc w:val="center"/>
    </w:pPr>
    <w:rPr>
      <w:rFonts w:ascii="Times New Roman" w:eastAsia="Times New Roman" w:hAnsi="Times New Roman" w:cs="VnCentury Schoolbook"/>
      <w:b/>
      <w:sz w:val="26"/>
      <w:szCs w:val="26"/>
      <w:lang w:val="nl-NL"/>
    </w:rPr>
  </w:style>
  <w:style w:type="table" w:styleId="TableGrid">
    <w:name w:val="Table Grid"/>
    <w:basedOn w:val="TableNormal"/>
    <w:uiPriority w:val="39"/>
    <w:rsid w:val="00837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89A"/>
    <w:pPr>
      <w:ind w:left="720"/>
      <w:contextualSpacing/>
    </w:pPr>
  </w:style>
  <w:style w:type="paragraph" w:styleId="Header">
    <w:name w:val="header"/>
    <w:basedOn w:val="Normal"/>
    <w:link w:val="HeaderChar"/>
    <w:uiPriority w:val="99"/>
    <w:unhideWhenUsed/>
    <w:rsid w:val="00875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85D"/>
  </w:style>
  <w:style w:type="paragraph" w:styleId="Footer">
    <w:name w:val="footer"/>
    <w:basedOn w:val="Normal"/>
    <w:link w:val="FooterChar"/>
    <w:uiPriority w:val="99"/>
    <w:unhideWhenUsed/>
    <w:rsid w:val="00875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85D"/>
  </w:style>
  <w:style w:type="paragraph" w:styleId="BalloonText">
    <w:name w:val="Balloon Text"/>
    <w:basedOn w:val="Normal"/>
    <w:link w:val="BalloonTextChar"/>
    <w:uiPriority w:val="99"/>
    <w:semiHidden/>
    <w:unhideWhenUsed/>
    <w:rsid w:val="008758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8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Relationships xmlns="http://schemas.openxmlformats.org/package/2006/relationships"><Relationship Target="fontTable.xml" Type="http://schemas.openxmlformats.org/officeDocument/2006/relationships/fontTable" Id="rId8"></Relationship><Relationship Target="settings.xml" Type="http://schemas.openxmlformats.org/officeDocument/2006/relationships/settings" Id="rId3"></Relationship><Relationship Target="footer1.xml" Type="http://schemas.openxmlformats.org/officeDocument/2006/relationships/footer"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 Target="theme/theme1.xml" Type="http://schemas.openxmlformats.org/officeDocument/2006/relationships/them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Pho Duc Tien</cp:lastModifiedBy>
  <cp:revision>53</cp:revision>
  <cp:lastPrinted>2019-05-19T18:04:00Z</cp:lastPrinted>
  <dcterms:created xsi:type="dcterms:W3CDTF">2019-06-27T01:41:00Z</dcterms:created>
  <dcterms:modified xsi:type="dcterms:W3CDTF">2019-08-19T06:54:00Z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SBV400255</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404668</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http://webcenter-app01:16200/cs/idcplg?IdcService=DESKTOP_DOC_INFO&amp;dDocName=SBV400255&amp;dID=404668&amp;ClientControlled=DocMan,taskpane&amp;coreContentOnly=1</vt:lpwstr>
  </property>
</Properties>
</file>