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5" w:type="pct"/>
        <w:tblCellSpacing w:w="0" w:type="dxa"/>
        <w:tblCellMar>
          <w:top w:w="30" w:type="dxa"/>
          <w:left w:w="30" w:type="dxa"/>
          <w:bottom w:w="30" w:type="dxa"/>
          <w:right w:w="30" w:type="dxa"/>
        </w:tblCellMar>
        <w:tblLook w:val="04A0" w:firstRow="1" w:lastRow="0" w:firstColumn="1" w:lastColumn="0" w:noHBand="0" w:noVBand="1"/>
      </w:tblPr>
      <w:tblGrid>
        <w:gridCol w:w="9324"/>
      </w:tblGrid>
      <w:tr w:rsidR="00066B86" w:rsidRPr="00066B86" w14:paraId="2568EFDF" w14:textId="77777777" w:rsidTr="002E173D">
        <w:trPr>
          <w:tblCellSpacing w:w="0" w:type="dxa"/>
        </w:trPr>
        <w:tc>
          <w:tcPr>
            <w:tcW w:w="5000" w:type="pct"/>
            <w:vAlign w:val="center"/>
            <w:hideMark/>
          </w:tcPr>
          <w:p w14:paraId="2E5C48FD" w14:textId="77777777" w:rsidR="00066B86" w:rsidRPr="00066B86" w:rsidRDefault="00066B86" w:rsidP="00066B86">
            <w:pPr>
              <w:spacing w:after="0" w:line="240" w:lineRule="auto"/>
              <w:rPr>
                <w:rFonts w:ascii="Times New Roman" w:eastAsia="Times New Roman" w:hAnsi="Times New Roman" w:cs="Times New Roman"/>
                <w:sz w:val="24"/>
                <w:szCs w:val="24"/>
                <w:lang w:eastAsia="en-SG"/>
              </w:rPr>
            </w:pPr>
            <w:r w:rsidRPr="00066B86">
              <w:rPr>
                <w:rFonts w:ascii="Times New Roman" w:eastAsia="Times New Roman" w:hAnsi="Times New Roman" w:cs="Times New Roman"/>
                <w:sz w:val="24"/>
                <w:szCs w:val="24"/>
                <w:lang w:eastAsia="en-SG"/>
              </w:rPr>
              <w:t>Khu vực đối ngoại: Tỷ giá hối đoái</w:t>
            </w:r>
          </w:p>
        </w:tc>
      </w:tr>
      <w:tr w:rsidR="00066B86" w:rsidRPr="00066B86" w14:paraId="00A3269D" w14:textId="77777777" w:rsidTr="002E173D">
        <w:trPr>
          <w:trHeight w:val="150"/>
          <w:tblCellSpacing w:w="0" w:type="dxa"/>
        </w:trPr>
        <w:tc>
          <w:tcPr>
            <w:tcW w:w="5000" w:type="pct"/>
            <w:vAlign w:val="center"/>
            <w:hideMark/>
          </w:tcPr>
          <w:p w14:paraId="45C70F4F" w14:textId="77777777" w:rsidR="00066B86" w:rsidRPr="00066B86" w:rsidRDefault="00066B86" w:rsidP="00066B86">
            <w:pPr>
              <w:spacing w:after="0" w:line="240" w:lineRule="auto"/>
              <w:rPr>
                <w:rFonts w:ascii="Times New Roman" w:eastAsia="Times New Roman" w:hAnsi="Times New Roman" w:cs="Times New Roman"/>
                <w:sz w:val="16"/>
                <w:szCs w:val="24"/>
                <w:lang w:eastAsia="en-SG"/>
              </w:rPr>
            </w:pPr>
          </w:p>
        </w:tc>
      </w:tr>
      <w:tr w:rsidR="00066B86" w:rsidRPr="00066B86" w14:paraId="026E18DB" w14:textId="77777777" w:rsidTr="002E173D">
        <w:trPr>
          <w:tblCellSpacing w:w="0" w:type="dxa"/>
        </w:trPr>
        <w:tc>
          <w:tcPr>
            <w:tcW w:w="5000" w:type="pct"/>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228"/>
            </w:tblGrid>
            <w:tr w:rsidR="00066B86" w:rsidRPr="00066B86" w14:paraId="1717A11D" w14:textId="77777777">
              <w:tc>
                <w:tcPr>
                  <w:tcW w:w="9228" w:type="dxa"/>
                  <w:tcBorders>
                    <w:top w:val="single" w:sz="4" w:space="0" w:color="auto"/>
                    <w:left w:val="single" w:sz="4" w:space="0" w:color="auto"/>
                    <w:bottom w:val="single" w:sz="4" w:space="0" w:color="auto"/>
                    <w:right w:val="single" w:sz="4" w:space="0" w:color="auto"/>
                  </w:tcBorders>
                  <w:shd w:val="clear" w:color="auto" w:fill="auto"/>
                  <w:hideMark/>
                </w:tcPr>
                <w:p w14:paraId="0E0D1181"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VIỆT NAM</w:t>
                  </w:r>
                </w:p>
                <w:p w14:paraId="26654BBF"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Tỷ giá hối đoái</w:t>
                  </w:r>
                </w:p>
              </w:tc>
            </w:tr>
          </w:tbl>
          <w:p w14:paraId="008C92A5"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20"/>
            </w:tblGrid>
            <w:tr w:rsidR="00066B86" w:rsidRPr="00066B86" w14:paraId="27E87E2F"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BE26925"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0. Những yêu cầu tiên quyết của chất lượng</w:t>
                  </w:r>
                </w:p>
              </w:tc>
            </w:tr>
            <w:tr w:rsidR="00066B86" w:rsidRPr="00066B86" w14:paraId="6DAC1479" w14:textId="77777777">
              <w:tc>
                <w:tcPr>
                  <w:tcW w:w="1908" w:type="dxa"/>
                  <w:tcBorders>
                    <w:top w:val="single" w:sz="4" w:space="0" w:color="auto"/>
                    <w:left w:val="single" w:sz="4" w:space="0" w:color="auto"/>
                    <w:bottom w:val="nil"/>
                    <w:right w:val="single" w:sz="4" w:space="0" w:color="auto"/>
                  </w:tcBorders>
                  <w:shd w:val="clear" w:color="auto" w:fill="E6E6E6"/>
                  <w:hideMark/>
                </w:tcPr>
                <w:p w14:paraId="1D3D8E38"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 Môi trường pháp lý </w:t>
                  </w:r>
                </w:p>
              </w:tc>
              <w:tc>
                <w:tcPr>
                  <w:tcW w:w="7320" w:type="dxa"/>
                  <w:tcBorders>
                    <w:top w:val="single" w:sz="4" w:space="0" w:color="auto"/>
                    <w:left w:val="single" w:sz="4" w:space="0" w:color="auto"/>
                    <w:bottom w:val="nil"/>
                    <w:right w:val="single" w:sz="4" w:space="0" w:color="auto"/>
                  </w:tcBorders>
                  <w:shd w:val="clear" w:color="auto" w:fill="E6E6E6"/>
                  <w:hideMark/>
                </w:tcPr>
                <w:p w14:paraId="5D85B636"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0.1.1. Trách nhiệm thu thập, xử lý, và phổ biến số liệu thống kê </w:t>
                  </w:r>
                </w:p>
              </w:tc>
            </w:tr>
            <w:tr w:rsidR="00066B86" w:rsidRPr="00066B86" w14:paraId="2F86A7B4" w14:textId="77777777">
              <w:tc>
                <w:tcPr>
                  <w:tcW w:w="1908" w:type="dxa"/>
                  <w:tcBorders>
                    <w:top w:val="nil"/>
                    <w:left w:val="single" w:sz="4" w:space="0" w:color="auto"/>
                    <w:bottom w:val="nil"/>
                    <w:right w:val="single" w:sz="4" w:space="0" w:color="auto"/>
                  </w:tcBorders>
                  <w:shd w:val="clear" w:color="auto" w:fill="auto"/>
                  <w:hideMark/>
                </w:tcPr>
                <w:p w14:paraId="7D9A6482"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270EC77D"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7D07CE6A"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Các hoạt động  của Ngân hàng Nhà nước (NHNN) được điều chỉnh bởi Luật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dụng..”, tại Điều 37 Luật NHNN qui định nhiệm vụ của NHNN có trách nhiệm “Tổ chức, thu nhận, sử dụng, lưu trữ, cung cấp và công bố thông tin phù hợp với quy định của Pháp luật”.</w:t>
                  </w:r>
                </w:p>
              </w:tc>
            </w:tr>
            <w:tr w:rsidR="00066B86" w:rsidRPr="00066B86" w14:paraId="5D73E920" w14:textId="77777777">
              <w:tc>
                <w:tcPr>
                  <w:tcW w:w="1908" w:type="dxa"/>
                  <w:tcBorders>
                    <w:top w:val="nil"/>
                    <w:left w:val="single" w:sz="4" w:space="0" w:color="auto"/>
                    <w:bottom w:val="nil"/>
                    <w:right w:val="single" w:sz="4" w:space="0" w:color="auto"/>
                  </w:tcBorders>
                  <w:shd w:val="clear" w:color="auto" w:fill="auto"/>
                  <w:hideMark/>
                </w:tcPr>
                <w:p w14:paraId="5BDC6D2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32540C98"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0.1.2. Chia sẻ thông tin và phối hợp giữa các cơ quan sản xuất số liệu </w:t>
                  </w:r>
                </w:p>
              </w:tc>
            </w:tr>
            <w:tr w:rsidR="00066B86" w:rsidRPr="00066B86" w14:paraId="21368EF6" w14:textId="77777777">
              <w:tc>
                <w:tcPr>
                  <w:tcW w:w="1908" w:type="dxa"/>
                  <w:tcBorders>
                    <w:top w:val="nil"/>
                    <w:left w:val="single" w:sz="4" w:space="0" w:color="auto"/>
                    <w:bottom w:val="nil"/>
                    <w:right w:val="single" w:sz="4" w:space="0" w:color="auto"/>
                  </w:tcBorders>
                  <w:shd w:val="clear" w:color="auto" w:fill="auto"/>
                  <w:hideMark/>
                </w:tcPr>
                <w:p w14:paraId="42C35C86"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BC149BC"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2FE45A1" w14:textId="77777777">
              <w:tc>
                <w:tcPr>
                  <w:tcW w:w="1908" w:type="dxa"/>
                  <w:tcBorders>
                    <w:top w:val="nil"/>
                    <w:left w:val="single" w:sz="4" w:space="0" w:color="auto"/>
                    <w:bottom w:val="nil"/>
                    <w:right w:val="single" w:sz="4" w:space="0" w:color="auto"/>
                  </w:tcBorders>
                  <w:shd w:val="clear" w:color="auto" w:fill="auto"/>
                  <w:hideMark/>
                </w:tcPr>
                <w:p w14:paraId="451728C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2484BAC8"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0.1.3. Vấn đề bảo mật thông tin của đối tượng cung cấp tin </w:t>
                  </w:r>
                </w:p>
              </w:tc>
            </w:tr>
            <w:tr w:rsidR="00066B86" w:rsidRPr="00066B86" w14:paraId="08F8D75C" w14:textId="77777777">
              <w:tc>
                <w:tcPr>
                  <w:tcW w:w="1908" w:type="dxa"/>
                  <w:tcBorders>
                    <w:top w:val="nil"/>
                    <w:left w:val="single" w:sz="4" w:space="0" w:color="auto"/>
                    <w:bottom w:val="nil"/>
                    <w:right w:val="single" w:sz="4" w:space="0" w:color="auto"/>
                  </w:tcBorders>
                  <w:shd w:val="clear" w:color="auto" w:fill="auto"/>
                  <w:hideMark/>
                </w:tcPr>
                <w:p w14:paraId="3FC1E31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C31CCA4"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6D84568A"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pacing w:val="-2"/>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066B86" w:rsidRPr="00066B86" w14:paraId="215DBA66" w14:textId="77777777">
              <w:tc>
                <w:tcPr>
                  <w:tcW w:w="1908" w:type="dxa"/>
                  <w:tcBorders>
                    <w:top w:val="nil"/>
                    <w:left w:val="single" w:sz="4" w:space="0" w:color="auto"/>
                    <w:bottom w:val="nil"/>
                    <w:right w:val="single" w:sz="4" w:space="0" w:color="auto"/>
                  </w:tcBorders>
                  <w:shd w:val="clear" w:color="auto" w:fill="auto"/>
                  <w:hideMark/>
                </w:tcPr>
                <w:p w14:paraId="4D6A953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CEAA8E3"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0.1.4. Đảm bảo việc thực hiện chế độ báo cáo thống kê </w:t>
                  </w:r>
                </w:p>
              </w:tc>
            </w:tr>
            <w:tr w:rsidR="00066B86" w:rsidRPr="00066B86" w14:paraId="535A4C0A" w14:textId="77777777">
              <w:tc>
                <w:tcPr>
                  <w:tcW w:w="1908" w:type="dxa"/>
                  <w:tcBorders>
                    <w:top w:val="nil"/>
                    <w:left w:val="single" w:sz="4" w:space="0" w:color="auto"/>
                    <w:bottom w:val="single" w:sz="4" w:space="0" w:color="auto"/>
                    <w:right w:val="single" w:sz="4" w:space="0" w:color="auto"/>
                  </w:tcBorders>
                  <w:shd w:val="clear" w:color="auto" w:fill="auto"/>
                  <w:hideMark/>
                </w:tcPr>
                <w:p w14:paraId="23C49BC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8999230"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468A144D"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3A39B826"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pacing w:val="-6"/>
                      <w:sz w:val="20"/>
                      <w:szCs w:val="20"/>
                      <w:lang w:eastAsia="en-SG"/>
                    </w:rPr>
                    <w:t xml:space="preserve">Chức năng công bố số liệu được giao cho NHNN tại Điều 37 của </w:t>
                  </w:r>
                  <w:r w:rsidRPr="00066B86">
                    <w:rPr>
                      <w:rFonts w:ascii="Arial" w:eastAsia="Times New Roman" w:hAnsi="Arial" w:cs="Arial"/>
                      <w:spacing w:val="-6"/>
                      <w:sz w:val="20"/>
                      <w:szCs w:val="20"/>
                      <w:lang w:eastAsia="en-SG"/>
                    </w:rPr>
                    <w:br/>
                    <w:t>Luật NHNN.</w:t>
                  </w:r>
                </w:p>
              </w:tc>
            </w:tr>
            <w:tr w:rsidR="00066B86" w:rsidRPr="00066B86" w14:paraId="226E0A2C" w14:textId="77777777">
              <w:tc>
                <w:tcPr>
                  <w:tcW w:w="1908" w:type="dxa"/>
                  <w:tcBorders>
                    <w:top w:val="single" w:sz="4" w:space="0" w:color="auto"/>
                    <w:left w:val="single" w:sz="4" w:space="0" w:color="auto"/>
                    <w:bottom w:val="nil"/>
                    <w:right w:val="single" w:sz="4" w:space="0" w:color="auto"/>
                  </w:tcBorders>
                  <w:shd w:val="clear" w:color="auto" w:fill="E0E0E0"/>
                  <w:hideMark/>
                </w:tcPr>
                <w:p w14:paraId="4A240B5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0.2. Các nguồn lực</w:t>
                  </w:r>
                </w:p>
              </w:tc>
              <w:tc>
                <w:tcPr>
                  <w:tcW w:w="7320" w:type="dxa"/>
                  <w:tcBorders>
                    <w:top w:val="single" w:sz="4" w:space="0" w:color="auto"/>
                    <w:left w:val="single" w:sz="4" w:space="0" w:color="auto"/>
                    <w:bottom w:val="nil"/>
                    <w:right w:val="single" w:sz="4" w:space="0" w:color="auto"/>
                  </w:tcBorders>
                  <w:shd w:val="clear" w:color="auto" w:fill="E0E0E0"/>
                  <w:hideMark/>
                </w:tcPr>
                <w:p w14:paraId="63D44EDD"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0.2.1. Cán bộ, trang thiết bị, máy tính và tài chính </w:t>
                  </w:r>
                </w:p>
                <w:p w14:paraId="62E265F3"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8507E4F" w14:textId="77777777">
              <w:tc>
                <w:tcPr>
                  <w:tcW w:w="1908" w:type="dxa"/>
                  <w:tcBorders>
                    <w:top w:val="nil"/>
                    <w:left w:val="single" w:sz="4" w:space="0" w:color="auto"/>
                    <w:bottom w:val="single" w:sz="4" w:space="0" w:color="auto"/>
                    <w:right w:val="single" w:sz="4" w:space="0" w:color="auto"/>
                  </w:tcBorders>
                  <w:shd w:val="clear" w:color="auto" w:fill="auto"/>
                  <w:hideMark/>
                </w:tcPr>
                <w:p w14:paraId="72890D3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0ECD62B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A5A2E6C"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30AA49F" w14:textId="77777777" w:rsidR="00066B86" w:rsidRPr="00066B86" w:rsidRDefault="00066B86" w:rsidP="00066B86">
                  <w:pPr>
                    <w:spacing w:before="60" w:after="60" w:line="240" w:lineRule="auto"/>
                    <w:ind w:left="720" w:hanging="360"/>
                    <w:contextualSpacing/>
                    <w:jc w:val="center"/>
                    <w:rPr>
                      <w:rFonts w:ascii="Times New Roman" w:eastAsia="Times New Roman" w:hAnsi="Times New Roman" w:cs="Times New Roman"/>
                      <w:sz w:val="24"/>
                      <w:szCs w:val="24"/>
                      <w:lang w:eastAsia="en-SG"/>
                    </w:rPr>
                  </w:pPr>
                  <w:r w:rsidRPr="00066B86">
                    <w:rPr>
                      <w:rFonts w:ascii="Arial" w:eastAsia="Arial" w:hAnsi="Arial" w:cs="Arial"/>
                      <w:b/>
                      <w:sz w:val="20"/>
                      <w:szCs w:val="20"/>
                      <w:lang w:eastAsia="en-SG"/>
                    </w:rPr>
                    <w:t>1.</w:t>
                  </w:r>
                  <w:r w:rsidRPr="00066B86">
                    <w:rPr>
                      <w:rFonts w:ascii="Times New Roman" w:eastAsia="Arial" w:hAnsi="Times New Roman" w:cs="Times New Roman"/>
                      <w:b/>
                      <w:sz w:val="14"/>
                      <w:szCs w:val="14"/>
                      <w:lang w:eastAsia="en-SG"/>
                    </w:rPr>
                    <w:t xml:space="preserve">     </w:t>
                  </w:r>
                  <w:r w:rsidRPr="00066B86">
                    <w:rPr>
                      <w:rFonts w:ascii="Arial" w:eastAsia="Times New Roman" w:hAnsi="Arial" w:cs="Arial"/>
                      <w:b/>
                      <w:sz w:val="20"/>
                      <w:szCs w:val="20"/>
                      <w:lang w:eastAsia="en-SG"/>
                    </w:rPr>
                    <w:t>Tính thống nhất</w:t>
                  </w:r>
                </w:p>
              </w:tc>
            </w:tr>
            <w:tr w:rsidR="00066B86" w:rsidRPr="00066B86" w14:paraId="0ACE9FB4" w14:textId="77777777">
              <w:tc>
                <w:tcPr>
                  <w:tcW w:w="1908" w:type="dxa"/>
                  <w:tcBorders>
                    <w:top w:val="single" w:sz="4" w:space="0" w:color="auto"/>
                    <w:left w:val="single" w:sz="4" w:space="0" w:color="auto"/>
                    <w:bottom w:val="nil"/>
                    <w:right w:val="single" w:sz="4" w:space="0" w:color="auto"/>
                  </w:tcBorders>
                  <w:shd w:val="clear" w:color="auto" w:fill="E6E6E6"/>
                  <w:hideMark/>
                </w:tcPr>
                <w:p w14:paraId="40B3A3B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1.1. Tính chuyên môn</w:t>
                  </w:r>
                </w:p>
              </w:tc>
              <w:tc>
                <w:tcPr>
                  <w:tcW w:w="7320" w:type="dxa"/>
                  <w:tcBorders>
                    <w:top w:val="single" w:sz="4" w:space="0" w:color="auto"/>
                    <w:left w:val="single" w:sz="4" w:space="0" w:color="auto"/>
                    <w:bottom w:val="nil"/>
                    <w:right w:val="single" w:sz="4" w:space="0" w:color="auto"/>
                  </w:tcBorders>
                  <w:shd w:val="clear" w:color="auto" w:fill="E6E6E6"/>
                  <w:hideMark/>
                </w:tcPr>
                <w:p w14:paraId="469CDCC7"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1.1.1. Nguyên tắc khách quan và không thiên vị </w:t>
                  </w:r>
                </w:p>
              </w:tc>
            </w:tr>
            <w:tr w:rsidR="00066B86" w:rsidRPr="00066B86" w14:paraId="3C3268BF" w14:textId="77777777">
              <w:tc>
                <w:tcPr>
                  <w:tcW w:w="1908" w:type="dxa"/>
                  <w:tcBorders>
                    <w:top w:val="nil"/>
                    <w:left w:val="single" w:sz="4" w:space="0" w:color="auto"/>
                    <w:bottom w:val="nil"/>
                    <w:right w:val="single" w:sz="4" w:space="0" w:color="auto"/>
                  </w:tcBorders>
                  <w:shd w:val="clear" w:color="auto" w:fill="auto"/>
                  <w:hideMark/>
                </w:tcPr>
                <w:p w14:paraId="33D174F6"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lastRenderedPageBreak/>
                    <w:t> </w:t>
                  </w:r>
                </w:p>
              </w:tc>
              <w:tc>
                <w:tcPr>
                  <w:tcW w:w="7320" w:type="dxa"/>
                  <w:tcBorders>
                    <w:top w:val="nil"/>
                    <w:left w:val="single" w:sz="4" w:space="0" w:color="auto"/>
                    <w:bottom w:val="nil"/>
                    <w:right w:val="single" w:sz="4" w:space="0" w:color="auto"/>
                  </w:tcBorders>
                  <w:shd w:val="clear" w:color="auto" w:fill="auto"/>
                  <w:hideMark/>
                </w:tcPr>
                <w:p w14:paraId="0580E088"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675533E" w14:textId="77777777">
              <w:tc>
                <w:tcPr>
                  <w:tcW w:w="1908" w:type="dxa"/>
                  <w:tcBorders>
                    <w:top w:val="nil"/>
                    <w:left w:val="single" w:sz="4" w:space="0" w:color="auto"/>
                    <w:bottom w:val="nil"/>
                    <w:right w:val="single" w:sz="4" w:space="0" w:color="auto"/>
                  </w:tcBorders>
                  <w:shd w:val="clear" w:color="auto" w:fill="auto"/>
                  <w:hideMark/>
                </w:tcPr>
                <w:p w14:paraId="74E928B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2FCC2A0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1.1.2. Lựa chọn các nguồn số liệu, phương pháp luận và hình thức phổ biến thông tin </w:t>
                  </w:r>
                </w:p>
              </w:tc>
            </w:tr>
            <w:tr w:rsidR="00066B86" w:rsidRPr="00066B86" w14:paraId="7D4CC97E" w14:textId="77777777">
              <w:tc>
                <w:tcPr>
                  <w:tcW w:w="1908" w:type="dxa"/>
                  <w:tcBorders>
                    <w:top w:val="nil"/>
                    <w:left w:val="single" w:sz="4" w:space="0" w:color="auto"/>
                    <w:bottom w:val="nil"/>
                    <w:right w:val="single" w:sz="4" w:space="0" w:color="auto"/>
                  </w:tcBorders>
                  <w:shd w:val="clear" w:color="auto" w:fill="auto"/>
                  <w:hideMark/>
                </w:tcPr>
                <w:p w14:paraId="1E073F4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1714354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35DD209" w14:textId="77777777">
              <w:tc>
                <w:tcPr>
                  <w:tcW w:w="1908" w:type="dxa"/>
                  <w:tcBorders>
                    <w:top w:val="nil"/>
                    <w:left w:val="single" w:sz="4" w:space="0" w:color="auto"/>
                    <w:bottom w:val="nil"/>
                    <w:right w:val="single" w:sz="4" w:space="0" w:color="auto"/>
                  </w:tcBorders>
                  <w:shd w:val="clear" w:color="auto" w:fill="auto"/>
                  <w:hideMark/>
                </w:tcPr>
                <w:p w14:paraId="05DAEBC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3A93CE4A"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1.1.3. Đưa ý kiến khi số liệu thống kê bị hiểu sai và sử dụng sai </w:t>
                  </w:r>
                </w:p>
              </w:tc>
            </w:tr>
            <w:tr w:rsidR="00066B86" w:rsidRPr="00066B86" w14:paraId="22C0F3D5" w14:textId="77777777">
              <w:tc>
                <w:tcPr>
                  <w:tcW w:w="1908" w:type="dxa"/>
                  <w:tcBorders>
                    <w:top w:val="nil"/>
                    <w:left w:val="single" w:sz="4" w:space="0" w:color="auto"/>
                    <w:bottom w:val="single" w:sz="4" w:space="0" w:color="auto"/>
                    <w:right w:val="single" w:sz="4" w:space="0" w:color="auto"/>
                  </w:tcBorders>
                  <w:shd w:val="clear" w:color="auto" w:fill="auto"/>
                  <w:hideMark/>
                </w:tcPr>
                <w:p w14:paraId="514F855A"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2BB9E9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33128187" w14:textId="77777777">
              <w:tc>
                <w:tcPr>
                  <w:tcW w:w="1908" w:type="dxa"/>
                  <w:tcBorders>
                    <w:top w:val="single" w:sz="4" w:space="0" w:color="auto"/>
                    <w:left w:val="single" w:sz="4" w:space="0" w:color="auto"/>
                    <w:bottom w:val="nil"/>
                    <w:right w:val="single" w:sz="4" w:space="0" w:color="auto"/>
                  </w:tcBorders>
                  <w:shd w:val="clear" w:color="auto" w:fill="E0E0E0"/>
                  <w:hideMark/>
                </w:tcPr>
                <w:p w14:paraId="5F57038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1.2. Tính minh bạch</w:t>
                  </w:r>
                </w:p>
              </w:tc>
              <w:tc>
                <w:tcPr>
                  <w:tcW w:w="7320" w:type="dxa"/>
                  <w:tcBorders>
                    <w:top w:val="single" w:sz="4" w:space="0" w:color="auto"/>
                    <w:left w:val="single" w:sz="4" w:space="0" w:color="auto"/>
                    <w:bottom w:val="nil"/>
                    <w:right w:val="single" w:sz="4" w:space="0" w:color="auto"/>
                  </w:tcBorders>
                  <w:shd w:val="clear" w:color="auto" w:fill="E0E0E0"/>
                  <w:hideMark/>
                </w:tcPr>
                <w:p w14:paraId="282F210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1.2.1. Công bố các điều khoản và điều kiện để thực hiện thu thập, xử lý và phổ biến số liệu thống kê </w:t>
                  </w:r>
                </w:p>
              </w:tc>
            </w:tr>
            <w:tr w:rsidR="00066B86" w:rsidRPr="00066B86" w14:paraId="45A513B4" w14:textId="77777777">
              <w:tc>
                <w:tcPr>
                  <w:tcW w:w="1908" w:type="dxa"/>
                  <w:tcBorders>
                    <w:top w:val="nil"/>
                    <w:left w:val="single" w:sz="4" w:space="0" w:color="auto"/>
                    <w:bottom w:val="nil"/>
                    <w:right w:val="single" w:sz="4" w:space="0" w:color="auto"/>
                  </w:tcBorders>
                  <w:shd w:val="clear" w:color="auto" w:fill="auto"/>
                  <w:hideMark/>
                </w:tcPr>
                <w:p w14:paraId="67FFE12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E6E399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3789318" w14:textId="77777777">
              <w:tc>
                <w:tcPr>
                  <w:tcW w:w="1908" w:type="dxa"/>
                  <w:tcBorders>
                    <w:top w:val="nil"/>
                    <w:left w:val="single" w:sz="4" w:space="0" w:color="auto"/>
                    <w:bottom w:val="nil"/>
                    <w:right w:val="single" w:sz="4" w:space="0" w:color="auto"/>
                  </w:tcBorders>
                  <w:shd w:val="clear" w:color="auto" w:fill="auto"/>
                  <w:hideMark/>
                </w:tcPr>
                <w:p w14:paraId="68F1A7C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19BF1AE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1.2.2. Quyền tiếp cận số liệu thống kê trước khi công bố của nội bộ các cơ quan chính phủ </w:t>
                  </w:r>
                </w:p>
              </w:tc>
            </w:tr>
            <w:tr w:rsidR="00066B86" w:rsidRPr="00066B86" w14:paraId="06BE66A5" w14:textId="77777777">
              <w:tc>
                <w:tcPr>
                  <w:tcW w:w="1908" w:type="dxa"/>
                  <w:tcBorders>
                    <w:top w:val="nil"/>
                    <w:left w:val="single" w:sz="4" w:space="0" w:color="auto"/>
                    <w:bottom w:val="nil"/>
                    <w:right w:val="single" w:sz="4" w:space="0" w:color="auto"/>
                  </w:tcBorders>
                  <w:shd w:val="clear" w:color="auto" w:fill="auto"/>
                  <w:hideMark/>
                </w:tcPr>
                <w:p w14:paraId="53AFE4D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1DEC211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D70D943" w14:textId="77777777">
              <w:tc>
                <w:tcPr>
                  <w:tcW w:w="1908" w:type="dxa"/>
                  <w:tcBorders>
                    <w:top w:val="nil"/>
                    <w:left w:val="single" w:sz="4" w:space="0" w:color="auto"/>
                    <w:bottom w:val="nil"/>
                    <w:right w:val="single" w:sz="4" w:space="0" w:color="auto"/>
                  </w:tcBorders>
                  <w:shd w:val="clear" w:color="auto" w:fill="auto"/>
                  <w:hideMark/>
                </w:tcPr>
                <w:p w14:paraId="517482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7DAC7E2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1.2.3. Các sản phẩm  thống kê thuộc thẩm quyền </w:t>
                  </w:r>
                </w:p>
              </w:tc>
            </w:tr>
            <w:tr w:rsidR="00066B86" w:rsidRPr="00066B86" w14:paraId="797F6390" w14:textId="77777777">
              <w:tc>
                <w:tcPr>
                  <w:tcW w:w="1908" w:type="dxa"/>
                  <w:tcBorders>
                    <w:top w:val="nil"/>
                    <w:left w:val="single" w:sz="4" w:space="0" w:color="auto"/>
                    <w:bottom w:val="nil"/>
                    <w:right w:val="single" w:sz="4" w:space="0" w:color="auto"/>
                  </w:tcBorders>
                  <w:shd w:val="clear" w:color="auto" w:fill="auto"/>
                  <w:hideMark/>
                </w:tcPr>
                <w:p w14:paraId="4D4BCE9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70420665"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2FFC34B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066B86" w:rsidRPr="00066B86" w14:paraId="201439DC" w14:textId="77777777">
              <w:tc>
                <w:tcPr>
                  <w:tcW w:w="1908" w:type="dxa"/>
                  <w:tcBorders>
                    <w:top w:val="nil"/>
                    <w:left w:val="single" w:sz="4" w:space="0" w:color="auto"/>
                    <w:bottom w:val="nil"/>
                    <w:right w:val="single" w:sz="4" w:space="0" w:color="auto"/>
                  </w:tcBorders>
                  <w:shd w:val="clear" w:color="auto" w:fill="auto"/>
                  <w:hideMark/>
                </w:tcPr>
                <w:p w14:paraId="271B7AA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643D55D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1.2.4. Thông báo trước về những thay đổi lớn trong phương pháp luận, nguồn số liệu và các kỹ thuật thống kê </w:t>
                  </w:r>
                </w:p>
              </w:tc>
            </w:tr>
            <w:tr w:rsidR="00066B86" w:rsidRPr="00066B86" w14:paraId="6E028B32" w14:textId="77777777">
              <w:tc>
                <w:tcPr>
                  <w:tcW w:w="1908" w:type="dxa"/>
                  <w:tcBorders>
                    <w:top w:val="nil"/>
                    <w:left w:val="single" w:sz="4" w:space="0" w:color="auto"/>
                    <w:bottom w:val="single" w:sz="4" w:space="0" w:color="auto"/>
                    <w:right w:val="single" w:sz="4" w:space="0" w:color="auto"/>
                  </w:tcBorders>
                  <w:shd w:val="clear" w:color="auto" w:fill="auto"/>
                  <w:hideMark/>
                </w:tcPr>
                <w:p w14:paraId="42FC6B5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68AEA7D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0F69EF0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066B86" w:rsidRPr="00066B86" w14:paraId="53A1C8B4" w14:textId="77777777">
              <w:tc>
                <w:tcPr>
                  <w:tcW w:w="1908" w:type="dxa"/>
                  <w:tcBorders>
                    <w:top w:val="single" w:sz="4" w:space="0" w:color="auto"/>
                    <w:left w:val="single" w:sz="4" w:space="0" w:color="auto"/>
                    <w:bottom w:val="nil"/>
                    <w:right w:val="single" w:sz="4" w:space="0" w:color="auto"/>
                  </w:tcBorders>
                  <w:shd w:val="clear" w:color="auto" w:fill="E0E0E0"/>
                  <w:hideMark/>
                </w:tcPr>
                <w:p w14:paraId="72A2DFD8"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1.3. Các tiêu chuẩn đạo đức</w:t>
                  </w:r>
                </w:p>
              </w:tc>
              <w:tc>
                <w:tcPr>
                  <w:tcW w:w="7320" w:type="dxa"/>
                  <w:tcBorders>
                    <w:top w:val="single" w:sz="4" w:space="0" w:color="auto"/>
                    <w:left w:val="single" w:sz="4" w:space="0" w:color="auto"/>
                    <w:bottom w:val="nil"/>
                    <w:right w:val="single" w:sz="4" w:space="0" w:color="auto"/>
                  </w:tcBorders>
                  <w:shd w:val="clear" w:color="auto" w:fill="E0E0E0"/>
                  <w:hideMark/>
                </w:tcPr>
                <w:p w14:paraId="6D7243D9"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1.3.1. Những chỉ dẫn về hành vi của cán bộ </w:t>
                  </w:r>
                </w:p>
              </w:tc>
            </w:tr>
            <w:tr w:rsidR="00066B86" w:rsidRPr="00066B86" w14:paraId="4F06255A" w14:textId="77777777">
              <w:tc>
                <w:tcPr>
                  <w:tcW w:w="1908" w:type="dxa"/>
                  <w:tcBorders>
                    <w:top w:val="nil"/>
                    <w:left w:val="single" w:sz="4" w:space="0" w:color="auto"/>
                    <w:bottom w:val="single" w:sz="4" w:space="0" w:color="auto"/>
                    <w:right w:val="single" w:sz="4" w:space="0" w:color="auto"/>
                  </w:tcBorders>
                  <w:shd w:val="clear" w:color="auto" w:fill="auto"/>
                  <w:hideMark/>
                </w:tcPr>
                <w:p w14:paraId="009D7863"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34201D05"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033EAF5"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9D3DF8D"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 Phương pháp luận</w:t>
                  </w:r>
                </w:p>
              </w:tc>
            </w:tr>
            <w:tr w:rsidR="00066B86" w:rsidRPr="00066B86" w14:paraId="23D9CE36" w14:textId="77777777">
              <w:tc>
                <w:tcPr>
                  <w:tcW w:w="1908" w:type="dxa"/>
                  <w:tcBorders>
                    <w:top w:val="single" w:sz="4" w:space="0" w:color="auto"/>
                    <w:left w:val="single" w:sz="4" w:space="0" w:color="auto"/>
                    <w:bottom w:val="nil"/>
                    <w:right w:val="single" w:sz="4" w:space="0" w:color="auto"/>
                  </w:tcBorders>
                  <w:shd w:val="clear" w:color="auto" w:fill="E0E0E0"/>
                  <w:hideMark/>
                </w:tcPr>
                <w:p w14:paraId="32C97E77"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2.1. Các định nghĩa và khái niệm</w:t>
                  </w:r>
                </w:p>
              </w:tc>
              <w:tc>
                <w:tcPr>
                  <w:tcW w:w="7320" w:type="dxa"/>
                  <w:tcBorders>
                    <w:top w:val="single" w:sz="4" w:space="0" w:color="auto"/>
                    <w:left w:val="single" w:sz="4" w:space="0" w:color="auto"/>
                    <w:bottom w:val="nil"/>
                    <w:right w:val="single" w:sz="4" w:space="0" w:color="auto"/>
                  </w:tcBorders>
                  <w:shd w:val="clear" w:color="auto" w:fill="E0E0E0"/>
                  <w:hideMark/>
                </w:tcPr>
                <w:p w14:paraId="77055D50"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2.1.1. Cấu trúc chung về khái niệm và định nghĩa tuân theo các chuẩn mực, hướng dẫn và cách thực hành tốt đã được quốc tế công nhận.</w:t>
                  </w:r>
                </w:p>
              </w:tc>
            </w:tr>
            <w:tr w:rsidR="00066B86" w:rsidRPr="00066B86" w14:paraId="123EDA51" w14:textId="77777777">
              <w:tc>
                <w:tcPr>
                  <w:tcW w:w="1908" w:type="dxa"/>
                  <w:tcBorders>
                    <w:top w:val="nil"/>
                    <w:left w:val="single" w:sz="4" w:space="0" w:color="auto"/>
                    <w:bottom w:val="single" w:sz="4" w:space="0" w:color="auto"/>
                    <w:right w:val="single" w:sz="4" w:space="0" w:color="auto"/>
                  </w:tcBorders>
                  <w:shd w:val="clear" w:color="auto" w:fill="auto"/>
                  <w:hideMark/>
                </w:tcPr>
                <w:p w14:paraId="75C8A2BD"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D18248C"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0D80782B" w14:textId="77777777">
              <w:tc>
                <w:tcPr>
                  <w:tcW w:w="1908" w:type="dxa"/>
                  <w:tcBorders>
                    <w:top w:val="single" w:sz="4" w:space="0" w:color="auto"/>
                    <w:left w:val="single" w:sz="4" w:space="0" w:color="auto"/>
                    <w:bottom w:val="nil"/>
                    <w:right w:val="single" w:sz="4" w:space="0" w:color="auto"/>
                  </w:tcBorders>
                  <w:shd w:val="clear" w:color="auto" w:fill="E0E0E0"/>
                  <w:hideMark/>
                </w:tcPr>
                <w:p w14:paraId="104A0588"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2.2. Phạm vi</w:t>
                  </w:r>
                </w:p>
              </w:tc>
              <w:tc>
                <w:tcPr>
                  <w:tcW w:w="7320" w:type="dxa"/>
                  <w:tcBorders>
                    <w:top w:val="single" w:sz="4" w:space="0" w:color="auto"/>
                    <w:left w:val="single" w:sz="4" w:space="0" w:color="auto"/>
                    <w:bottom w:val="nil"/>
                    <w:right w:val="single" w:sz="4" w:space="0" w:color="auto"/>
                  </w:tcBorders>
                  <w:shd w:val="clear" w:color="auto" w:fill="E0E0E0"/>
                  <w:hideMark/>
                </w:tcPr>
                <w:p w14:paraId="02C2FD6A"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2.2.1. Phạm vi </w:t>
                  </w:r>
                </w:p>
              </w:tc>
            </w:tr>
            <w:tr w:rsidR="00066B86" w:rsidRPr="00066B86" w14:paraId="4DEA8C5E" w14:textId="77777777">
              <w:tc>
                <w:tcPr>
                  <w:tcW w:w="1908" w:type="dxa"/>
                  <w:tcBorders>
                    <w:top w:val="nil"/>
                    <w:left w:val="single" w:sz="4" w:space="0" w:color="auto"/>
                    <w:bottom w:val="single" w:sz="4" w:space="0" w:color="auto"/>
                    <w:right w:val="single" w:sz="4" w:space="0" w:color="auto"/>
                  </w:tcBorders>
                  <w:shd w:val="clear" w:color="auto" w:fill="auto"/>
                  <w:hideMark/>
                </w:tcPr>
                <w:p w14:paraId="148EC6FE"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474BFB0"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5FFA2714" w14:textId="77777777">
              <w:tc>
                <w:tcPr>
                  <w:tcW w:w="1908" w:type="dxa"/>
                  <w:tcBorders>
                    <w:top w:val="single" w:sz="4" w:space="0" w:color="auto"/>
                    <w:left w:val="single" w:sz="4" w:space="0" w:color="auto"/>
                    <w:bottom w:val="nil"/>
                    <w:right w:val="single" w:sz="4" w:space="0" w:color="auto"/>
                  </w:tcBorders>
                  <w:shd w:val="clear" w:color="auto" w:fill="auto"/>
                  <w:hideMark/>
                </w:tcPr>
                <w:p w14:paraId="3A17CC4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single" w:sz="4" w:space="0" w:color="auto"/>
                    <w:left w:val="single" w:sz="4" w:space="0" w:color="auto"/>
                    <w:bottom w:val="nil"/>
                    <w:right w:val="single" w:sz="4" w:space="0" w:color="auto"/>
                  </w:tcBorders>
                  <w:shd w:val="clear" w:color="auto" w:fill="E6E6E6"/>
                  <w:hideMark/>
                </w:tcPr>
                <w:p w14:paraId="3E04FA11" w14:textId="77777777" w:rsidR="00066B86" w:rsidRPr="00066B86" w:rsidRDefault="00066B86" w:rsidP="00066B86">
                  <w:pPr>
                    <w:spacing w:before="60" w:after="60" w:line="252"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2.2.1.1. Phạm vi của số liệu</w:t>
                  </w:r>
                </w:p>
              </w:tc>
            </w:tr>
            <w:tr w:rsidR="00066B86" w:rsidRPr="00066B86" w14:paraId="30A784B9" w14:textId="77777777">
              <w:tc>
                <w:tcPr>
                  <w:tcW w:w="1908" w:type="dxa"/>
                  <w:tcBorders>
                    <w:top w:val="nil"/>
                    <w:left w:val="single" w:sz="4" w:space="0" w:color="auto"/>
                    <w:bottom w:val="nil"/>
                    <w:right w:val="single" w:sz="4" w:space="0" w:color="auto"/>
                  </w:tcBorders>
                  <w:shd w:val="clear" w:color="auto" w:fill="auto"/>
                  <w:hideMark/>
                </w:tcPr>
                <w:p w14:paraId="1ABA205B"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717800B9" w14:textId="77777777" w:rsidR="00066B86" w:rsidRPr="00066B86" w:rsidRDefault="00066B86" w:rsidP="00066B86">
                  <w:pPr>
                    <w:spacing w:before="60" w:after="60" w:line="252" w:lineRule="auto"/>
                    <w:ind w:firstLine="357"/>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Tại Khoản 2 Điều 30 (đã được sửa đổi, bổ sung tại Khoản 20 Điều 1 Pháp lệnh số 06/2013/UBTVQH13)Pháp lệnh ngoại hối số 28/2005/PL-UBTVQH11 quy định: “Ngân hàng Nhà nước Việt Nam công bố tỷ giá hối đoái, quyết định chế độ tỷ giá, cơ chế điều hành tỷ giá”.</w:t>
                  </w:r>
                  <w:r w:rsidRPr="00066B86">
                    <w:rPr>
                      <w:rFonts w:ascii="Arial" w:eastAsia="Times New Roman" w:hAnsi="Arial" w:cs="Arial"/>
                      <w:sz w:val="20"/>
                      <w:szCs w:val="20"/>
                      <w:lang w:val="es-NI" w:eastAsia="en-SG"/>
                    </w:rPr>
                    <w:t>Hàng ngày, Ngân hàng Nhà nước Việt Nam công bố  tỷ giá trung tâm giữa đồng Việt Nam và Đô la Mỹ và hàng tuần công bố tỷ giá tính chéo của Đồng Việt Nam với một số ngoại tệ khác để xác định trị giá tính thuế (Căn cứ Quyết định số 2730/QĐ-NHNN ngày 31/12/2015 của Ngân hàng Nhà nước về việc công bố tỷ giá trung tâm của Đồng Việt Nam với Đô la Mỹ, tỷ giá tính chéo của Đồng Việt Nam với một số ngoại tệ khác).</w:t>
                  </w:r>
                </w:p>
                <w:p w14:paraId="23C0A5DB" w14:textId="5DF2A656" w:rsidR="00066B86" w:rsidRPr="00066B86" w:rsidRDefault="00066EC3" w:rsidP="00066B86">
                  <w:pPr>
                    <w:spacing w:before="60" w:after="60" w:line="252" w:lineRule="auto"/>
                    <w:ind w:firstLine="357"/>
                    <w:jc w:val="both"/>
                    <w:rPr>
                      <w:rFonts w:ascii="Times New Roman" w:eastAsia="Times New Roman" w:hAnsi="Times New Roman" w:cs="Times New Roman"/>
                      <w:sz w:val="24"/>
                      <w:szCs w:val="24"/>
                      <w:lang w:eastAsia="en-SG"/>
                    </w:rPr>
                  </w:pPr>
                  <w:r w:rsidRPr="00066EC3">
                    <w:rPr>
                      <w:rFonts w:ascii="Arial" w:eastAsia="Times New Roman" w:hAnsi="Arial" w:cs="Arial"/>
                      <w:color w:val="000000" w:themeColor="text1"/>
                      <w:sz w:val="20"/>
                      <w:szCs w:val="20"/>
                      <w:highlight w:val="yellow"/>
                      <w:lang w:eastAsia="en-SG"/>
                    </w:rPr>
                    <w:t xml:space="preserve">- </w:t>
                  </w:r>
                  <w:r w:rsidRPr="00066EC3">
                    <w:rPr>
                      <w:rFonts w:ascii="Arial" w:eastAsia="Times New Roman" w:hAnsi="Arial" w:cs="Arial"/>
                      <w:color w:val="000000" w:themeColor="text1"/>
                      <w:sz w:val="20"/>
                      <w:szCs w:val="20"/>
                      <w:highlight w:val="yellow"/>
                      <w:lang w:eastAsia="en-SG"/>
                    </w:rPr>
                    <w:t xml:space="preserve">Quyết định số 1747/QĐ-NHNN ngày 17/10/2022 của Thống đốc Ngân hàng Nhà nước quy định về tỷ giá giao ngay giữa đồng Việt Nam với các ngoại tệ của các tổ chức tín dụng được phép đã quy định: “Ngân hàng, tổ chức tín dụng phi </w:t>
                  </w:r>
                  <w:r w:rsidRPr="00066EC3">
                    <w:rPr>
                      <w:rFonts w:ascii="Arial" w:eastAsia="Times New Roman" w:hAnsi="Arial" w:cs="Arial"/>
                      <w:color w:val="000000" w:themeColor="text1"/>
                      <w:sz w:val="20"/>
                      <w:szCs w:val="20"/>
                      <w:highlight w:val="yellow"/>
                      <w:lang w:eastAsia="en-SG"/>
                    </w:rPr>
                    <w:lastRenderedPageBreak/>
                    <w:t>ngân hàng, chi nhánh ngân hàng nước ngoài được phép thực hiện hoạt động kinh doanh, cung ứng dịch vụ ngoại hối (sau đây gọi tắt là tổ chức tín dụng được phép) thực hiện ấn định tỷ giá mua, tỷ giá giao ngay (spot) của Đồng Việt Nam với ngoại tệ theo nguyên tắc sau: (1) Đối với Đô la Mỹ: Không được vượt quá biên độ ± 5% (Năm phần trăm) so với tỷ giá bình quân trên thị trường ngoại tệ liên ngân hàng do Ngân hàng Nhà nước Việt Nam công bố áp dụng cho ngày giao dịch đó; (2) Đối với các ngoại tệ khác: Do tổ chức tín dụng được phép xác định; (3) Chênh lệch giữa tỷ giá mua và tỷ giá bán do tổ chức tín dụng được phép xác định.</w:t>
                  </w:r>
                </w:p>
              </w:tc>
            </w:tr>
            <w:tr w:rsidR="00066B86" w:rsidRPr="00066B86" w14:paraId="5981F984" w14:textId="77777777">
              <w:tc>
                <w:tcPr>
                  <w:tcW w:w="1908" w:type="dxa"/>
                  <w:tcBorders>
                    <w:top w:val="nil"/>
                    <w:left w:val="single" w:sz="4" w:space="0" w:color="auto"/>
                    <w:bottom w:val="nil"/>
                    <w:right w:val="single" w:sz="4" w:space="0" w:color="auto"/>
                  </w:tcBorders>
                  <w:shd w:val="clear" w:color="auto" w:fill="auto"/>
                  <w:hideMark/>
                </w:tcPr>
                <w:p w14:paraId="259B6F98"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lastRenderedPageBreak/>
                    <w:t> </w:t>
                  </w:r>
                </w:p>
              </w:tc>
              <w:tc>
                <w:tcPr>
                  <w:tcW w:w="7320" w:type="dxa"/>
                  <w:tcBorders>
                    <w:top w:val="nil"/>
                    <w:left w:val="single" w:sz="4" w:space="0" w:color="auto"/>
                    <w:bottom w:val="nil"/>
                    <w:right w:val="single" w:sz="4" w:space="0" w:color="auto"/>
                  </w:tcBorders>
                  <w:shd w:val="clear" w:color="auto" w:fill="E6E6E6"/>
                  <w:hideMark/>
                </w:tcPr>
                <w:p w14:paraId="5714F182"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2.2.1.2. Những trường hợp ngoại lệ</w:t>
                  </w:r>
                </w:p>
              </w:tc>
            </w:tr>
            <w:tr w:rsidR="00066B86" w:rsidRPr="00066B86" w14:paraId="36A4FD66" w14:textId="77777777">
              <w:tc>
                <w:tcPr>
                  <w:tcW w:w="1908" w:type="dxa"/>
                  <w:tcBorders>
                    <w:top w:val="nil"/>
                    <w:left w:val="single" w:sz="4" w:space="0" w:color="auto"/>
                    <w:bottom w:val="nil"/>
                    <w:right w:val="single" w:sz="4" w:space="0" w:color="auto"/>
                  </w:tcBorders>
                  <w:shd w:val="clear" w:color="auto" w:fill="auto"/>
                  <w:hideMark/>
                </w:tcPr>
                <w:p w14:paraId="6A4E2F5E"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t> </w:t>
                  </w:r>
                </w:p>
              </w:tc>
              <w:tc>
                <w:tcPr>
                  <w:tcW w:w="7320" w:type="dxa"/>
                  <w:tcBorders>
                    <w:top w:val="nil"/>
                    <w:left w:val="single" w:sz="4" w:space="0" w:color="auto"/>
                    <w:bottom w:val="nil"/>
                    <w:right w:val="single" w:sz="4" w:space="0" w:color="auto"/>
                  </w:tcBorders>
                  <w:shd w:val="clear" w:color="auto" w:fill="auto"/>
                  <w:hideMark/>
                </w:tcPr>
                <w:p w14:paraId="547C1100"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 </w:t>
                  </w:r>
                </w:p>
              </w:tc>
            </w:tr>
            <w:tr w:rsidR="00066B86" w:rsidRPr="00066B86" w14:paraId="6C63DC53" w14:textId="77777777">
              <w:tc>
                <w:tcPr>
                  <w:tcW w:w="1908" w:type="dxa"/>
                  <w:tcBorders>
                    <w:top w:val="nil"/>
                    <w:left w:val="single" w:sz="4" w:space="0" w:color="auto"/>
                    <w:bottom w:val="nil"/>
                    <w:right w:val="single" w:sz="4" w:space="0" w:color="auto"/>
                  </w:tcBorders>
                  <w:shd w:val="clear" w:color="auto" w:fill="auto"/>
                  <w:hideMark/>
                </w:tcPr>
                <w:p w14:paraId="729A0812"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t> </w:t>
                  </w:r>
                </w:p>
              </w:tc>
              <w:tc>
                <w:tcPr>
                  <w:tcW w:w="7320" w:type="dxa"/>
                  <w:tcBorders>
                    <w:top w:val="nil"/>
                    <w:left w:val="single" w:sz="4" w:space="0" w:color="auto"/>
                    <w:bottom w:val="nil"/>
                    <w:right w:val="single" w:sz="4" w:space="0" w:color="auto"/>
                  </w:tcBorders>
                  <w:shd w:val="clear" w:color="auto" w:fill="E6E6E6"/>
                  <w:hideMark/>
                </w:tcPr>
                <w:p w14:paraId="1A348876"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2.2.1.3. Những hoạt động không được ghi chép</w:t>
                  </w:r>
                </w:p>
              </w:tc>
            </w:tr>
            <w:tr w:rsidR="00066B86" w:rsidRPr="00066B86" w14:paraId="684DDFB9" w14:textId="77777777">
              <w:tc>
                <w:tcPr>
                  <w:tcW w:w="1908" w:type="dxa"/>
                  <w:tcBorders>
                    <w:top w:val="nil"/>
                    <w:left w:val="single" w:sz="4" w:space="0" w:color="auto"/>
                    <w:bottom w:val="single" w:sz="4" w:space="0" w:color="auto"/>
                    <w:right w:val="single" w:sz="4" w:space="0" w:color="auto"/>
                  </w:tcBorders>
                  <w:shd w:val="clear" w:color="auto" w:fill="auto"/>
                  <w:hideMark/>
                </w:tcPr>
                <w:p w14:paraId="4E08449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E3CA9E1"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 </w:t>
                  </w:r>
                </w:p>
              </w:tc>
            </w:tr>
            <w:tr w:rsidR="00066B86" w:rsidRPr="00066B86" w14:paraId="06671EA7" w14:textId="77777777">
              <w:tc>
                <w:tcPr>
                  <w:tcW w:w="1908" w:type="dxa"/>
                  <w:tcBorders>
                    <w:top w:val="single" w:sz="4" w:space="0" w:color="auto"/>
                    <w:left w:val="single" w:sz="4" w:space="0" w:color="auto"/>
                    <w:bottom w:val="nil"/>
                    <w:right w:val="single" w:sz="4" w:space="0" w:color="auto"/>
                  </w:tcBorders>
                  <w:shd w:val="clear" w:color="auto" w:fill="E0E0E0"/>
                  <w:hideMark/>
                </w:tcPr>
                <w:p w14:paraId="0E8CA4E3"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2.3. Phân loại/phân ngành </w:t>
                  </w:r>
                </w:p>
              </w:tc>
              <w:tc>
                <w:tcPr>
                  <w:tcW w:w="7320" w:type="dxa"/>
                  <w:tcBorders>
                    <w:top w:val="single" w:sz="4" w:space="0" w:color="auto"/>
                    <w:left w:val="single" w:sz="4" w:space="0" w:color="auto"/>
                    <w:bottom w:val="nil"/>
                    <w:right w:val="single" w:sz="4" w:space="0" w:color="auto"/>
                  </w:tcBorders>
                  <w:shd w:val="clear" w:color="auto" w:fill="E0E0E0"/>
                  <w:hideMark/>
                </w:tcPr>
                <w:p w14:paraId="449E426D"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2.3.1. Phân loại/phân ngành </w:t>
                  </w:r>
                </w:p>
              </w:tc>
            </w:tr>
            <w:tr w:rsidR="00066B86" w:rsidRPr="00066B86" w14:paraId="1AF36D98" w14:textId="77777777">
              <w:tc>
                <w:tcPr>
                  <w:tcW w:w="1908" w:type="dxa"/>
                  <w:tcBorders>
                    <w:top w:val="nil"/>
                    <w:left w:val="single" w:sz="4" w:space="0" w:color="auto"/>
                    <w:bottom w:val="single" w:sz="4" w:space="0" w:color="auto"/>
                    <w:right w:val="single" w:sz="4" w:space="0" w:color="auto"/>
                  </w:tcBorders>
                  <w:shd w:val="clear" w:color="auto" w:fill="auto"/>
                  <w:hideMark/>
                </w:tcPr>
                <w:p w14:paraId="3D0F91FC"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1960358F"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2914FDF1" w14:textId="77777777">
              <w:tc>
                <w:tcPr>
                  <w:tcW w:w="1908" w:type="dxa"/>
                  <w:tcBorders>
                    <w:top w:val="single" w:sz="4" w:space="0" w:color="auto"/>
                    <w:left w:val="single" w:sz="4" w:space="0" w:color="auto"/>
                    <w:bottom w:val="nil"/>
                    <w:right w:val="single" w:sz="4" w:space="0" w:color="auto"/>
                  </w:tcBorders>
                  <w:shd w:val="clear" w:color="auto" w:fill="E0E0E0"/>
                  <w:hideMark/>
                </w:tcPr>
                <w:p w14:paraId="07C00E01"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2.4. Cơ sở để ghi chép</w:t>
                  </w:r>
                </w:p>
              </w:tc>
              <w:tc>
                <w:tcPr>
                  <w:tcW w:w="7320" w:type="dxa"/>
                  <w:tcBorders>
                    <w:top w:val="single" w:sz="4" w:space="0" w:color="auto"/>
                    <w:left w:val="single" w:sz="4" w:space="0" w:color="auto"/>
                    <w:bottom w:val="nil"/>
                    <w:right w:val="single" w:sz="4" w:space="0" w:color="auto"/>
                  </w:tcBorders>
                  <w:shd w:val="clear" w:color="auto" w:fill="E0E0E0"/>
                  <w:hideMark/>
                </w:tcPr>
                <w:p w14:paraId="6DE5EF2A"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2.4.1. Giá trị </w:t>
                  </w:r>
                </w:p>
              </w:tc>
            </w:tr>
            <w:tr w:rsidR="00066B86" w:rsidRPr="00066B86" w14:paraId="1D8B75CC" w14:textId="77777777">
              <w:tc>
                <w:tcPr>
                  <w:tcW w:w="1908" w:type="dxa"/>
                  <w:tcBorders>
                    <w:top w:val="nil"/>
                    <w:left w:val="single" w:sz="4" w:space="0" w:color="auto"/>
                    <w:bottom w:val="nil"/>
                    <w:right w:val="single" w:sz="4" w:space="0" w:color="auto"/>
                  </w:tcBorders>
                  <w:shd w:val="clear" w:color="auto" w:fill="auto"/>
                  <w:hideMark/>
                </w:tcPr>
                <w:p w14:paraId="255EDEBE"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4393F0D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522961A4" w14:textId="77777777">
              <w:tc>
                <w:tcPr>
                  <w:tcW w:w="1908" w:type="dxa"/>
                  <w:tcBorders>
                    <w:top w:val="nil"/>
                    <w:left w:val="single" w:sz="4" w:space="0" w:color="auto"/>
                    <w:bottom w:val="nil"/>
                    <w:right w:val="single" w:sz="4" w:space="0" w:color="auto"/>
                  </w:tcBorders>
                  <w:shd w:val="clear" w:color="auto" w:fill="auto"/>
                  <w:hideMark/>
                </w:tcPr>
                <w:p w14:paraId="0A32D919"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5BBF3A3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2.4.2. Cơ sở ghi chép </w:t>
                  </w:r>
                </w:p>
              </w:tc>
            </w:tr>
            <w:tr w:rsidR="00066B86" w:rsidRPr="00066B86" w14:paraId="02D283C4" w14:textId="77777777">
              <w:tc>
                <w:tcPr>
                  <w:tcW w:w="1908" w:type="dxa"/>
                  <w:tcBorders>
                    <w:top w:val="nil"/>
                    <w:left w:val="single" w:sz="4" w:space="0" w:color="auto"/>
                    <w:bottom w:val="nil"/>
                    <w:right w:val="single" w:sz="4" w:space="0" w:color="auto"/>
                  </w:tcBorders>
                  <w:shd w:val="clear" w:color="auto" w:fill="auto"/>
                  <w:hideMark/>
                </w:tcPr>
                <w:p w14:paraId="1893AE9E"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749E954C"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539671B7" w14:textId="77777777">
              <w:tc>
                <w:tcPr>
                  <w:tcW w:w="1908" w:type="dxa"/>
                  <w:tcBorders>
                    <w:top w:val="nil"/>
                    <w:left w:val="single" w:sz="4" w:space="0" w:color="auto"/>
                    <w:bottom w:val="nil"/>
                    <w:right w:val="single" w:sz="4" w:space="0" w:color="auto"/>
                  </w:tcBorders>
                  <w:shd w:val="clear" w:color="auto" w:fill="auto"/>
                  <w:hideMark/>
                </w:tcPr>
                <w:p w14:paraId="6115B31E"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1885799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2.4.3. Tính gộp hoặc tính thuần </w:t>
                  </w:r>
                </w:p>
              </w:tc>
            </w:tr>
            <w:tr w:rsidR="00066B86" w:rsidRPr="00066B86" w14:paraId="4022EF8D" w14:textId="77777777">
              <w:tc>
                <w:tcPr>
                  <w:tcW w:w="1908" w:type="dxa"/>
                  <w:tcBorders>
                    <w:top w:val="nil"/>
                    <w:left w:val="single" w:sz="4" w:space="0" w:color="auto"/>
                    <w:bottom w:val="single" w:sz="4" w:space="0" w:color="auto"/>
                    <w:right w:val="single" w:sz="4" w:space="0" w:color="auto"/>
                  </w:tcBorders>
                  <w:shd w:val="clear" w:color="auto" w:fill="auto"/>
                  <w:hideMark/>
                </w:tcPr>
                <w:p w14:paraId="4D956DD8" w14:textId="77777777" w:rsidR="00066B86" w:rsidRPr="00066B86" w:rsidRDefault="00066B86" w:rsidP="00066B86">
                  <w:pPr>
                    <w:spacing w:before="60" w:after="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8A3D4AD" w14:textId="77777777" w:rsidR="00066B86" w:rsidRPr="00066B86" w:rsidRDefault="00066B86" w:rsidP="00066B86">
                  <w:pPr>
                    <w:spacing w:before="60" w:after="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9700323"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74CD40F" w14:textId="77777777" w:rsidR="00066B86" w:rsidRPr="00066B86" w:rsidRDefault="00066B86" w:rsidP="00066B86">
                  <w:pPr>
                    <w:spacing w:before="60" w:after="60" w:line="256"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 Tính chính xác và độ tin cậy của số liệu</w:t>
                  </w:r>
                </w:p>
              </w:tc>
            </w:tr>
            <w:tr w:rsidR="00066B86" w:rsidRPr="00066B86" w14:paraId="69372726" w14:textId="77777777">
              <w:tc>
                <w:tcPr>
                  <w:tcW w:w="1908" w:type="dxa"/>
                  <w:tcBorders>
                    <w:top w:val="single" w:sz="4" w:space="0" w:color="auto"/>
                    <w:left w:val="single" w:sz="4" w:space="0" w:color="auto"/>
                    <w:bottom w:val="nil"/>
                    <w:right w:val="single" w:sz="4" w:space="0" w:color="auto"/>
                  </w:tcBorders>
                  <w:shd w:val="clear" w:color="auto" w:fill="E0E0E0"/>
                  <w:hideMark/>
                </w:tcPr>
                <w:p w14:paraId="59353EB0"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3.1. Số liệu nguồn </w:t>
                  </w:r>
                </w:p>
              </w:tc>
              <w:tc>
                <w:tcPr>
                  <w:tcW w:w="7320" w:type="dxa"/>
                  <w:tcBorders>
                    <w:top w:val="single" w:sz="4" w:space="0" w:color="auto"/>
                    <w:left w:val="single" w:sz="4" w:space="0" w:color="auto"/>
                    <w:bottom w:val="nil"/>
                    <w:right w:val="single" w:sz="4" w:space="0" w:color="auto"/>
                  </w:tcBorders>
                  <w:shd w:val="clear" w:color="auto" w:fill="E0E0E0"/>
                  <w:hideMark/>
                </w:tcPr>
                <w:p w14:paraId="6AB2D235"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3.1.1. Chương trình thu thập số liệu nguồn</w:t>
                  </w:r>
                </w:p>
              </w:tc>
            </w:tr>
            <w:tr w:rsidR="00066B86" w:rsidRPr="00066B86" w14:paraId="0A5AE5F0" w14:textId="77777777">
              <w:tc>
                <w:tcPr>
                  <w:tcW w:w="1908" w:type="dxa"/>
                  <w:tcBorders>
                    <w:top w:val="nil"/>
                    <w:left w:val="single" w:sz="4" w:space="0" w:color="auto"/>
                    <w:bottom w:val="single" w:sz="4" w:space="0" w:color="auto"/>
                    <w:right w:val="single" w:sz="4" w:space="0" w:color="auto"/>
                  </w:tcBorders>
                  <w:shd w:val="clear" w:color="auto" w:fill="auto"/>
                  <w:hideMark/>
                </w:tcPr>
                <w:p w14:paraId="03E5CC3A"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1D8845F"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27587CD1" w14:textId="77777777">
              <w:tc>
                <w:tcPr>
                  <w:tcW w:w="1908" w:type="dxa"/>
                  <w:tcBorders>
                    <w:top w:val="single" w:sz="4" w:space="0" w:color="auto"/>
                    <w:left w:val="single" w:sz="4" w:space="0" w:color="auto"/>
                    <w:bottom w:val="nil"/>
                    <w:right w:val="single" w:sz="4" w:space="0" w:color="auto"/>
                  </w:tcBorders>
                  <w:shd w:val="clear" w:color="auto" w:fill="auto"/>
                  <w:hideMark/>
                </w:tcPr>
                <w:p w14:paraId="5C33EF3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single" w:sz="4" w:space="0" w:color="auto"/>
                    <w:left w:val="single" w:sz="4" w:space="0" w:color="auto"/>
                    <w:bottom w:val="nil"/>
                    <w:right w:val="single" w:sz="4" w:space="0" w:color="auto"/>
                  </w:tcBorders>
                  <w:shd w:val="clear" w:color="auto" w:fill="E6E6E6"/>
                  <w:hideMark/>
                </w:tcPr>
                <w:p w14:paraId="4F6D18AD"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3.1.2. Các định nghĩa, phạm vi, phân loại, định giá và thời gian thu thập số liệu nguồn </w:t>
                  </w:r>
                </w:p>
              </w:tc>
            </w:tr>
            <w:tr w:rsidR="00066B86" w:rsidRPr="00066B86" w14:paraId="167D5FF9" w14:textId="77777777">
              <w:tc>
                <w:tcPr>
                  <w:tcW w:w="1908" w:type="dxa"/>
                  <w:tcBorders>
                    <w:top w:val="nil"/>
                    <w:left w:val="single" w:sz="4" w:space="0" w:color="auto"/>
                    <w:bottom w:val="nil"/>
                    <w:right w:val="single" w:sz="4" w:space="0" w:color="auto"/>
                  </w:tcBorders>
                  <w:shd w:val="clear" w:color="auto" w:fill="auto"/>
                  <w:hideMark/>
                </w:tcPr>
                <w:p w14:paraId="08B91AD9"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40479DCC"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6CFA392" w14:textId="77777777">
              <w:tc>
                <w:tcPr>
                  <w:tcW w:w="1908" w:type="dxa"/>
                  <w:tcBorders>
                    <w:top w:val="nil"/>
                    <w:left w:val="single" w:sz="4" w:space="0" w:color="auto"/>
                    <w:bottom w:val="nil"/>
                    <w:right w:val="single" w:sz="4" w:space="0" w:color="auto"/>
                  </w:tcBorders>
                  <w:shd w:val="clear" w:color="auto" w:fill="auto"/>
                  <w:hideMark/>
                </w:tcPr>
                <w:p w14:paraId="62D78429"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0F5F549"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3.1.3. Tính kịp thời  của số liệu nguồn </w:t>
                  </w:r>
                </w:p>
              </w:tc>
            </w:tr>
            <w:tr w:rsidR="00066B86" w:rsidRPr="00066B86" w14:paraId="166344AF" w14:textId="77777777">
              <w:tc>
                <w:tcPr>
                  <w:tcW w:w="1908" w:type="dxa"/>
                  <w:tcBorders>
                    <w:top w:val="nil"/>
                    <w:left w:val="single" w:sz="4" w:space="0" w:color="auto"/>
                    <w:bottom w:val="single" w:sz="4" w:space="0" w:color="auto"/>
                    <w:right w:val="single" w:sz="4" w:space="0" w:color="auto"/>
                  </w:tcBorders>
                  <w:shd w:val="clear" w:color="auto" w:fill="auto"/>
                  <w:hideMark/>
                </w:tcPr>
                <w:p w14:paraId="16C2FEC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51B48BC7"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497C788F" w14:textId="77777777">
              <w:tc>
                <w:tcPr>
                  <w:tcW w:w="1908" w:type="dxa"/>
                  <w:tcBorders>
                    <w:top w:val="single" w:sz="4" w:space="0" w:color="auto"/>
                    <w:left w:val="single" w:sz="4" w:space="0" w:color="auto"/>
                    <w:bottom w:val="nil"/>
                    <w:right w:val="single" w:sz="4" w:space="0" w:color="auto"/>
                  </w:tcBorders>
                  <w:shd w:val="clear" w:color="auto" w:fill="E0E0E0"/>
                  <w:hideMark/>
                </w:tcPr>
                <w:p w14:paraId="794EBCEC"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3.2. Đánh giá nguồn số liệu</w:t>
                  </w:r>
                </w:p>
              </w:tc>
              <w:tc>
                <w:tcPr>
                  <w:tcW w:w="7320" w:type="dxa"/>
                  <w:tcBorders>
                    <w:top w:val="single" w:sz="4" w:space="0" w:color="auto"/>
                    <w:left w:val="single" w:sz="4" w:space="0" w:color="auto"/>
                    <w:bottom w:val="nil"/>
                    <w:right w:val="single" w:sz="4" w:space="0" w:color="auto"/>
                  </w:tcBorders>
                  <w:shd w:val="clear" w:color="auto" w:fill="E0E0E0"/>
                  <w:hideMark/>
                </w:tcPr>
                <w:p w14:paraId="5CB2914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3.2.1. Đánh giá nguồn số liệu </w:t>
                  </w:r>
                </w:p>
              </w:tc>
            </w:tr>
            <w:tr w:rsidR="00066B86" w:rsidRPr="00066B86" w14:paraId="687473A4" w14:textId="77777777">
              <w:tc>
                <w:tcPr>
                  <w:tcW w:w="1908" w:type="dxa"/>
                  <w:tcBorders>
                    <w:top w:val="nil"/>
                    <w:left w:val="single" w:sz="4" w:space="0" w:color="auto"/>
                    <w:bottom w:val="single" w:sz="4" w:space="0" w:color="auto"/>
                    <w:right w:val="single" w:sz="4" w:space="0" w:color="auto"/>
                  </w:tcBorders>
                  <w:shd w:val="clear" w:color="auto" w:fill="auto"/>
                  <w:hideMark/>
                </w:tcPr>
                <w:p w14:paraId="4729D40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AB7CE5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7E0D72B3" w14:textId="77777777">
              <w:tc>
                <w:tcPr>
                  <w:tcW w:w="1908" w:type="dxa"/>
                  <w:tcBorders>
                    <w:top w:val="single" w:sz="4" w:space="0" w:color="auto"/>
                    <w:left w:val="single" w:sz="4" w:space="0" w:color="auto"/>
                    <w:bottom w:val="nil"/>
                    <w:right w:val="single" w:sz="4" w:space="0" w:color="auto"/>
                  </w:tcBorders>
                  <w:shd w:val="clear" w:color="auto" w:fill="E0E0E0"/>
                  <w:hideMark/>
                </w:tcPr>
                <w:p w14:paraId="56853AB6"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3.3. Kỹ thuật thống kê</w:t>
                  </w:r>
                </w:p>
              </w:tc>
              <w:tc>
                <w:tcPr>
                  <w:tcW w:w="7320" w:type="dxa"/>
                  <w:tcBorders>
                    <w:top w:val="single" w:sz="4" w:space="0" w:color="auto"/>
                    <w:left w:val="single" w:sz="4" w:space="0" w:color="auto"/>
                    <w:bottom w:val="nil"/>
                    <w:right w:val="single" w:sz="4" w:space="0" w:color="auto"/>
                  </w:tcBorders>
                  <w:shd w:val="clear" w:color="auto" w:fill="E0E0E0"/>
                  <w:hideMark/>
                </w:tcPr>
                <w:p w14:paraId="502A33AE"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3.3.1. Các kỹ thuật thống kê số liệu nguồn </w:t>
                  </w:r>
                </w:p>
              </w:tc>
            </w:tr>
            <w:tr w:rsidR="00066B86" w:rsidRPr="00066B86" w14:paraId="56740434" w14:textId="77777777">
              <w:tc>
                <w:tcPr>
                  <w:tcW w:w="1908" w:type="dxa"/>
                  <w:tcBorders>
                    <w:top w:val="nil"/>
                    <w:left w:val="single" w:sz="4" w:space="0" w:color="auto"/>
                    <w:bottom w:val="nil"/>
                    <w:right w:val="single" w:sz="4" w:space="0" w:color="auto"/>
                  </w:tcBorders>
                  <w:shd w:val="clear" w:color="auto" w:fill="auto"/>
                  <w:hideMark/>
                </w:tcPr>
                <w:p w14:paraId="64F62AB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2D1D20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68B96ABC" w14:textId="77777777">
              <w:tc>
                <w:tcPr>
                  <w:tcW w:w="1908" w:type="dxa"/>
                  <w:tcBorders>
                    <w:top w:val="nil"/>
                    <w:left w:val="single" w:sz="4" w:space="0" w:color="auto"/>
                    <w:bottom w:val="nil"/>
                    <w:right w:val="single" w:sz="4" w:space="0" w:color="auto"/>
                  </w:tcBorders>
                  <w:shd w:val="clear" w:color="auto" w:fill="auto"/>
                  <w:hideMark/>
                </w:tcPr>
                <w:p w14:paraId="3BD223A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7AF3CBA"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3.3.2. Các quy trình thống kê khác </w:t>
                  </w:r>
                </w:p>
              </w:tc>
            </w:tr>
            <w:tr w:rsidR="00066B86" w:rsidRPr="00066B86" w14:paraId="1D725678" w14:textId="77777777">
              <w:tc>
                <w:tcPr>
                  <w:tcW w:w="1908" w:type="dxa"/>
                  <w:tcBorders>
                    <w:top w:val="nil"/>
                    <w:left w:val="single" w:sz="4" w:space="0" w:color="auto"/>
                    <w:bottom w:val="single" w:sz="4" w:space="0" w:color="auto"/>
                    <w:right w:val="single" w:sz="4" w:space="0" w:color="auto"/>
                  </w:tcBorders>
                  <w:shd w:val="clear" w:color="auto" w:fill="auto"/>
                  <w:hideMark/>
                </w:tcPr>
                <w:p w14:paraId="2C408CD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368903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75082883" w14:textId="77777777">
              <w:tc>
                <w:tcPr>
                  <w:tcW w:w="1908" w:type="dxa"/>
                  <w:tcBorders>
                    <w:top w:val="single" w:sz="4" w:space="0" w:color="auto"/>
                    <w:left w:val="single" w:sz="4" w:space="0" w:color="auto"/>
                    <w:bottom w:val="nil"/>
                    <w:right w:val="single" w:sz="4" w:space="0" w:color="auto"/>
                  </w:tcBorders>
                  <w:shd w:val="clear" w:color="auto" w:fill="E0E0E0"/>
                  <w:hideMark/>
                </w:tcPr>
                <w:p w14:paraId="466BF90F"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3.4. Tính hợp lệ của số liệu</w:t>
                  </w:r>
                </w:p>
              </w:tc>
              <w:tc>
                <w:tcPr>
                  <w:tcW w:w="7320" w:type="dxa"/>
                  <w:tcBorders>
                    <w:top w:val="single" w:sz="4" w:space="0" w:color="auto"/>
                    <w:left w:val="single" w:sz="4" w:space="0" w:color="auto"/>
                    <w:bottom w:val="nil"/>
                    <w:right w:val="single" w:sz="4" w:space="0" w:color="auto"/>
                  </w:tcBorders>
                  <w:shd w:val="clear" w:color="auto" w:fill="E0E0E0"/>
                  <w:hideMark/>
                </w:tcPr>
                <w:p w14:paraId="373E888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3.4.1. Tính hợp lệ của các số liệu trung gian </w:t>
                  </w:r>
                </w:p>
              </w:tc>
            </w:tr>
            <w:tr w:rsidR="00066B86" w:rsidRPr="00066B86" w14:paraId="458577B3" w14:textId="77777777">
              <w:tc>
                <w:tcPr>
                  <w:tcW w:w="1908" w:type="dxa"/>
                  <w:tcBorders>
                    <w:top w:val="nil"/>
                    <w:left w:val="single" w:sz="4" w:space="0" w:color="auto"/>
                    <w:bottom w:val="nil"/>
                    <w:right w:val="single" w:sz="4" w:space="0" w:color="auto"/>
                  </w:tcBorders>
                  <w:shd w:val="clear" w:color="auto" w:fill="auto"/>
                  <w:hideMark/>
                </w:tcPr>
                <w:p w14:paraId="55070D65"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A99B37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B43AC66" w14:textId="77777777">
              <w:tc>
                <w:tcPr>
                  <w:tcW w:w="1908" w:type="dxa"/>
                  <w:tcBorders>
                    <w:top w:val="nil"/>
                    <w:left w:val="single" w:sz="4" w:space="0" w:color="auto"/>
                    <w:bottom w:val="nil"/>
                    <w:right w:val="single" w:sz="4" w:space="0" w:color="auto"/>
                  </w:tcBorders>
                  <w:shd w:val="clear" w:color="auto" w:fill="auto"/>
                  <w:hideMark/>
                </w:tcPr>
                <w:p w14:paraId="2C4DE7B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lastRenderedPageBreak/>
                    <w:t> </w:t>
                  </w:r>
                </w:p>
              </w:tc>
              <w:tc>
                <w:tcPr>
                  <w:tcW w:w="7320" w:type="dxa"/>
                  <w:tcBorders>
                    <w:top w:val="nil"/>
                    <w:left w:val="single" w:sz="4" w:space="0" w:color="auto"/>
                    <w:bottom w:val="nil"/>
                    <w:right w:val="single" w:sz="4" w:space="0" w:color="auto"/>
                  </w:tcBorders>
                  <w:shd w:val="clear" w:color="auto" w:fill="E6E6E6"/>
                  <w:hideMark/>
                </w:tcPr>
                <w:p w14:paraId="43BF419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3.4.2. Đánh giá số liệu trung gian </w:t>
                  </w:r>
                </w:p>
              </w:tc>
            </w:tr>
            <w:tr w:rsidR="00066B86" w:rsidRPr="00066B86" w14:paraId="7DDA1FB6" w14:textId="77777777">
              <w:tc>
                <w:tcPr>
                  <w:tcW w:w="1908" w:type="dxa"/>
                  <w:tcBorders>
                    <w:top w:val="nil"/>
                    <w:left w:val="single" w:sz="4" w:space="0" w:color="auto"/>
                    <w:bottom w:val="nil"/>
                    <w:right w:val="single" w:sz="4" w:space="0" w:color="auto"/>
                  </w:tcBorders>
                  <w:shd w:val="clear" w:color="auto" w:fill="auto"/>
                  <w:hideMark/>
                </w:tcPr>
                <w:p w14:paraId="0E39928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1B73E3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423FB51" w14:textId="77777777">
              <w:tc>
                <w:tcPr>
                  <w:tcW w:w="1908" w:type="dxa"/>
                  <w:tcBorders>
                    <w:top w:val="nil"/>
                    <w:left w:val="single" w:sz="4" w:space="0" w:color="auto"/>
                    <w:bottom w:val="single" w:sz="4" w:space="0" w:color="auto"/>
                    <w:right w:val="single" w:sz="4" w:space="0" w:color="auto"/>
                  </w:tcBorders>
                  <w:shd w:val="clear" w:color="auto" w:fill="auto"/>
                  <w:hideMark/>
                </w:tcPr>
                <w:p w14:paraId="33FF8C9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E6E6E6"/>
                  <w:hideMark/>
                </w:tcPr>
                <w:p w14:paraId="6DC25AD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3.4.3. Đánh giá những chênh lệch trong số liệu và những vấn đề khác trong các đầu ra thống kê </w:t>
                  </w:r>
                </w:p>
              </w:tc>
            </w:tr>
            <w:tr w:rsidR="00066B86" w:rsidRPr="00066B86" w14:paraId="264378F4" w14:textId="7777777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36D2D2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single" w:sz="4" w:space="0" w:color="auto"/>
                    <w:left w:val="single" w:sz="4" w:space="0" w:color="auto"/>
                    <w:bottom w:val="single" w:sz="4" w:space="0" w:color="auto"/>
                    <w:right w:val="single" w:sz="4" w:space="0" w:color="auto"/>
                  </w:tcBorders>
                  <w:shd w:val="clear" w:color="auto" w:fill="auto"/>
                  <w:hideMark/>
                </w:tcPr>
                <w:p w14:paraId="0E6A7CD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74F302D5" w14:textId="77777777">
              <w:tc>
                <w:tcPr>
                  <w:tcW w:w="1908" w:type="dxa"/>
                  <w:tcBorders>
                    <w:top w:val="single" w:sz="4" w:space="0" w:color="auto"/>
                    <w:left w:val="single" w:sz="4" w:space="0" w:color="auto"/>
                    <w:bottom w:val="nil"/>
                    <w:right w:val="single" w:sz="4" w:space="0" w:color="auto"/>
                  </w:tcBorders>
                  <w:shd w:val="clear" w:color="auto" w:fill="E0E0E0"/>
                  <w:hideMark/>
                </w:tcPr>
                <w:p w14:paraId="0583FB5E"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3.5. Nghiên cứu sửa đổi</w:t>
                  </w:r>
                </w:p>
              </w:tc>
              <w:tc>
                <w:tcPr>
                  <w:tcW w:w="7320" w:type="dxa"/>
                  <w:tcBorders>
                    <w:top w:val="single" w:sz="4" w:space="0" w:color="auto"/>
                    <w:left w:val="single" w:sz="4" w:space="0" w:color="auto"/>
                    <w:bottom w:val="nil"/>
                    <w:right w:val="single" w:sz="4" w:space="0" w:color="auto"/>
                  </w:tcBorders>
                  <w:shd w:val="clear" w:color="auto" w:fill="E0E0E0"/>
                  <w:hideMark/>
                </w:tcPr>
                <w:p w14:paraId="334EE6A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3.5.1. Nghiên cứu và phân tích những sửa đổi </w:t>
                  </w:r>
                </w:p>
              </w:tc>
            </w:tr>
            <w:tr w:rsidR="00066B86" w:rsidRPr="00066B86" w14:paraId="770EA0A2" w14:textId="77777777">
              <w:tc>
                <w:tcPr>
                  <w:tcW w:w="1908" w:type="dxa"/>
                  <w:tcBorders>
                    <w:top w:val="nil"/>
                    <w:left w:val="single" w:sz="4" w:space="0" w:color="auto"/>
                    <w:bottom w:val="single" w:sz="4" w:space="0" w:color="auto"/>
                    <w:right w:val="single" w:sz="4" w:space="0" w:color="auto"/>
                  </w:tcBorders>
                  <w:shd w:val="clear" w:color="auto" w:fill="auto"/>
                  <w:hideMark/>
                </w:tcPr>
                <w:p w14:paraId="29C09CB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5D49E622"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23837B15"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735517A"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 Khả năng bảo trì</w:t>
                  </w:r>
                </w:p>
              </w:tc>
            </w:tr>
            <w:tr w:rsidR="00066B86" w:rsidRPr="00066B86" w14:paraId="467E190F" w14:textId="77777777">
              <w:tc>
                <w:tcPr>
                  <w:tcW w:w="1908" w:type="dxa"/>
                  <w:tcBorders>
                    <w:top w:val="single" w:sz="4" w:space="0" w:color="auto"/>
                    <w:left w:val="single" w:sz="4" w:space="0" w:color="auto"/>
                    <w:bottom w:val="nil"/>
                    <w:right w:val="single" w:sz="4" w:space="0" w:color="auto"/>
                  </w:tcBorders>
                  <w:shd w:val="clear" w:color="auto" w:fill="E0E0E0"/>
                  <w:hideMark/>
                </w:tcPr>
                <w:p w14:paraId="06158C3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4.1. Tính định kỳ và kịp thời</w:t>
                  </w:r>
                </w:p>
              </w:tc>
              <w:tc>
                <w:tcPr>
                  <w:tcW w:w="7320" w:type="dxa"/>
                  <w:tcBorders>
                    <w:top w:val="single" w:sz="4" w:space="0" w:color="auto"/>
                    <w:left w:val="single" w:sz="4" w:space="0" w:color="auto"/>
                    <w:bottom w:val="nil"/>
                    <w:right w:val="single" w:sz="4" w:space="0" w:color="auto"/>
                  </w:tcBorders>
                  <w:shd w:val="clear" w:color="auto" w:fill="E0E0E0"/>
                  <w:hideMark/>
                </w:tcPr>
                <w:p w14:paraId="03B15E5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4.1.1. Tính định kỳ </w:t>
                  </w:r>
                </w:p>
              </w:tc>
            </w:tr>
            <w:tr w:rsidR="00066B86" w:rsidRPr="00066B86" w14:paraId="3A912A01" w14:textId="77777777">
              <w:tc>
                <w:tcPr>
                  <w:tcW w:w="1908" w:type="dxa"/>
                  <w:tcBorders>
                    <w:top w:val="nil"/>
                    <w:left w:val="single" w:sz="4" w:space="0" w:color="auto"/>
                    <w:bottom w:val="nil"/>
                    <w:right w:val="single" w:sz="4" w:space="0" w:color="auto"/>
                  </w:tcBorders>
                  <w:shd w:val="clear" w:color="auto" w:fill="auto"/>
                  <w:hideMark/>
                </w:tcPr>
                <w:p w14:paraId="6E94374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47198F09"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Hàng ngày</w:t>
                  </w:r>
                </w:p>
              </w:tc>
            </w:tr>
            <w:tr w:rsidR="00066B86" w:rsidRPr="00066B86" w14:paraId="455D24C4" w14:textId="77777777">
              <w:tc>
                <w:tcPr>
                  <w:tcW w:w="1908" w:type="dxa"/>
                  <w:tcBorders>
                    <w:top w:val="nil"/>
                    <w:left w:val="single" w:sz="4" w:space="0" w:color="auto"/>
                    <w:bottom w:val="nil"/>
                    <w:right w:val="single" w:sz="4" w:space="0" w:color="auto"/>
                  </w:tcBorders>
                  <w:shd w:val="clear" w:color="auto" w:fill="auto"/>
                  <w:hideMark/>
                </w:tcPr>
                <w:p w14:paraId="6E054B1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5C1FA72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4.1.2. Tính kịp thời </w:t>
                  </w:r>
                </w:p>
              </w:tc>
            </w:tr>
            <w:tr w:rsidR="00066B86" w:rsidRPr="00066B86" w14:paraId="7305D936" w14:textId="77777777">
              <w:tc>
                <w:tcPr>
                  <w:tcW w:w="1908" w:type="dxa"/>
                  <w:tcBorders>
                    <w:top w:val="nil"/>
                    <w:left w:val="single" w:sz="4" w:space="0" w:color="auto"/>
                    <w:bottom w:val="single" w:sz="4" w:space="0" w:color="auto"/>
                    <w:right w:val="single" w:sz="4" w:space="0" w:color="auto"/>
                  </w:tcBorders>
                  <w:shd w:val="clear" w:color="auto" w:fill="auto"/>
                  <w:hideMark/>
                </w:tcPr>
                <w:p w14:paraId="21584E9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53CCCDF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Tỷ giá trung tâm được công bố vào thời điểm bắt đầu mỗi ngày.</w:t>
                  </w:r>
                </w:p>
              </w:tc>
            </w:tr>
            <w:tr w:rsidR="00066B86" w:rsidRPr="00066B86" w14:paraId="7DBCAB73" w14:textId="77777777">
              <w:tc>
                <w:tcPr>
                  <w:tcW w:w="1908" w:type="dxa"/>
                  <w:tcBorders>
                    <w:top w:val="single" w:sz="4" w:space="0" w:color="auto"/>
                    <w:left w:val="single" w:sz="4" w:space="0" w:color="auto"/>
                    <w:bottom w:val="nil"/>
                    <w:right w:val="single" w:sz="4" w:space="0" w:color="auto"/>
                  </w:tcBorders>
                  <w:shd w:val="clear" w:color="auto" w:fill="E0E0E0"/>
                  <w:hideMark/>
                </w:tcPr>
                <w:p w14:paraId="426AE91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4.2. Tính thống nhất</w:t>
                  </w:r>
                </w:p>
              </w:tc>
              <w:tc>
                <w:tcPr>
                  <w:tcW w:w="7320" w:type="dxa"/>
                  <w:tcBorders>
                    <w:top w:val="single" w:sz="4" w:space="0" w:color="auto"/>
                    <w:left w:val="single" w:sz="4" w:space="0" w:color="auto"/>
                    <w:bottom w:val="nil"/>
                    <w:right w:val="single" w:sz="4" w:space="0" w:color="auto"/>
                  </w:tcBorders>
                  <w:shd w:val="clear" w:color="auto" w:fill="E0E0E0"/>
                  <w:hideMark/>
                </w:tcPr>
                <w:p w14:paraId="1A7C4C81"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4.2.1. Tính thống nhất trong từng lĩnh vực </w:t>
                  </w:r>
                </w:p>
                <w:p w14:paraId="2D8FB91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282743AE" w14:textId="77777777">
              <w:tc>
                <w:tcPr>
                  <w:tcW w:w="1908" w:type="dxa"/>
                  <w:tcBorders>
                    <w:top w:val="nil"/>
                    <w:left w:val="single" w:sz="4" w:space="0" w:color="auto"/>
                    <w:bottom w:val="nil"/>
                    <w:right w:val="single" w:sz="4" w:space="0" w:color="auto"/>
                  </w:tcBorders>
                  <w:shd w:val="clear" w:color="auto" w:fill="auto"/>
                  <w:hideMark/>
                </w:tcPr>
                <w:p w14:paraId="4A0A63E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BA7319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A274BFB" w14:textId="77777777">
              <w:tc>
                <w:tcPr>
                  <w:tcW w:w="1908" w:type="dxa"/>
                  <w:tcBorders>
                    <w:top w:val="nil"/>
                    <w:left w:val="single" w:sz="4" w:space="0" w:color="auto"/>
                    <w:bottom w:val="nil"/>
                    <w:right w:val="single" w:sz="4" w:space="0" w:color="auto"/>
                  </w:tcBorders>
                  <w:shd w:val="clear" w:color="auto" w:fill="auto"/>
                  <w:hideMark/>
                </w:tcPr>
                <w:p w14:paraId="055C366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3DA04FE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4.2.2. Tính thống nhất tạm thời </w:t>
                  </w:r>
                </w:p>
              </w:tc>
            </w:tr>
            <w:tr w:rsidR="00066B86" w:rsidRPr="00066B86" w14:paraId="2AE2F012" w14:textId="77777777">
              <w:tc>
                <w:tcPr>
                  <w:tcW w:w="1908" w:type="dxa"/>
                  <w:tcBorders>
                    <w:top w:val="nil"/>
                    <w:left w:val="single" w:sz="4" w:space="0" w:color="auto"/>
                    <w:bottom w:val="nil"/>
                    <w:right w:val="single" w:sz="4" w:space="0" w:color="auto"/>
                  </w:tcBorders>
                  <w:shd w:val="clear" w:color="auto" w:fill="auto"/>
                  <w:hideMark/>
                </w:tcPr>
                <w:p w14:paraId="609AB2F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29CFFB2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Tỷ giá trung tâmhàng ngày được công bố theo dãy thời gian.</w:t>
                  </w:r>
                </w:p>
              </w:tc>
            </w:tr>
            <w:tr w:rsidR="00066B86" w:rsidRPr="00066B86" w14:paraId="0FF62966" w14:textId="77777777">
              <w:tc>
                <w:tcPr>
                  <w:tcW w:w="1908" w:type="dxa"/>
                  <w:tcBorders>
                    <w:top w:val="nil"/>
                    <w:left w:val="single" w:sz="4" w:space="0" w:color="auto"/>
                    <w:bottom w:val="nil"/>
                    <w:right w:val="single" w:sz="4" w:space="0" w:color="auto"/>
                  </w:tcBorders>
                  <w:shd w:val="clear" w:color="auto" w:fill="auto"/>
                  <w:hideMark/>
                </w:tcPr>
                <w:p w14:paraId="5F20A16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1DCD579"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4.2.3. Tính thống nhất liên ngành và liên thông lĩnh vực </w:t>
                  </w:r>
                </w:p>
              </w:tc>
            </w:tr>
            <w:tr w:rsidR="00066B86" w:rsidRPr="00066B86" w14:paraId="5793F8EF" w14:textId="77777777">
              <w:tc>
                <w:tcPr>
                  <w:tcW w:w="1908" w:type="dxa"/>
                  <w:tcBorders>
                    <w:top w:val="nil"/>
                    <w:left w:val="single" w:sz="4" w:space="0" w:color="auto"/>
                    <w:bottom w:val="single" w:sz="4" w:space="0" w:color="auto"/>
                    <w:right w:val="single" w:sz="4" w:space="0" w:color="auto"/>
                  </w:tcBorders>
                  <w:shd w:val="clear" w:color="auto" w:fill="auto"/>
                  <w:hideMark/>
                </w:tcPr>
                <w:p w14:paraId="719EE880"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84A5B0D"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26A3ECA" w14:textId="77777777">
              <w:tc>
                <w:tcPr>
                  <w:tcW w:w="1908" w:type="dxa"/>
                  <w:tcBorders>
                    <w:top w:val="single" w:sz="4" w:space="0" w:color="auto"/>
                    <w:left w:val="single" w:sz="4" w:space="0" w:color="auto"/>
                    <w:bottom w:val="nil"/>
                    <w:right w:val="single" w:sz="4" w:space="0" w:color="auto"/>
                  </w:tcBorders>
                  <w:shd w:val="clear" w:color="auto" w:fill="E0E0E0"/>
                  <w:hideMark/>
                </w:tcPr>
                <w:p w14:paraId="62C1C25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4.3. Thực hiện sửa đổi</w:t>
                  </w:r>
                </w:p>
              </w:tc>
              <w:tc>
                <w:tcPr>
                  <w:tcW w:w="7320" w:type="dxa"/>
                  <w:tcBorders>
                    <w:top w:val="single" w:sz="4" w:space="0" w:color="auto"/>
                    <w:left w:val="single" w:sz="4" w:space="0" w:color="auto"/>
                    <w:bottom w:val="nil"/>
                    <w:right w:val="single" w:sz="4" w:space="0" w:color="auto"/>
                  </w:tcBorders>
                  <w:shd w:val="clear" w:color="auto" w:fill="E0E0E0"/>
                  <w:hideMark/>
                </w:tcPr>
                <w:p w14:paraId="3E4A45F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4.3.1. Kế hoạch sửa đổi </w:t>
                  </w:r>
                </w:p>
              </w:tc>
            </w:tr>
            <w:tr w:rsidR="00066B86" w:rsidRPr="00066B86" w14:paraId="6CE835B1" w14:textId="77777777">
              <w:tc>
                <w:tcPr>
                  <w:tcW w:w="1908" w:type="dxa"/>
                  <w:tcBorders>
                    <w:top w:val="nil"/>
                    <w:left w:val="single" w:sz="4" w:space="0" w:color="auto"/>
                    <w:bottom w:val="nil"/>
                    <w:right w:val="single" w:sz="4" w:space="0" w:color="auto"/>
                  </w:tcBorders>
                  <w:shd w:val="clear" w:color="auto" w:fill="auto"/>
                  <w:hideMark/>
                </w:tcPr>
                <w:p w14:paraId="00F7981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359344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6DA4F8C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Không có thông báo sớm về các thay đổi trong phương pháp luận. </w:t>
                  </w:r>
                </w:p>
              </w:tc>
            </w:tr>
            <w:tr w:rsidR="00066B86" w:rsidRPr="00066B86" w14:paraId="6ED9C274" w14:textId="77777777">
              <w:tc>
                <w:tcPr>
                  <w:tcW w:w="1908" w:type="dxa"/>
                  <w:tcBorders>
                    <w:top w:val="nil"/>
                    <w:left w:val="single" w:sz="4" w:space="0" w:color="auto"/>
                    <w:bottom w:val="nil"/>
                    <w:right w:val="single" w:sz="4" w:space="0" w:color="auto"/>
                  </w:tcBorders>
                  <w:shd w:val="clear" w:color="auto" w:fill="auto"/>
                  <w:hideMark/>
                </w:tcPr>
                <w:p w14:paraId="2360B40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4FE7133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4.3.2 Số liệu sơ bộ và/hoặc số liệu sửa đổi phải được xác định rõ ràng </w:t>
                  </w:r>
                </w:p>
              </w:tc>
            </w:tr>
            <w:tr w:rsidR="00066B86" w:rsidRPr="00066B86" w14:paraId="69FDD87B" w14:textId="77777777">
              <w:tc>
                <w:tcPr>
                  <w:tcW w:w="1908" w:type="dxa"/>
                  <w:tcBorders>
                    <w:top w:val="nil"/>
                    <w:left w:val="single" w:sz="4" w:space="0" w:color="auto"/>
                    <w:bottom w:val="nil"/>
                    <w:right w:val="single" w:sz="4" w:space="0" w:color="auto"/>
                  </w:tcBorders>
                  <w:shd w:val="clear" w:color="auto" w:fill="auto"/>
                  <w:hideMark/>
                </w:tcPr>
                <w:p w14:paraId="3305DE4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32DAA5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09ED270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066B86" w:rsidRPr="00066B86" w14:paraId="7D4DEF01" w14:textId="77777777">
              <w:tc>
                <w:tcPr>
                  <w:tcW w:w="1908" w:type="dxa"/>
                  <w:tcBorders>
                    <w:top w:val="nil"/>
                    <w:left w:val="single" w:sz="4" w:space="0" w:color="auto"/>
                    <w:bottom w:val="nil"/>
                    <w:right w:val="single" w:sz="4" w:space="0" w:color="auto"/>
                  </w:tcBorders>
                  <w:shd w:val="clear" w:color="auto" w:fill="auto"/>
                  <w:hideMark/>
                </w:tcPr>
                <w:p w14:paraId="4A66E155"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67DF51B1"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4.3.3. Phổ biến những nghiên cứu và phân tích về sửa đổi </w:t>
                  </w:r>
                  <w:r w:rsidRPr="00066B86">
                    <w:rPr>
                      <w:rFonts w:ascii="Arial" w:eastAsia="Times New Roman" w:hAnsi="Arial" w:cs="Arial"/>
                      <w:b/>
                      <w:sz w:val="20"/>
                      <w:szCs w:val="20"/>
                      <w:lang w:eastAsia="en-SG"/>
                    </w:rPr>
                    <w:tab/>
                  </w:r>
                </w:p>
              </w:tc>
            </w:tr>
            <w:tr w:rsidR="00066B86" w:rsidRPr="00066B86" w14:paraId="2865B8B2" w14:textId="77777777">
              <w:tc>
                <w:tcPr>
                  <w:tcW w:w="1908" w:type="dxa"/>
                  <w:tcBorders>
                    <w:top w:val="nil"/>
                    <w:left w:val="single" w:sz="4" w:space="0" w:color="auto"/>
                    <w:bottom w:val="single" w:sz="4" w:space="0" w:color="auto"/>
                    <w:right w:val="single" w:sz="4" w:space="0" w:color="auto"/>
                  </w:tcBorders>
                  <w:shd w:val="clear" w:color="auto" w:fill="auto"/>
                  <w:hideMark/>
                </w:tcPr>
                <w:p w14:paraId="31D6F54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1E8D28D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6EA81172"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6B5BA7"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 Khả năng tiếp cận số liệu</w:t>
                  </w:r>
                </w:p>
              </w:tc>
            </w:tr>
            <w:tr w:rsidR="00066B86" w:rsidRPr="00066B86" w14:paraId="08C544DE" w14:textId="77777777">
              <w:tc>
                <w:tcPr>
                  <w:tcW w:w="1908" w:type="dxa"/>
                  <w:tcBorders>
                    <w:top w:val="single" w:sz="4" w:space="0" w:color="auto"/>
                    <w:left w:val="single" w:sz="4" w:space="0" w:color="auto"/>
                    <w:bottom w:val="nil"/>
                    <w:right w:val="single" w:sz="4" w:space="0" w:color="auto"/>
                  </w:tcBorders>
                  <w:shd w:val="clear" w:color="auto" w:fill="E0E0E0"/>
                  <w:hideMark/>
                </w:tcPr>
                <w:p w14:paraId="40B24550"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5.1. Tiếp cận với số liệu</w:t>
                  </w:r>
                </w:p>
              </w:tc>
              <w:tc>
                <w:tcPr>
                  <w:tcW w:w="7320" w:type="dxa"/>
                  <w:tcBorders>
                    <w:top w:val="single" w:sz="4" w:space="0" w:color="auto"/>
                    <w:left w:val="single" w:sz="4" w:space="0" w:color="auto"/>
                    <w:bottom w:val="nil"/>
                    <w:right w:val="single" w:sz="4" w:space="0" w:color="auto"/>
                  </w:tcBorders>
                  <w:shd w:val="clear" w:color="auto" w:fill="E0E0E0"/>
                  <w:hideMark/>
                </w:tcPr>
                <w:p w14:paraId="1219F47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5.1.1. Trình bày số liệu thống kê </w:t>
                  </w:r>
                </w:p>
              </w:tc>
            </w:tr>
            <w:tr w:rsidR="00066B86" w:rsidRPr="00066B86" w14:paraId="45B5E947" w14:textId="77777777">
              <w:tc>
                <w:tcPr>
                  <w:tcW w:w="1908" w:type="dxa"/>
                  <w:tcBorders>
                    <w:top w:val="nil"/>
                    <w:left w:val="single" w:sz="4" w:space="0" w:color="auto"/>
                    <w:bottom w:val="nil"/>
                    <w:right w:val="single" w:sz="4" w:space="0" w:color="auto"/>
                  </w:tcBorders>
                  <w:shd w:val="clear" w:color="auto" w:fill="auto"/>
                  <w:hideMark/>
                </w:tcPr>
                <w:p w14:paraId="12EFA9E1"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F54DD2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969F784" w14:textId="77777777">
              <w:tc>
                <w:tcPr>
                  <w:tcW w:w="1908" w:type="dxa"/>
                  <w:tcBorders>
                    <w:top w:val="nil"/>
                    <w:left w:val="single" w:sz="4" w:space="0" w:color="auto"/>
                    <w:bottom w:val="nil"/>
                    <w:right w:val="single" w:sz="4" w:space="0" w:color="auto"/>
                  </w:tcBorders>
                  <w:shd w:val="clear" w:color="auto" w:fill="auto"/>
                  <w:hideMark/>
                </w:tcPr>
                <w:p w14:paraId="6EC3322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516777C1"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5.1.2. Phương tiện và hình thức phổ biến số liệu </w:t>
                  </w:r>
                </w:p>
              </w:tc>
            </w:tr>
            <w:tr w:rsidR="00066B86" w:rsidRPr="00066B86" w14:paraId="6F8A66D1" w14:textId="77777777">
              <w:tc>
                <w:tcPr>
                  <w:tcW w:w="1908" w:type="dxa"/>
                  <w:tcBorders>
                    <w:top w:val="nil"/>
                    <w:left w:val="single" w:sz="4" w:space="0" w:color="auto"/>
                    <w:bottom w:val="nil"/>
                    <w:right w:val="single" w:sz="4" w:space="0" w:color="auto"/>
                  </w:tcBorders>
                  <w:shd w:val="clear" w:color="auto" w:fill="auto"/>
                  <w:hideMark/>
                </w:tcPr>
                <w:p w14:paraId="4149329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027523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283AC7C" w14:textId="77777777">
              <w:tc>
                <w:tcPr>
                  <w:tcW w:w="1908" w:type="dxa"/>
                  <w:tcBorders>
                    <w:top w:val="nil"/>
                    <w:left w:val="single" w:sz="4" w:space="0" w:color="auto"/>
                    <w:bottom w:val="nil"/>
                    <w:right w:val="single" w:sz="4" w:space="0" w:color="auto"/>
                  </w:tcBorders>
                  <w:shd w:val="clear" w:color="auto" w:fill="auto"/>
                  <w:hideMark/>
                </w:tcPr>
                <w:p w14:paraId="2B97416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64B518C2"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5.1.2.1. Bản giấy - Số liệu mới công bố</w:t>
                  </w:r>
                </w:p>
              </w:tc>
            </w:tr>
            <w:tr w:rsidR="00066B86" w:rsidRPr="00066B86" w14:paraId="2D5FDF49" w14:textId="77777777">
              <w:tc>
                <w:tcPr>
                  <w:tcW w:w="1908" w:type="dxa"/>
                  <w:tcBorders>
                    <w:top w:val="nil"/>
                    <w:left w:val="single" w:sz="4" w:space="0" w:color="auto"/>
                    <w:bottom w:val="nil"/>
                    <w:right w:val="single" w:sz="4" w:space="0" w:color="auto"/>
                  </w:tcBorders>
                  <w:shd w:val="clear" w:color="auto" w:fill="auto"/>
                  <w:hideMark/>
                </w:tcPr>
                <w:p w14:paraId="607CDB0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0EA738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21AB4FE" w14:textId="77777777">
              <w:tc>
                <w:tcPr>
                  <w:tcW w:w="1908" w:type="dxa"/>
                  <w:tcBorders>
                    <w:top w:val="nil"/>
                    <w:left w:val="single" w:sz="4" w:space="0" w:color="auto"/>
                    <w:bottom w:val="nil"/>
                    <w:right w:val="single" w:sz="4" w:space="0" w:color="auto"/>
                  </w:tcBorders>
                  <w:shd w:val="clear" w:color="auto" w:fill="auto"/>
                  <w:hideMark/>
                </w:tcPr>
                <w:p w14:paraId="5205BF0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417F0CC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5.1.2.2. Bản giấy - Bản tin tuần</w:t>
                  </w:r>
                </w:p>
              </w:tc>
            </w:tr>
            <w:tr w:rsidR="00066B86" w:rsidRPr="00066B86" w14:paraId="7BC6B80B" w14:textId="77777777">
              <w:tc>
                <w:tcPr>
                  <w:tcW w:w="1908" w:type="dxa"/>
                  <w:tcBorders>
                    <w:top w:val="nil"/>
                    <w:left w:val="single" w:sz="4" w:space="0" w:color="auto"/>
                    <w:bottom w:val="nil"/>
                    <w:right w:val="single" w:sz="4" w:space="0" w:color="auto"/>
                  </w:tcBorders>
                  <w:shd w:val="clear" w:color="auto" w:fill="auto"/>
                  <w:hideMark/>
                </w:tcPr>
                <w:p w14:paraId="159E47A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lastRenderedPageBreak/>
                    <w:t> </w:t>
                  </w:r>
                </w:p>
              </w:tc>
              <w:tc>
                <w:tcPr>
                  <w:tcW w:w="7320" w:type="dxa"/>
                  <w:tcBorders>
                    <w:top w:val="nil"/>
                    <w:left w:val="single" w:sz="4" w:space="0" w:color="auto"/>
                    <w:bottom w:val="nil"/>
                    <w:right w:val="single" w:sz="4" w:space="0" w:color="auto"/>
                  </w:tcBorders>
                  <w:shd w:val="clear" w:color="auto" w:fill="auto"/>
                  <w:hideMark/>
                </w:tcPr>
                <w:p w14:paraId="74304B5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r>
            <w:tr w:rsidR="00066B86" w:rsidRPr="00066B86" w14:paraId="32EC61A9" w14:textId="77777777">
              <w:tc>
                <w:tcPr>
                  <w:tcW w:w="1908" w:type="dxa"/>
                  <w:tcBorders>
                    <w:top w:val="nil"/>
                    <w:left w:val="single" w:sz="4" w:space="0" w:color="auto"/>
                    <w:bottom w:val="nil"/>
                    <w:right w:val="single" w:sz="4" w:space="0" w:color="auto"/>
                  </w:tcBorders>
                  <w:shd w:val="clear" w:color="auto" w:fill="auto"/>
                  <w:hideMark/>
                </w:tcPr>
                <w:p w14:paraId="118F78C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481A459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5.1.2.3. Bản giấy - Bản tin tháng</w:t>
                  </w:r>
                </w:p>
              </w:tc>
            </w:tr>
            <w:tr w:rsidR="00066B86" w:rsidRPr="00066B86" w14:paraId="63694453" w14:textId="77777777">
              <w:tc>
                <w:tcPr>
                  <w:tcW w:w="1908" w:type="dxa"/>
                  <w:tcBorders>
                    <w:top w:val="nil"/>
                    <w:left w:val="single" w:sz="4" w:space="0" w:color="auto"/>
                    <w:bottom w:val="nil"/>
                    <w:right w:val="single" w:sz="4" w:space="0" w:color="auto"/>
                  </w:tcBorders>
                  <w:shd w:val="clear" w:color="auto" w:fill="auto"/>
                  <w:hideMark/>
                </w:tcPr>
                <w:p w14:paraId="316B65E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03098F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B961D27" w14:textId="77777777">
              <w:tc>
                <w:tcPr>
                  <w:tcW w:w="1908" w:type="dxa"/>
                  <w:tcBorders>
                    <w:top w:val="nil"/>
                    <w:left w:val="single" w:sz="4" w:space="0" w:color="auto"/>
                    <w:bottom w:val="nil"/>
                    <w:right w:val="single" w:sz="4" w:space="0" w:color="auto"/>
                  </w:tcBorders>
                  <w:shd w:val="clear" w:color="auto" w:fill="auto"/>
                  <w:hideMark/>
                </w:tcPr>
                <w:p w14:paraId="586F03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35D370A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5.1.2.4. Bản giấy - Bản tin quý</w:t>
                  </w:r>
                </w:p>
              </w:tc>
            </w:tr>
            <w:tr w:rsidR="00066B86" w:rsidRPr="00066B86" w14:paraId="4AACAABB" w14:textId="77777777">
              <w:tc>
                <w:tcPr>
                  <w:tcW w:w="1908" w:type="dxa"/>
                  <w:tcBorders>
                    <w:top w:val="nil"/>
                    <w:left w:val="single" w:sz="4" w:space="0" w:color="auto"/>
                    <w:bottom w:val="nil"/>
                    <w:right w:val="single" w:sz="4" w:space="0" w:color="auto"/>
                  </w:tcBorders>
                  <w:shd w:val="clear" w:color="auto" w:fill="auto"/>
                  <w:hideMark/>
                </w:tcPr>
                <w:p w14:paraId="18E90A2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F3761B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6D86A6DB" w14:textId="77777777">
              <w:tc>
                <w:tcPr>
                  <w:tcW w:w="1908" w:type="dxa"/>
                  <w:tcBorders>
                    <w:top w:val="nil"/>
                    <w:left w:val="single" w:sz="4" w:space="0" w:color="auto"/>
                    <w:bottom w:val="nil"/>
                    <w:right w:val="single" w:sz="4" w:space="0" w:color="auto"/>
                  </w:tcBorders>
                  <w:shd w:val="clear" w:color="auto" w:fill="auto"/>
                  <w:hideMark/>
                </w:tcPr>
                <w:p w14:paraId="5D1EAE6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7D16C4B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5.1.2.5. Bản giấy - Loại khác</w:t>
                  </w:r>
                </w:p>
              </w:tc>
            </w:tr>
            <w:tr w:rsidR="00066B86" w:rsidRPr="00066B86" w14:paraId="742B0026" w14:textId="77777777">
              <w:tc>
                <w:tcPr>
                  <w:tcW w:w="1908" w:type="dxa"/>
                  <w:tcBorders>
                    <w:top w:val="nil"/>
                    <w:left w:val="single" w:sz="4" w:space="0" w:color="auto"/>
                    <w:bottom w:val="nil"/>
                    <w:right w:val="single" w:sz="4" w:space="0" w:color="auto"/>
                  </w:tcBorders>
                  <w:shd w:val="clear" w:color="auto" w:fill="auto"/>
                  <w:hideMark/>
                </w:tcPr>
                <w:p w14:paraId="61BC06E2"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560F88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Tỷ giá trung tâm hàng ngày được công bố trên các phương tiện thông tin đại chúng. </w:t>
                  </w:r>
                </w:p>
              </w:tc>
            </w:tr>
            <w:tr w:rsidR="00066B86" w:rsidRPr="00066B86" w14:paraId="3B6782D5" w14:textId="77777777">
              <w:tc>
                <w:tcPr>
                  <w:tcW w:w="1908" w:type="dxa"/>
                  <w:tcBorders>
                    <w:top w:val="nil"/>
                    <w:left w:val="single" w:sz="4" w:space="0" w:color="auto"/>
                    <w:bottom w:val="nil"/>
                    <w:right w:val="single" w:sz="4" w:space="0" w:color="auto"/>
                  </w:tcBorders>
                  <w:shd w:val="clear" w:color="auto" w:fill="auto"/>
                  <w:hideMark/>
                </w:tcPr>
                <w:p w14:paraId="30B198F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2846B3A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5.1.2.6. Bản điện tử - Bản tin hoặc số liệu điện tử</w:t>
                  </w:r>
                </w:p>
              </w:tc>
            </w:tr>
            <w:tr w:rsidR="00066B86" w:rsidRPr="00066B86" w14:paraId="0128C57A" w14:textId="77777777">
              <w:tc>
                <w:tcPr>
                  <w:tcW w:w="1908" w:type="dxa"/>
                  <w:tcBorders>
                    <w:top w:val="nil"/>
                    <w:left w:val="single" w:sz="4" w:space="0" w:color="auto"/>
                    <w:bottom w:val="nil"/>
                    <w:right w:val="single" w:sz="4" w:space="0" w:color="auto"/>
                  </w:tcBorders>
                  <w:shd w:val="clear" w:color="auto" w:fill="auto"/>
                  <w:hideMark/>
                </w:tcPr>
                <w:p w14:paraId="0D130BC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2EB8C34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Tỷ giá trung tâmđược đăng trên website của NHNN: </w:t>
                  </w:r>
                  <w:hyperlink r:id="rId7" w:history="1">
                    <w:r w:rsidRPr="00066B86">
                      <w:rPr>
                        <w:rFonts w:ascii="Arial" w:eastAsia="Times New Roman" w:hAnsi="Arial" w:cs="Arial"/>
                        <w:color w:val="0000FF"/>
                        <w:sz w:val="20"/>
                        <w:szCs w:val="20"/>
                        <w:u w:val="single"/>
                        <w:lang w:eastAsia="en-SG"/>
                      </w:rPr>
                      <w:t>www.sbv.gov.vn</w:t>
                    </w:r>
                  </w:hyperlink>
                </w:p>
              </w:tc>
            </w:tr>
            <w:tr w:rsidR="00066B86" w:rsidRPr="00066B86" w14:paraId="1E8B4FA2" w14:textId="77777777">
              <w:tc>
                <w:tcPr>
                  <w:tcW w:w="1908" w:type="dxa"/>
                  <w:tcBorders>
                    <w:top w:val="nil"/>
                    <w:left w:val="single" w:sz="4" w:space="0" w:color="auto"/>
                    <w:bottom w:val="nil"/>
                    <w:right w:val="single" w:sz="4" w:space="0" w:color="auto"/>
                  </w:tcBorders>
                  <w:shd w:val="clear" w:color="auto" w:fill="auto"/>
                  <w:hideMark/>
                </w:tcPr>
                <w:p w14:paraId="142C99C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0E13896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5.1.2.7. Bản điện tử - Loại khác</w:t>
                  </w:r>
                </w:p>
              </w:tc>
            </w:tr>
            <w:tr w:rsidR="00066B86" w:rsidRPr="00066B86" w14:paraId="68056BC3" w14:textId="77777777">
              <w:tc>
                <w:tcPr>
                  <w:tcW w:w="1908" w:type="dxa"/>
                  <w:tcBorders>
                    <w:top w:val="nil"/>
                    <w:left w:val="single" w:sz="4" w:space="0" w:color="auto"/>
                    <w:bottom w:val="nil"/>
                    <w:right w:val="single" w:sz="4" w:space="0" w:color="auto"/>
                  </w:tcBorders>
                  <w:shd w:val="clear" w:color="auto" w:fill="auto"/>
                  <w:hideMark/>
                </w:tcPr>
                <w:p w14:paraId="617ACAC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EC35E4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DD9CB5A" w14:textId="77777777">
              <w:tc>
                <w:tcPr>
                  <w:tcW w:w="1908" w:type="dxa"/>
                  <w:tcBorders>
                    <w:top w:val="nil"/>
                    <w:left w:val="single" w:sz="4" w:space="0" w:color="auto"/>
                    <w:bottom w:val="nil"/>
                    <w:right w:val="single" w:sz="4" w:space="0" w:color="auto"/>
                  </w:tcBorders>
                  <w:shd w:val="clear" w:color="auto" w:fill="auto"/>
                  <w:hideMark/>
                </w:tcPr>
                <w:p w14:paraId="3304161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3ED0730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5.1.3. Lịch công bố số liệu trước </w:t>
                  </w:r>
                </w:p>
              </w:tc>
            </w:tr>
            <w:tr w:rsidR="00066B86" w:rsidRPr="00066B86" w14:paraId="3C5DCD4E" w14:textId="77777777">
              <w:tc>
                <w:tcPr>
                  <w:tcW w:w="1908" w:type="dxa"/>
                  <w:tcBorders>
                    <w:top w:val="nil"/>
                    <w:left w:val="single" w:sz="4" w:space="0" w:color="auto"/>
                    <w:bottom w:val="single" w:sz="4" w:space="0" w:color="auto"/>
                    <w:right w:val="single" w:sz="4" w:space="0" w:color="auto"/>
                  </w:tcBorders>
                  <w:shd w:val="clear" w:color="auto" w:fill="auto"/>
                  <w:hideMark/>
                </w:tcPr>
                <w:p w14:paraId="075B268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EE27D1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61E57F9E" w14:textId="48282B5A" w:rsidR="00066B86" w:rsidRPr="00457592" w:rsidRDefault="00FA7764" w:rsidP="00066B86">
                  <w:pPr>
                    <w:spacing w:before="60" w:after="60" w:line="264" w:lineRule="auto"/>
                    <w:jc w:val="both"/>
                    <w:rPr>
                      <w:rFonts w:ascii="Times New Roman" w:eastAsia="Times New Roman" w:hAnsi="Times New Roman" w:cs="Times New Roman"/>
                      <w:bCs/>
                      <w:iCs/>
                      <w:sz w:val="24"/>
                      <w:szCs w:val="24"/>
                      <w:lang w:eastAsia="en-SG"/>
                    </w:rPr>
                  </w:pPr>
                  <w:r w:rsidRPr="00457592">
                    <w:rPr>
                      <w:rFonts w:ascii="Arial" w:eastAsia="Times New Roman" w:hAnsi="Arial" w:cs="Arial"/>
                      <w:bCs/>
                      <w:iCs/>
                      <w:sz w:val="20"/>
                      <w:szCs w:val="20"/>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p>
              </w:tc>
            </w:tr>
            <w:tr w:rsidR="00066B86" w:rsidRPr="00066B86" w14:paraId="64CAD5C2" w14:textId="77777777">
              <w:tc>
                <w:tcPr>
                  <w:tcW w:w="1908" w:type="dxa"/>
                  <w:tcBorders>
                    <w:top w:val="single" w:sz="4" w:space="0" w:color="auto"/>
                    <w:left w:val="single" w:sz="4" w:space="0" w:color="auto"/>
                    <w:bottom w:val="nil"/>
                    <w:right w:val="single" w:sz="4" w:space="0" w:color="auto"/>
                  </w:tcBorders>
                  <w:shd w:val="clear" w:color="auto" w:fill="auto"/>
                  <w:hideMark/>
                </w:tcPr>
                <w:p w14:paraId="7599FB4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single" w:sz="4" w:space="0" w:color="auto"/>
                    <w:left w:val="single" w:sz="4" w:space="0" w:color="auto"/>
                    <w:bottom w:val="nil"/>
                    <w:right w:val="single" w:sz="4" w:space="0" w:color="auto"/>
                  </w:tcBorders>
                  <w:shd w:val="clear" w:color="auto" w:fill="E0E0E0"/>
                  <w:hideMark/>
                </w:tcPr>
                <w:p w14:paraId="2F4AD49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5.1.4. Công bố đồng thời </w:t>
                  </w:r>
                </w:p>
              </w:tc>
            </w:tr>
            <w:tr w:rsidR="00066B86" w:rsidRPr="00066B86" w14:paraId="57F0EECA" w14:textId="77777777">
              <w:tc>
                <w:tcPr>
                  <w:tcW w:w="1908" w:type="dxa"/>
                  <w:tcBorders>
                    <w:top w:val="nil"/>
                    <w:left w:val="single" w:sz="4" w:space="0" w:color="auto"/>
                    <w:bottom w:val="nil"/>
                    <w:right w:val="single" w:sz="4" w:space="0" w:color="auto"/>
                  </w:tcBorders>
                  <w:shd w:val="clear" w:color="auto" w:fill="auto"/>
                  <w:hideMark/>
                </w:tcPr>
                <w:p w14:paraId="54776E0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4C61596"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3E36D0B1"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NHNN chỉ công bố các số liệu kinh tế vĩ mô và tài chính lựa chọn cho công chúng thông qua Báo cáo Thường niên của mình và công bố số liệu tiền tệ, ngân hàng trên Cổng thông tin điện tửcủa Ngân hàng Nhà nước.</w:t>
                  </w:r>
                </w:p>
              </w:tc>
            </w:tr>
            <w:tr w:rsidR="00066B86" w:rsidRPr="00066B86" w14:paraId="2BCC68A8" w14:textId="77777777">
              <w:tc>
                <w:tcPr>
                  <w:tcW w:w="1908" w:type="dxa"/>
                  <w:tcBorders>
                    <w:top w:val="nil"/>
                    <w:left w:val="single" w:sz="4" w:space="0" w:color="auto"/>
                    <w:bottom w:val="nil"/>
                    <w:right w:val="single" w:sz="4" w:space="0" w:color="auto"/>
                  </w:tcBorders>
                  <w:shd w:val="clear" w:color="auto" w:fill="auto"/>
                  <w:hideMark/>
                </w:tcPr>
                <w:p w14:paraId="5105A91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61343B1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5.1.5. Phổ biến thông tin theo yêu cầu </w:t>
                  </w:r>
                </w:p>
              </w:tc>
            </w:tr>
            <w:tr w:rsidR="00066B86" w:rsidRPr="00066B86" w14:paraId="50B638FB" w14:textId="77777777">
              <w:tc>
                <w:tcPr>
                  <w:tcW w:w="1908" w:type="dxa"/>
                  <w:tcBorders>
                    <w:top w:val="nil"/>
                    <w:left w:val="single" w:sz="4" w:space="0" w:color="auto"/>
                    <w:bottom w:val="single" w:sz="4" w:space="0" w:color="auto"/>
                    <w:right w:val="single" w:sz="4" w:space="0" w:color="auto"/>
                  </w:tcBorders>
                  <w:shd w:val="clear" w:color="auto" w:fill="auto"/>
                  <w:hideMark/>
                </w:tcPr>
                <w:p w14:paraId="5BD7B372"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D0C02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6B6FFBE" w14:textId="77777777">
              <w:trPr>
                <w:trHeight w:val="692"/>
              </w:trPr>
              <w:tc>
                <w:tcPr>
                  <w:tcW w:w="1908" w:type="dxa"/>
                  <w:tcBorders>
                    <w:top w:val="single" w:sz="4" w:space="0" w:color="auto"/>
                    <w:left w:val="single" w:sz="4" w:space="0" w:color="auto"/>
                    <w:bottom w:val="nil"/>
                    <w:right w:val="single" w:sz="4" w:space="0" w:color="auto"/>
                  </w:tcBorders>
                  <w:shd w:val="clear" w:color="auto" w:fill="E0E0E0"/>
                  <w:hideMark/>
                </w:tcPr>
                <w:p w14:paraId="79B4D3D1"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5.2. Siêu dữ liệu</w:t>
                  </w:r>
                </w:p>
              </w:tc>
              <w:tc>
                <w:tcPr>
                  <w:tcW w:w="7320" w:type="dxa"/>
                  <w:tcBorders>
                    <w:top w:val="single" w:sz="4" w:space="0" w:color="auto"/>
                    <w:left w:val="single" w:sz="4" w:space="0" w:color="auto"/>
                    <w:bottom w:val="nil"/>
                    <w:right w:val="single" w:sz="4" w:space="0" w:color="auto"/>
                  </w:tcBorders>
                  <w:shd w:val="clear" w:color="auto" w:fill="E0E0E0"/>
                  <w:hideMark/>
                </w:tcPr>
                <w:p w14:paraId="292EE294"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5.2.1. Phổ biến tài liệu về khái niệm, phạm vi, bảng phân ngành, cơ sở ghi chép, nguồn số liệu và các kỹ thuật thống kê </w:t>
                  </w:r>
                </w:p>
              </w:tc>
            </w:tr>
            <w:tr w:rsidR="00066B86" w:rsidRPr="00066B86" w14:paraId="2E055FFA" w14:textId="77777777">
              <w:trPr>
                <w:trHeight w:val="427"/>
              </w:trPr>
              <w:tc>
                <w:tcPr>
                  <w:tcW w:w="1908" w:type="dxa"/>
                  <w:tcBorders>
                    <w:top w:val="nil"/>
                    <w:left w:val="single" w:sz="4" w:space="0" w:color="auto"/>
                    <w:bottom w:val="single" w:sz="4" w:space="0" w:color="auto"/>
                    <w:right w:val="single" w:sz="4" w:space="0" w:color="auto"/>
                  </w:tcBorders>
                  <w:shd w:val="clear" w:color="auto" w:fill="auto"/>
                  <w:hideMark/>
                </w:tcPr>
                <w:p w14:paraId="357DC370"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34BF67FF"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7E6FA91" w14:textId="77777777">
              <w:tc>
                <w:tcPr>
                  <w:tcW w:w="1908" w:type="dxa"/>
                  <w:tcBorders>
                    <w:top w:val="single" w:sz="4" w:space="0" w:color="auto"/>
                    <w:left w:val="single" w:sz="4" w:space="0" w:color="auto"/>
                    <w:bottom w:val="nil"/>
                    <w:right w:val="single" w:sz="4" w:space="0" w:color="auto"/>
                  </w:tcBorders>
                  <w:shd w:val="clear" w:color="auto" w:fill="E0E0E0"/>
                  <w:hideMark/>
                </w:tcPr>
                <w:p w14:paraId="1F3FD875"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5.3. Hỗ trợ cho người dùng tin</w:t>
                  </w:r>
                </w:p>
              </w:tc>
              <w:tc>
                <w:tcPr>
                  <w:tcW w:w="7320" w:type="dxa"/>
                  <w:tcBorders>
                    <w:top w:val="single" w:sz="4" w:space="0" w:color="auto"/>
                    <w:left w:val="single" w:sz="4" w:space="0" w:color="auto"/>
                    <w:bottom w:val="nil"/>
                    <w:right w:val="single" w:sz="4" w:space="0" w:color="auto"/>
                  </w:tcBorders>
                  <w:shd w:val="clear" w:color="auto" w:fill="E0E0E0"/>
                  <w:hideMark/>
                </w:tcPr>
                <w:p w14:paraId="6F5FC3C9"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5.3.1. Phổ biến thông tin về đầu mối liên lạc </w:t>
                  </w:r>
                </w:p>
              </w:tc>
            </w:tr>
            <w:tr w:rsidR="00066B86" w:rsidRPr="00066B86" w14:paraId="7898285D" w14:textId="77777777">
              <w:tc>
                <w:tcPr>
                  <w:tcW w:w="1908" w:type="dxa"/>
                  <w:tcBorders>
                    <w:top w:val="nil"/>
                    <w:left w:val="single" w:sz="4" w:space="0" w:color="auto"/>
                    <w:bottom w:val="nil"/>
                    <w:right w:val="single" w:sz="4" w:space="0" w:color="auto"/>
                  </w:tcBorders>
                  <w:shd w:val="clear" w:color="auto" w:fill="auto"/>
                  <w:hideMark/>
                </w:tcPr>
                <w:p w14:paraId="032772F5"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1B71D229"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A9A0BFC" w14:textId="77777777">
              <w:tc>
                <w:tcPr>
                  <w:tcW w:w="1908" w:type="dxa"/>
                  <w:tcBorders>
                    <w:top w:val="nil"/>
                    <w:left w:val="single" w:sz="4" w:space="0" w:color="auto"/>
                    <w:bottom w:val="nil"/>
                    <w:right w:val="single" w:sz="4" w:space="0" w:color="auto"/>
                  </w:tcBorders>
                  <w:shd w:val="clear" w:color="auto" w:fill="auto"/>
                  <w:hideMark/>
                </w:tcPr>
                <w:p w14:paraId="005174D8" w14:textId="77777777" w:rsidR="00066B86" w:rsidRPr="00066B86" w:rsidRDefault="00066B86" w:rsidP="00066B86">
                  <w:pPr>
                    <w:widowControl w:val="0"/>
                    <w:tabs>
                      <w:tab w:val="left" w:pos="82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4FFC3C17" w14:textId="77777777" w:rsidR="00066B86" w:rsidRPr="00066B86" w:rsidRDefault="00066B86" w:rsidP="00066B86">
                  <w:pPr>
                    <w:widowControl w:val="0"/>
                    <w:tabs>
                      <w:tab w:val="left" w:pos="84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PMingLiU" w:hAnsi="Arial" w:cs="Arial"/>
                      <w:b/>
                      <w:bCs/>
                      <w:sz w:val="20"/>
                      <w:szCs w:val="20"/>
                      <w:lang w:eastAsia="en-SG"/>
                    </w:rPr>
                    <w:t>5.3.2. Tĩnh sẵn có của Ca-ta-lô về các tài liệu và dịch vụ</w:t>
                  </w:r>
                </w:p>
              </w:tc>
            </w:tr>
            <w:tr w:rsidR="00066B86" w:rsidRPr="00066B86" w14:paraId="22851E89" w14:textId="77777777">
              <w:tc>
                <w:tcPr>
                  <w:tcW w:w="1908" w:type="dxa"/>
                  <w:tcBorders>
                    <w:top w:val="nil"/>
                    <w:left w:val="single" w:sz="4" w:space="0" w:color="auto"/>
                    <w:bottom w:val="single" w:sz="4" w:space="0" w:color="auto"/>
                    <w:right w:val="single" w:sz="4" w:space="0" w:color="auto"/>
                  </w:tcBorders>
                  <w:shd w:val="clear" w:color="auto" w:fill="auto"/>
                  <w:hideMark/>
                </w:tcPr>
                <w:p w14:paraId="22CA8B4E" w14:textId="77777777" w:rsidR="00066B86" w:rsidRPr="00066B86" w:rsidRDefault="00066B86" w:rsidP="00066B86">
                  <w:pPr>
                    <w:widowControl w:val="0"/>
                    <w:tabs>
                      <w:tab w:val="left" w:pos="82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F4EF11F" w14:textId="77777777" w:rsidR="00066B86" w:rsidRPr="00066B86" w:rsidRDefault="00066B86" w:rsidP="00066B86">
                  <w:pPr>
                    <w:widowControl w:val="0"/>
                    <w:tabs>
                      <w:tab w:val="left" w:pos="84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PMingLiU" w:hAnsi="Arial" w:cs="Arial"/>
                      <w:b/>
                      <w:bCs/>
                      <w:sz w:val="20"/>
                      <w:szCs w:val="20"/>
                      <w:lang w:eastAsia="en-SG"/>
                    </w:rPr>
                    <w:t> </w:t>
                  </w:r>
                </w:p>
              </w:tc>
            </w:tr>
            <w:tr w:rsidR="00066B86" w:rsidRPr="00066B86" w14:paraId="2B4A0065"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1334D" w14:textId="77777777" w:rsidR="00066B86" w:rsidRPr="00066B86" w:rsidRDefault="00066B86" w:rsidP="00066B86">
                  <w:pPr>
                    <w:spacing w:before="60" w:after="0" w:line="240"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 Các kế hoạch</w:t>
                  </w:r>
                </w:p>
              </w:tc>
            </w:tr>
            <w:tr w:rsidR="00066B86" w:rsidRPr="00066B86" w14:paraId="6D5B8C0F" w14:textId="77777777">
              <w:tc>
                <w:tcPr>
                  <w:tcW w:w="1908" w:type="dxa"/>
                  <w:tcBorders>
                    <w:top w:val="single" w:sz="4" w:space="0" w:color="auto"/>
                    <w:left w:val="single" w:sz="4" w:space="0" w:color="auto"/>
                    <w:bottom w:val="nil"/>
                    <w:right w:val="single" w:sz="4" w:space="0" w:color="auto"/>
                  </w:tcBorders>
                  <w:shd w:val="clear" w:color="auto" w:fill="E0E0E0"/>
                  <w:hideMark/>
                </w:tcPr>
                <w:p w14:paraId="50FDD9F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9.1. Gần đây</w:t>
                  </w:r>
                </w:p>
              </w:tc>
              <w:tc>
                <w:tcPr>
                  <w:tcW w:w="7320" w:type="dxa"/>
                  <w:tcBorders>
                    <w:top w:val="single" w:sz="4" w:space="0" w:color="auto"/>
                    <w:left w:val="single" w:sz="4" w:space="0" w:color="auto"/>
                    <w:bottom w:val="nil"/>
                    <w:right w:val="single" w:sz="4" w:space="0" w:color="auto"/>
                  </w:tcBorders>
                  <w:shd w:val="clear" w:color="auto" w:fill="E0E0E0"/>
                  <w:hideMark/>
                </w:tcPr>
                <w:p w14:paraId="35A09AB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9.1.1. Các kế hoạch cải tiến - Cải tiến gần đây</w:t>
                  </w:r>
                </w:p>
              </w:tc>
            </w:tr>
            <w:tr w:rsidR="00066B86" w:rsidRPr="00066B86" w14:paraId="4E627415" w14:textId="77777777">
              <w:tc>
                <w:tcPr>
                  <w:tcW w:w="1908" w:type="dxa"/>
                  <w:tcBorders>
                    <w:top w:val="nil"/>
                    <w:left w:val="single" w:sz="4" w:space="0" w:color="auto"/>
                    <w:bottom w:val="single" w:sz="4" w:space="0" w:color="auto"/>
                    <w:right w:val="single" w:sz="4" w:space="0" w:color="auto"/>
                  </w:tcBorders>
                  <w:shd w:val="clear" w:color="auto" w:fill="auto"/>
                  <w:hideMark/>
                </w:tcPr>
                <w:p w14:paraId="6C18FCC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15A65CB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2A3F02FD"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NHNN cung cấp các số liệu cùng với các chú thích về tỷ giá hối đoái, vị thế tại Quỹ, khả năng thanh toán quốc tế, cơ quan tiền tệ, các định chế ngân hàng, điều tra ngân hàng và lãi suất  cho IMF để công bố chú thích quốc gia của Việt Nam trên Thống kê tài chính Quốc tế (IFS).</w:t>
                  </w:r>
                </w:p>
              </w:tc>
            </w:tr>
            <w:tr w:rsidR="00066B86" w:rsidRPr="00066B86" w14:paraId="4C234631" w14:textId="77777777">
              <w:trPr>
                <w:trHeight w:val="341"/>
              </w:trPr>
              <w:tc>
                <w:tcPr>
                  <w:tcW w:w="1908" w:type="dxa"/>
                  <w:tcBorders>
                    <w:top w:val="single" w:sz="4" w:space="0" w:color="auto"/>
                    <w:left w:val="single" w:sz="4" w:space="0" w:color="auto"/>
                    <w:bottom w:val="nil"/>
                    <w:right w:val="single" w:sz="4" w:space="0" w:color="auto"/>
                  </w:tcBorders>
                  <w:shd w:val="clear" w:color="auto" w:fill="E0E0E0"/>
                  <w:hideMark/>
                </w:tcPr>
                <w:p w14:paraId="320C311B"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lastRenderedPageBreak/>
                    <w:t>9.2. Kế hoạch chung</w:t>
                  </w:r>
                </w:p>
              </w:tc>
              <w:tc>
                <w:tcPr>
                  <w:tcW w:w="7320" w:type="dxa"/>
                  <w:tcBorders>
                    <w:top w:val="single" w:sz="4" w:space="0" w:color="auto"/>
                    <w:left w:val="single" w:sz="4" w:space="0" w:color="auto"/>
                    <w:bottom w:val="nil"/>
                    <w:right w:val="single" w:sz="4" w:space="0" w:color="auto"/>
                  </w:tcBorders>
                  <w:shd w:val="clear" w:color="auto" w:fill="E0E0E0"/>
                  <w:hideMark/>
                </w:tcPr>
                <w:p w14:paraId="18C4ACBB"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9.2.1. Kế hoạch cải tiến - ngắn hạn</w:t>
                  </w:r>
                </w:p>
              </w:tc>
            </w:tr>
            <w:tr w:rsidR="00066B86" w:rsidRPr="00066B86" w14:paraId="28E87C13" w14:textId="77777777">
              <w:trPr>
                <w:trHeight w:val="341"/>
              </w:trPr>
              <w:tc>
                <w:tcPr>
                  <w:tcW w:w="1908" w:type="dxa"/>
                  <w:tcBorders>
                    <w:top w:val="nil"/>
                    <w:left w:val="single" w:sz="4" w:space="0" w:color="auto"/>
                    <w:bottom w:val="nil"/>
                    <w:right w:val="single" w:sz="4" w:space="0" w:color="auto"/>
                  </w:tcBorders>
                  <w:shd w:val="clear" w:color="auto" w:fill="auto"/>
                  <w:hideMark/>
                </w:tcPr>
                <w:p w14:paraId="0048B1DA"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7FDBA8D2"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92D1D42" w14:textId="77777777">
              <w:tc>
                <w:tcPr>
                  <w:tcW w:w="1908" w:type="dxa"/>
                  <w:tcBorders>
                    <w:top w:val="nil"/>
                    <w:left w:val="single" w:sz="4" w:space="0" w:color="auto"/>
                    <w:bottom w:val="nil"/>
                    <w:right w:val="single" w:sz="4" w:space="0" w:color="auto"/>
                  </w:tcBorders>
                  <w:shd w:val="clear" w:color="auto" w:fill="auto"/>
                  <w:hideMark/>
                </w:tcPr>
                <w:p w14:paraId="79ECA975"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072DF56D"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9.2.2. Kế hoạch cải tiến - trung hạn</w:t>
                  </w:r>
                </w:p>
              </w:tc>
            </w:tr>
            <w:tr w:rsidR="00066B86" w:rsidRPr="00066B86" w14:paraId="31E679E1" w14:textId="77777777">
              <w:tc>
                <w:tcPr>
                  <w:tcW w:w="1908" w:type="dxa"/>
                  <w:tcBorders>
                    <w:top w:val="nil"/>
                    <w:left w:val="single" w:sz="4" w:space="0" w:color="auto"/>
                    <w:bottom w:val="single" w:sz="4" w:space="0" w:color="auto"/>
                    <w:right w:val="single" w:sz="4" w:space="0" w:color="auto"/>
                  </w:tcBorders>
                  <w:shd w:val="clear" w:color="auto" w:fill="auto"/>
                  <w:hideMark/>
                </w:tcPr>
                <w:p w14:paraId="22C82B78"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43860CC"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E079BCB" w14:textId="77777777">
              <w:tc>
                <w:tcPr>
                  <w:tcW w:w="1908" w:type="dxa"/>
                  <w:tcBorders>
                    <w:top w:val="single" w:sz="4" w:space="0" w:color="auto"/>
                    <w:left w:val="single" w:sz="4" w:space="0" w:color="auto"/>
                    <w:bottom w:val="nil"/>
                    <w:right w:val="single" w:sz="4" w:space="0" w:color="auto"/>
                  </w:tcBorders>
                  <w:shd w:val="clear" w:color="auto" w:fill="E0E0E0"/>
                  <w:hideMark/>
                </w:tcPr>
                <w:p w14:paraId="71DE8BAB"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9.3. Tài chính</w:t>
                  </w:r>
                </w:p>
              </w:tc>
              <w:tc>
                <w:tcPr>
                  <w:tcW w:w="7320" w:type="dxa"/>
                  <w:tcBorders>
                    <w:top w:val="single" w:sz="4" w:space="0" w:color="auto"/>
                    <w:left w:val="single" w:sz="4" w:space="0" w:color="auto"/>
                    <w:bottom w:val="nil"/>
                    <w:right w:val="single" w:sz="4" w:space="0" w:color="auto"/>
                  </w:tcBorders>
                  <w:shd w:val="clear" w:color="auto" w:fill="E0E0E0"/>
                  <w:hideMark/>
                </w:tcPr>
                <w:p w14:paraId="01A124A6"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9.3.1. Kế hoạch cải tiến - Trợ giúp kỹ thuật/tài chính - ngắn hạn</w:t>
                  </w:r>
                </w:p>
              </w:tc>
            </w:tr>
            <w:tr w:rsidR="00066B86" w:rsidRPr="00066B86" w14:paraId="0346DE37" w14:textId="77777777">
              <w:tc>
                <w:tcPr>
                  <w:tcW w:w="1908" w:type="dxa"/>
                  <w:tcBorders>
                    <w:top w:val="nil"/>
                    <w:left w:val="single" w:sz="4" w:space="0" w:color="auto"/>
                    <w:bottom w:val="nil"/>
                    <w:right w:val="single" w:sz="4" w:space="0" w:color="auto"/>
                  </w:tcBorders>
                  <w:shd w:val="clear" w:color="auto" w:fill="auto"/>
                  <w:hideMark/>
                </w:tcPr>
                <w:p w14:paraId="24F08A06"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AEBCDE7"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3322D743" w14:textId="77777777">
              <w:tc>
                <w:tcPr>
                  <w:tcW w:w="1908" w:type="dxa"/>
                  <w:tcBorders>
                    <w:top w:val="nil"/>
                    <w:left w:val="single" w:sz="4" w:space="0" w:color="auto"/>
                    <w:bottom w:val="nil"/>
                    <w:right w:val="single" w:sz="4" w:space="0" w:color="auto"/>
                  </w:tcBorders>
                  <w:shd w:val="clear" w:color="auto" w:fill="auto"/>
                  <w:hideMark/>
                </w:tcPr>
                <w:p w14:paraId="50C7A41E"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15EFFF53"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9.3.2. Kế hoạch cải tiến - Trợ giúp kỹ thuật/tài chính – Trung hạn</w:t>
                  </w:r>
                </w:p>
              </w:tc>
            </w:tr>
            <w:tr w:rsidR="00066B86" w:rsidRPr="00066B86" w14:paraId="1FE971C3" w14:textId="77777777">
              <w:tc>
                <w:tcPr>
                  <w:tcW w:w="1908" w:type="dxa"/>
                  <w:tcBorders>
                    <w:top w:val="nil"/>
                    <w:left w:val="single" w:sz="4" w:space="0" w:color="auto"/>
                    <w:bottom w:val="single" w:sz="4" w:space="0" w:color="auto"/>
                    <w:right w:val="single" w:sz="4" w:space="0" w:color="auto"/>
                  </w:tcBorders>
                  <w:shd w:val="clear" w:color="auto" w:fill="auto"/>
                  <w:hideMark/>
                </w:tcPr>
                <w:p w14:paraId="5AA90373"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0F63203"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bl>
          <w:p w14:paraId="59BE030E"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1"/>
              <w:gridCol w:w="5463"/>
            </w:tblGrid>
            <w:tr w:rsidR="00066B86" w:rsidRPr="00066B86" w14:paraId="253EE042" w14:textId="77777777" w:rsidTr="00457592">
              <w:tc>
                <w:tcPr>
                  <w:tcW w:w="9254" w:type="dxa"/>
                  <w:gridSpan w:val="2"/>
                  <w:tcBorders>
                    <w:top w:val="single" w:sz="4" w:space="0" w:color="auto"/>
                    <w:left w:val="single" w:sz="4" w:space="0" w:color="auto"/>
                    <w:bottom w:val="nil"/>
                    <w:right w:val="single" w:sz="4" w:space="0" w:color="auto"/>
                  </w:tcBorders>
                  <w:shd w:val="clear" w:color="auto" w:fill="00FFFF"/>
                  <w:hideMark/>
                </w:tcPr>
                <w:p w14:paraId="69881948"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Đối tác liên hệ</w:t>
                  </w:r>
                </w:p>
              </w:tc>
            </w:tr>
            <w:tr w:rsidR="00066B86" w:rsidRPr="00066B86" w14:paraId="3F4F3AE8" w14:textId="77777777" w:rsidTr="00457592">
              <w:tc>
                <w:tcPr>
                  <w:tcW w:w="3791" w:type="dxa"/>
                  <w:tcBorders>
                    <w:top w:val="nil"/>
                    <w:left w:val="single" w:sz="4" w:space="0" w:color="auto"/>
                    <w:bottom w:val="nil"/>
                    <w:right w:val="nil"/>
                  </w:tcBorders>
                  <w:shd w:val="clear" w:color="auto" w:fill="E5DFEC"/>
                  <w:hideMark/>
                </w:tcPr>
                <w:p w14:paraId="782E1C8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 Họ và tên:</w:t>
                  </w:r>
                </w:p>
              </w:tc>
              <w:tc>
                <w:tcPr>
                  <w:tcW w:w="5463" w:type="dxa"/>
                  <w:tcBorders>
                    <w:top w:val="nil"/>
                    <w:left w:val="nil"/>
                    <w:bottom w:val="nil"/>
                    <w:right w:val="single" w:sz="4" w:space="0" w:color="auto"/>
                  </w:tcBorders>
                  <w:shd w:val="clear" w:color="auto" w:fill="E5DFEC"/>
                  <w:hideMark/>
                </w:tcPr>
                <w:p w14:paraId="1C09CECC" w14:textId="77777777" w:rsidR="00066B86" w:rsidRPr="00066B86" w:rsidRDefault="00066B86" w:rsidP="00066B86">
                  <w:pPr>
                    <w:tabs>
                      <w:tab w:val="center" w:pos="2773"/>
                    </w:tabs>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Nguyễn Linh Phương</w:t>
                  </w:r>
                  <w:r w:rsidRPr="00066B86">
                    <w:rPr>
                      <w:rFonts w:ascii="Arial" w:eastAsia="Times New Roman" w:hAnsi="Arial" w:cs="Arial"/>
                      <w:b/>
                      <w:sz w:val="20"/>
                      <w:szCs w:val="20"/>
                      <w:lang w:eastAsia="en-SG"/>
                    </w:rPr>
                    <w:tab/>
                  </w:r>
                </w:p>
              </w:tc>
            </w:tr>
            <w:tr w:rsidR="00066B86" w:rsidRPr="00066B86" w14:paraId="0782EA4A" w14:textId="77777777" w:rsidTr="00457592">
              <w:tc>
                <w:tcPr>
                  <w:tcW w:w="3791" w:type="dxa"/>
                  <w:tcBorders>
                    <w:top w:val="nil"/>
                    <w:left w:val="single" w:sz="4" w:space="0" w:color="auto"/>
                    <w:bottom w:val="nil"/>
                    <w:right w:val="nil"/>
                  </w:tcBorders>
                  <w:shd w:val="clear" w:color="auto" w:fill="FFFFFF"/>
                  <w:hideMark/>
                </w:tcPr>
                <w:p w14:paraId="5D93A51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Chức vụ:</w:t>
                  </w:r>
                </w:p>
              </w:tc>
              <w:tc>
                <w:tcPr>
                  <w:tcW w:w="5463" w:type="dxa"/>
                  <w:tcBorders>
                    <w:top w:val="nil"/>
                    <w:left w:val="nil"/>
                    <w:bottom w:val="nil"/>
                    <w:right w:val="single" w:sz="4" w:space="0" w:color="auto"/>
                  </w:tcBorders>
                  <w:shd w:val="clear" w:color="auto" w:fill="FFFFFF"/>
                  <w:hideMark/>
                </w:tcPr>
                <w:p w14:paraId="0431D9F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Trưởng phòng, Vụ Chính sách tiền tệ</w:t>
                  </w:r>
                </w:p>
              </w:tc>
            </w:tr>
            <w:tr w:rsidR="00066B86" w:rsidRPr="00066B86" w14:paraId="75C65A74" w14:textId="77777777" w:rsidTr="00457592">
              <w:tc>
                <w:tcPr>
                  <w:tcW w:w="3791" w:type="dxa"/>
                  <w:tcBorders>
                    <w:top w:val="nil"/>
                    <w:left w:val="single" w:sz="4" w:space="0" w:color="auto"/>
                    <w:bottom w:val="nil"/>
                    <w:right w:val="nil"/>
                  </w:tcBorders>
                  <w:shd w:val="clear" w:color="auto" w:fill="E5DFEC"/>
                  <w:hideMark/>
                </w:tcPr>
                <w:p w14:paraId="4462D666"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Cơ quan:</w:t>
                  </w:r>
                </w:p>
              </w:tc>
              <w:tc>
                <w:tcPr>
                  <w:tcW w:w="5463" w:type="dxa"/>
                  <w:tcBorders>
                    <w:top w:val="nil"/>
                    <w:left w:val="nil"/>
                    <w:bottom w:val="nil"/>
                    <w:right w:val="single" w:sz="4" w:space="0" w:color="auto"/>
                  </w:tcBorders>
                  <w:shd w:val="clear" w:color="auto" w:fill="E5DFEC"/>
                  <w:hideMark/>
                </w:tcPr>
                <w:p w14:paraId="1EC7E5C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Ngân hàng nhà nước Việt Nam</w:t>
                  </w:r>
                </w:p>
              </w:tc>
            </w:tr>
            <w:tr w:rsidR="00066B86" w:rsidRPr="00066B86" w14:paraId="62FB7B61" w14:textId="77777777" w:rsidTr="00457592">
              <w:tc>
                <w:tcPr>
                  <w:tcW w:w="3791" w:type="dxa"/>
                  <w:tcBorders>
                    <w:top w:val="nil"/>
                    <w:left w:val="single" w:sz="4" w:space="0" w:color="auto"/>
                    <w:bottom w:val="nil"/>
                    <w:right w:val="nil"/>
                  </w:tcBorders>
                  <w:shd w:val="clear" w:color="auto" w:fill="FFFFFF"/>
                  <w:hideMark/>
                </w:tcPr>
                <w:p w14:paraId="55891491"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Địa chỉ:</w:t>
                  </w:r>
                </w:p>
              </w:tc>
              <w:tc>
                <w:tcPr>
                  <w:tcW w:w="5463" w:type="dxa"/>
                  <w:tcBorders>
                    <w:top w:val="nil"/>
                    <w:left w:val="nil"/>
                    <w:bottom w:val="nil"/>
                    <w:right w:val="single" w:sz="4" w:space="0" w:color="auto"/>
                  </w:tcBorders>
                  <w:shd w:val="clear" w:color="auto" w:fill="FFFFFF"/>
                  <w:hideMark/>
                </w:tcPr>
                <w:p w14:paraId="06E6E56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25 Lý Thường Kiệt,  Hà Nội, Việt Nam</w:t>
                  </w:r>
                </w:p>
              </w:tc>
            </w:tr>
            <w:tr w:rsidR="00066B86" w:rsidRPr="00066B86" w14:paraId="4A78E1EE" w14:textId="77777777" w:rsidTr="00457592">
              <w:tc>
                <w:tcPr>
                  <w:tcW w:w="3791" w:type="dxa"/>
                  <w:tcBorders>
                    <w:top w:val="nil"/>
                    <w:left w:val="single" w:sz="4" w:space="0" w:color="auto"/>
                    <w:bottom w:val="nil"/>
                    <w:right w:val="nil"/>
                  </w:tcBorders>
                  <w:shd w:val="clear" w:color="auto" w:fill="E5DFEC"/>
                  <w:hideMark/>
                </w:tcPr>
                <w:p w14:paraId="64B925B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Điện thoại:</w:t>
                  </w:r>
                </w:p>
              </w:tc>
              <w:tc>
                <w:tcPr>
                  <w:tcW w:w="5463" w:type="dxa"/>
                  <w:tcBorders>
                    <w:top w:val="nil"/>
                    <w:left w:val="nil"/>
                    <w:bottom w:val="nil"/>
                    <w:right w:val="single" w:sz="4" w:space="0" w:color="auto"/>
                  </w:tcBorders>
                  <w:shd w:val="clear" w:color="auto" w:fill="E5DFEC"/>
                  <w:hideMark/>
                </w:tcPr>
                <w:p w14:paraId="2DE8790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C38DB01" w14:textId="77777777" w:rsidTr="00457592">
              <w:tc>
                <w:tcPr>
                  <w:tcW w:w="3791" w:type="dxa"/>
                  <w:tcBorders>
                    <w:top w:val="nil"/>
                    <w:left w:val="single" w:sz="4" w:space="0" w:color="auto"/>
                    <w:bottom w:val="nil"/>
                    <w:right w:val="nil"/>
                  </w:tcBorders>
                  <w:shd w:val="clear" w:color="auto" w:fill="FFFFFF"/>
                  <w:hideMark/>
                </w:tcPr>
                <w:p w14:paraId="1A804B1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Fax:</w:t>
                  </w:r>
                </w:p>
              </w:tc>
              <w:tc>
                <w:tcPr>
                  <w:tcW w:w="5463" w:type="dxa"/>
                  <w:tcBorders>
                    <w:top w:val="nil"/>
                    <w:left w:val="nil"/>
                    <w:bottom w:val="nil"/>
                    <w:right w:val="single" w:sz="4" w:space="0" w:color="auto"/>
                  </w:tcBorders>
                  <w:shd w:val="clear" w:color="auto" w:fill="FFFFFF"/>
                  <w:hideMark/>
                </w:tcPr>
                <w:p w14:paraId="46CE87B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1BA11E8" w14:textId="77777777" w:rsidTr="00457592">
              <w:tc>
                <w:tcPr>
                  <w:tcW w:w="3791" w:type="dxa"/>
                  <w:tcBorders>
                    <w:top w:val="nil"/>
                    <w:left w:val="single" w:sz="4" w:space="0" w:color="auto"/>
                    <w:bottom w:val="single" w:sz="4" w:space="0" w:color="auto"/>
                    <w:right w:val="nil"/>
                  </w:tcBorders>
                  <w:shd w:val="clear" w:color="auto" w:fill="E5DFEC"/>
                  <w:hideMark/>
                </w:tcPr>
                <w:p w14:paraId="2C36B4AB" w14:textId="77777777" w:rsidR="00066B86" w:rsidRPr="00066B86" w:rsidRDefault="00066B86" w:rsidP="00066B86">
                  <w:pPr>
                    <w:spacing w:before="60" w:after="60" w:line="264" w:lineRule="auto"/>
                    <w:ind w:firstLine="279"/>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E-mail:</w:t>
                  </w:r>
                </w:p>
              </w:tc>
              <w:tc>
                <w:tcPr>
                  <w:tcW w:w="5463" w:type="dxa"/>
                  <w:tcBorders>
                    <w:top w:val="nil"/>
                    <w:left w:val="nil"/>
                    <w:bottom w:val="single" w:sz="4" w:space="0" w:color="auto"/>
                    <w:right w:val="single" w:sz="4" w:space="0" w:color="auto"/>
                  </w:tcBorders>
                  <w:shd w:val="clear" w:color="auto" w:fill="E5DFEC"/>
                  <w:hideMark/>
                </w:tcPr>
                <w:p w14:paraId="49BDCEF9" w14:textId="6E9DCBC9"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r w:rsidR="00457592" w:rsidRPr="00ED4375">
                    <w:rPr>
                      <w:rFonts w:ascii="Arial" w:eastAsia="Times New Roman" w:hAnsi="Arial" w:cs="Arial"/>
                      <w:b/>
                      <w:color w:val="000000" w:themeColor="text1"/>
                      <w:sz w:val="20"/>
                      <w:szCs w:val="20"/>
                      <w:highlight w:val="yellow"/>
                      <w:lang w:eastAsia="en-SG"/>
                    </w:rPr>
                    <w:t>Phuong.nguyenlinh@sbv.gov.vn</w:t>
                  </w:r>
                  <w:bookmarkStart w:id="0" w:name="_GoBack"/>
                  <w:bookmarkEnd w:id="0"/>
                </w:p>
              </w:tc>
            </w:tr>
          </w:tbl>
          <w:p w14:paraId="2A4DB6E4" w14:textId="77777777" w:rsidR="00066B86" w:rsidRPr="00066B86" w:rsidRDefault="00066B86" w:rsidP="00066B86">
            <w:pPr>
              <w:spacing w:after="0" w:line="240" w:lineRule="auto"/>
              <w:rPr>
                <w:rFonts w:ascii="Times New Roman" w:eastAsia="Times New Roman" w:hAnsi="Times New Roman" w:cs="Times New Roman"/>
                <w:sz w:val="24"/>
                <w:szCs w:val="24"/>
                <w:lang w:eastAsia="en-SG"/>
              </w:rPr>
            </w:pPr>
          </w:p>
        </w:tc>
      </w:tr>
    </w:tbl>
    <w:p w14:paraId="54BC3CBC" w14:textId="77777777" w:rsidR="00167862" w:rsidRDefault="00167862"/>
    <w:sectPr w:rsidR="00167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6"/>
    <w:rsid w:val="00066B86"/>
    <w:rsid w:val="00066EC3"/>
    <w:rsid w:val="00167862"/>
    <w:rsid w:val="002E173D"/>
    <w:rsid w:val="003C52FB"/>
    <w:rsid w:val="00457592"/>
    <w:rsid w:val="009242D6"/>
    <w:rsid w:val="009B3484"/>
    <w:rsid w:val="00CE5837"/>
    <w:rsid w:val="00ED4375"/>
    <w:rsid w:val="00FA776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D61"/>
  <w15:docId w15:val="{0D946B0B-8209-47EA-8EE6-1981892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8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style-span">
    <w:name w:val="apple-style-span"/>
    <w:basedOn w:val="DefaultParagraphFont"/>
    <w:rsid w:val="00066B86"/>
  </w:style>
  <w:style w:type="character" w:styleId="Hyperlink">
    <w:name w:val="Hyperlink"/>
    <w:basedOn w:val="DefaultParagraphFont"/>
    <w:uiPriority w:val="99"/>
    <w:semiHidden/>
    <w:unhideWhenUsed/>
    <w:rsid w:val="0006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customXml/item3.xml" Type="http://schemas.openxmlformats.org/officeDocument/2006/relationships/customXml" Id="rId3"></Relationship><Relationship TargetMode="External" Target="http://www.sbv.gov.vn/" Type="http://schemas.openxmlformats.org/officeDocument/2006/relationships/hyperlink" Id="rId7"></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settings.xml" Type="http://schemas.openxmlformats.org/officeDocument/2006/relationships/settings" Id="rId5"></Relationship><Relationship Target="styles.xml" Type="http://schemas.openxmlformats.org/officeDocument/2006/relationships/style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58986-D6C9-4ECB-A7FE-D0CC4692E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A4459-5A12-4914-BB0A-464257C22982}">
  <ds:schemaRefs>
    <ds:schemaRef ds:uri="http://schemas.microsoft.com/sharepoint/v3/contenttype/forms"/>
  </ds:schemaRefs>
</ds:datastoreItem>
</file>

<file path=customXml/itemProps3.xml><?xml version="1.0" encoding="utf-8"?>
<ds:datastoreItem xmlns:ds="http://schemas.openxmlformats.org/officeDocument/2006/customXml" ds:itemID="{0DF75066-3F93-4716-B6F1-CFFA42D35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Trung Nam (CSTT)</cp:lastModifiedBy>
  <cp:revision>9</cp:revision>
  <dcterms:created xsi:type="dcterms:W3CDTF">2021-12-02T08:09:00Z</dcterms:created>
  <dcterms:modified xsi:type="dcterms:W3CDTF">2022-12-27T07:39:00Z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SBV471015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580116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http://webcenter-app01:16200/cs/idcplg?IdcService=DESKTOP_DOC_INFO&amp;dDocName=SBV471015&amp;dID=580116&amp;ClientControlled=DocMan,taskpane&amp;coreContentOnly=1</vt:lpwstr>
  </property>
</Properties>
</file>